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ACEFF">
      <w:pPr>
        <w:pStyle w:val="2"/>
        <w:spacing w:before="480" w:after="260" w:line="500" w:lineRule="exact"/>
        <w:rPr>
          <w:rFonts w:hint="eastAsia" w:hAnsi="宋体" w:eastAsia="宋体"/>
          <w:b/>
          <w:color w:val="auto"/>
          <w:sz w:val="32"/>
          <w:szCs w:val="24"/>
          <w:highlight w:val="none"/>
          <w:lang w:eastAsia="zh-CN"/>
        </w:rPr>
      </w:pPr>
      <w:r>
        <w:rPr>
          <w:rFonts w:hint="eastAsia" w:hAnsi="宋体"/>
          <w:color w:val="auto"/>
          <w:highlight w:val="none"/>
        </w:rPr>
        <w:t>响应文件格式</w:t>
      </w:r>
      <w:r>
        <w:rPr>
          <w:rFonts w:hint="eastAsia" w:hAnsi="宋体"/>
          <w:color w:val="auto"/>
          <w:highlight w:val="none"/>
          <w:lang w:eastAsia="zh-CN"/>
        </w:rPr>
        <w:t>（</w:t>
      </w:r>
      <w:r>
        <w:rPr>
          <w:rFonts w:hint="eastAsia" w:hAnsi="宋体"/>
          <w:color w:val="auto"/>
          <w:highlight w:val="none"/>
          <w:lang w:val="en-US" w:eastAsia="zh-CN"/>
        </w:rPr>
        <w:t>根据公告要求提供</w:t>
      </w:r>
      <w:r>
        <w:rPr>
          <w:rFonts w:hint="eastAsia" w:hAnsi="宋体"/>
          <w:color w:val="auto"/>
          <w:highlight w:val="none"/>
          <w:lang w:eastAsia="zh-CN"/>
        </w:rPr>
        <w:t>）</w:t>
      </w:r>
    </w:p>
    <w:p w14:paraId="77CFB417">
      <w:pPr>
        <w:spacing w:line="900" w:lineRule="exact"/>
        <w:rPr>
          <w:rFonts w:hAnsi="宋体"/>
          <w:b/>
          <w:color w:val="auto"/>
          <w:sz w:val="72"/>
          <w:szCs w:val="24"/>
          <w:highlight w:val="none"/>
        </w:rPr>
      </w:pPr>
    </w:p>
    <w:p w14:paraId="60B1B5E8">
      <w:pPr>
        <w:pStyle w:val="26"/>
        <w:rPr>
          <w:color w:val="auto"/>
          <w:highlight w:val="none"/>
        </w:rPr>
      </w:pPr>
    </w:p>
    <w:p w14:paraId="6C96DF81">
      <w:pPr>
        <w:spacing w:line="900" w:lineRule="exact"/>
        <w:jc w:val="center"/>
        <w:rPr>
          <w:rFonts w:hAnsi="宋体"/>
          <w:b/>
          <w:color w:val="auto"/>
          <w:sz w:val="72"/>
          <w:szCs w:val="24"/>
          <w:highlight w:val="none"/>
        </w:rPr>
      </w:pPr>
      <w:r>
        <w:rPr>
          <w:rFonts w:hint="eastAsia" w:hAnsi="宋体"/>
          <w:b/>
          <w:color w:val="auto"/>
          <w:sz w:val="72"/>
          <w:szCs w:val="24"/>
          <w:highlight w:val="none"/>
        </w:rPr>
        <w:t>响</w:t>
      </w:r>
    </w:p>
    <w:p w14:paraId="371B77DC">
      <w:pPr>
        <w:spacing w:line="900" w:lineRule="exact"/>
        <w:jc w:val="center"/>
        <w:rPr>
          <w:rFonts w:hAnsi="宋体"/>
          <w:b/>
          <w:color w:val="auto"/>
          <w:sz w:val="72"/>
          <w:szCs w:val="24"/>
          <w:highlight w:val="none"/>
        </w:rPr>
      </w:pPr>
    </w:p>
    <w:p w14:paraId="2A550B96">
      <w:pPr>
        <w:spacing w:line="900" w:lineRule="exact"/>
        <w:jc w:val="center"/>
        <w:rPr>
          <w:rFonts w:hAnsi="宋体"/>
          <w:b/>
          <w:color w:val="auto"/>
          <w:sz w:val="72"/>
          <w:szCs w:val="24"/>
          <w:highlight w:val="none"/>
        </w:rPr>
      </w:pPr>
      <w:r>
        <w:rPr>
          <w:rFonts w:hint="eastAsia" w:hAnsi="宋体"/>
          <w:b/>
          <w:color w:val="auto"/>
          <w:sz w:val="72"/>
          <w:szCs w:val="24"/>
          <w:highlight w:val="none"/>
        </w:rPr>
        <w:t>应</w:t>
      </w:r>
    </w:p>
    <w:p w14:paraId="35ACE384">
      <w:pPr>
        <w:spacing w:line="900" w:lineRule="exact"/>
        <w:jc w:val="center"/>
        <w:rPr>
          <w:rFonts w:hAnsi="宋体"/>
          <w:b/>
          <w:color w:val="auto"/>
          <w:sz w:val="72"/>
          <w:szCs w:val="24"/>
          <w:highlight w:val="none"/>
        </w:rPr>
      </w:pPr>
    </w:p>
    <w:p w14:paraId="71F42099">
      <w:pPr>
        <w:spacing w:line="900" w:lineRule="exact"/>
        <w:jc w:val="center"/>
        <w:rPr>
          <w:rFonts w:hAnsi="宋体"/>
          <w:b/>
          <w:color w:val="auto"/>
          <w:sz w:val="72"/>
          <w:szCs w:val="24"/>
          <w:highlight w:val="none"/>
        </w:rPr>
      </w:pPr>
      <w:r>
        <w:rPr>
          <w:rFonts w:hint="eastAsia" w:hAnsi="宋体"/>
          <w:b/>
          <w:color w:val="auto"/>
          <w:sz w:val="72"/>
          <w:szCs w:val="24"/>
          <w:highlight w:val="none"/>
        </w:rPr>
        <w:t>文</w:t>
      </w:r>
    </w:p>
    <w:p w14:paraId="3494D3AE">
      <w:pPr>
        <w:spacing w:line="900" w:lineRule="exact"/>
        <w:jc w:val="center"/>
        <w:rPr>
          <w:rFonts w:hAnsi="宋体"/>
          <w:b/>
          <w:color w:val="auto"/>
          <w:sz w:val="72"/>
          <w:szCs w:val="24"/>
          <w:highlight w:val="none"/>
        </w:rPr>
      </w:pPr>
    </w:p>
    <w:p w14:paraId="4B03662A">
      <w:pPr>
        <w:jc w:val="center"/>
        <w:rPr>
          <w:rFonts w:hAnsi="宋体"/>
          <w:b/>
          <w:color w:val="auto"/>
          <w:sz w:val="72"/>
          <w:szCs w:val="24"/>
          <w:highlight w:val="none"/>
        </w:rPr>
      </w:pPr>
      <w:r>
        <w:rPr>
          <w:rFonts w:hint="eastAsia" w:hAnsi="宋体"/>
          <w:b/>
          <w:color w:val="auto"/>
          <w:sz w:val="72"/>
          <w:szCs w:val="24"/>
          <w:highlight w:val="none"/>
        </w:rPr>
        <w:t>件</w:t>
      </w:r>
    </w:p>
    <w:p w14:paraId="76F0193D">
      <w:pPr>
        <w:spacing w:after="156" w:afterLines="50" w:line="500" w:lineRule="exact"/>
        <w:jc w:val="both"/>
        <w:rPr>
          <w:rFonts w:hAnsi="宋体"/>
          <w:b/>
          <w:color w:val="auto"/>
          <w:sz w:val="72"/>
          <w:szCs w:val="24"/>
          <w:highlight w:val="none"/>
        </w:rPr>
      </w:pPr>
    </w:p>
    <w:p w14:paraId="407434F6">
      <w:pPr>
        <w:spacing w:after="156" w:afterLines="50" w:line="500" w:lineRule="exact"/>
        <w:rPr>
          <w:rFonts w:hint="eastAsia" w:hAnsi="宋体"/>
          <w:b/>
          <w:color w:val="auto"/>
          <w:sz w:val="32"/>
          <w:szCs w:val="24"/>
          <w:highlight w:val="none"/>
        </w:rPr>
      </w:pPr>
    </w:p>
    <w:p w14:paraId="574CAE51">
      <w:pPr>
        <w:spacing w:after="156" w:afterLines="50" w:line="500" w:lineRule="exact"/>
        <w:rPr>
          <w:rFonts w:hAnsi="宋体"/>
          <w:b/>
          <w:color w:val="auto"/>
          <w:sz w:val="32"/>
          <w:szCs w:val="24"/>
          <w:highlight w:val="none"/>
          <w:u w:val="single"/>
        </w:rPr>
      </w:pPr>
      <w:r>
        <w:rPr>
          <w:rFonts w:hint="eastAsia" w:hAnsi="宋体"/>
          <w:b/>
          <w:color w:val="auto"/>
          <w:sz w:val="32"/>
          <w:szCs w:val="24"/>
          <w:highlight w:val="none"/>
        </w:rPr>
        <w:t>供应商：</w:t>
      </w:r>
    </w:p>
    <w:p w14:paraId="08F3AC40">
      <w:pPr>
        <w:spacing w:after="156" w:afterLines="50" w:line="500" w:lineRule="exact"/>
        <w:jc w:val="center"/>
        <w:rPr>
          <w:rFonts w:hAnsi="宋体"/>
          <w:color w:val="auto"/>
          <w:szCs w:val="24"/>
          <w:highlight w:val="none"/>
        </w:rPr>
      </w:pPr>
      <w:r>
        <w:rPr>
          <w:rFonts w:hint="eastAsia" w:hAnsi="宋体"/>
          <w:b/>
          <w:color w:val="auto"/>
          <w:sz w:val="32"/>
          <w:szCs w:val="24"/>
          <w:highlight w:val="none"/>
        </w:rPr>
        <w:t xml:space="preserve"> 年     月     日</w:t>
      </w:r>
    </w:p>
    <w:p w14:paraId="1D57C094">
      <w:pPr>
        <w:spacing w:line="360" w:lineRule="auto"/>
        <w:jc w:val="center"/>
        <w:rPr>
          <w:rFonts w:hint="eastAsia" w:hAnsi="宋体" w:cs="宋体"/>
          <w:b/>
          <w:color w:val="auto"/>
          <w:szCs w:val="24"/>
          <w:highlight w:val="none"/>
        </w:rPr>
      </w:pPr>
      <w:bookmarkStart w:id="0" w:name="_Toc438648618"/>
    </w:p>
    <w:p w14:paraId="7513D5C1">
      <w:pPr>
        <w:spacing w:line="360" w:lineRule="auto"/>
        <w:jc w:val="center"/>
        <w:rPr>
          <w:rFonts w:hint="eastAsia" w:hAnsi="宋体" w:cs="宋体"/>
          <w:b/>
          <w:color w:val="auto"/>
          <w:szCs w:val="24"/>
          <w:highlight w:val="none"/>
        </w:rPr>
      </w:pPr>
    </w:p>
    <w:p w14:paraId="2075338E">
      <w:pPr>
        <w:spacing w:line="360" w:lineRule="auto"/>
        <w:jc w:val="center"/>
        <w:rPr>
          <w:rFonts w:hint="eastAsia" w:hAnsi="宋体" w:cs="宋体"/>
          <w:b/>
          <w:color w:val="auto"/>
          <w:szCs w:val="24"/>
          <w:highlight w:val="none"/>
        </w:rPr>
      </w:pPr>
    </w:p>
    <w:p w14:paraId="0FB80908">
      <w:pPr>
        <w:spacing w:line="360" w:lineRule="auto"/>
        <w:jc w:val="center"/>
        <w:rPr>
          <w:rFonts w:hint="eastAsia" w:hAnsi="宋体" w:cs="宋体"/>
          <w:b/>
          <w:color w:val="auto"/>
          <w:szCs w:val="24"/>
          <w:highlight w:val="none"/>
        </w:rPr>
      </w:pPr>
    </w:p>
    <w:p w14:paraId="50E3D473">
      <w:pPr>
        <w:spacing w:line="360" w:lineRule="auto"/>
        <w:jc w:val="center"/>
        <w:rPr>
          <w:rFonts w:hAnsi="宋体"/>
          <w:b/>
          <w:color w:val="auto"/>
          <w:highlight w:val="none"/>
        </w:rPr>
      </w:pPr>
      <w:r>
        <w:rPr>
          <w:rFonts w:hint="eastAsia" w:hAnsi="宋体" w:cs="宋体"/>
          <w:b/>
          <w:color w:val="auto"/>
          <w:szCs w:val="24"/>
          <w:highlight w:val="none"/>
        </w:rPr>
        <w:t>响应文件资料清单</w:t>
      </w:r>
    </w:p>
    <w:tbl>
      <w:tblPr>
        <w:tblStyle w:val="20"/>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59C0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FDDD552">
            <w:pPr>
              <w:spacing w:line="400" w:lineRule="exact"/>
              <w:jc w:val="center"/>
              <w:rPr>
                <w:rFonts w:hAnsi="宋体"/>
                <w:b/>
                <w:color w:val="auto"/>
                <w:highlight w:val="none"/>
              </w:rPr>
            </w:pPr>
            <w:r>
              <w:rPr>
                <w:rFonts w:hint="eastAsia" w:hAnsi="宋体"/>
                <w:b/>
                <w:color w:val="auto"/>
                <w:highlight w:val="none"/>
              </w:rPr>
              <w:t>序号</w:t>
            </w:r>
          </w:p>
        </w:tc>
        <w:tc>
          <w:tcPr>
            <w:tcW w:w="5460" w:type="dxa"/>
            <w:vAlign w:val="center"/>
          </w:tcPr>
          <w:p w14:paraId="58596749">
            <w:pPr>
              <w:spacing w:line="400" w:lineRule="exact"/>
              <w:jc w:val="center"/>
              <w:rPr>
                <w:rFonts w:hAnsi="宋体"/>
                <w:b/>
                <w:color w:val="auto"/>
                <w:highlight w:val="none"/>
              </w:rPr>
            </w:pPr>
            <w:r>
              <w:rPr>
                <w:rFonts w:hint="eastAsia" w:hAnsi="宋体"/>
                <w:b/>
                <w:color w:val="auto"/>
                <w:highlight w:val="none"/>
              </w:rPr>
              <w:t>资料名称</w:t>
            </w:r>
          </w:p>
        </w:tc>
        <w:tc>
          <w:tcPr>
            <w:tcW w:w="2625" w:type="dxa"/>
            <w:vAlign w:val="center"/>
          </w:tcPr>
          <w:p w14:paraId="5C615A6D">
            <w:pPr>
              <w:spacing w:line="400" w:lineRule="exact"/>
              <w:jc w:val="center"/>
              <w:rPr>
                <w:rFonts w:hAnsi="宋体"/>
                <w:b/>
                <w:color w:val="auto"/>
                <w:highlight w:val="none"/>
              </w:rPr>
            </w:pPr>
            <w:r>
              <w:rPr>
                <w:rFonts w:hint="eastAsia" w:hAnsi="宋体"/>
                <w:b/>
                <w:color w:val="auto"/>
                <w:highlight w:val="none"/>
              </w:rPr>
              <w:t>备注</w:t>
            </w:r>
          </w:p>
        </w:tc>
      </w:tr>
      <w:tr w14:paraId="6139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094ABE86">
            <w:pPr>
              <w:spacing w:before="50" w:after="50" w:line="360" w:lineRule="auto"/>
              <w:jc w:val="center"/>
              <w:rPr>
                <w:rFonts w:hAnsi="宋体"/>
                <w:color w:val="auto"/>
                <w:highlight w:val="none"/>
              </w:rPr>
            </w:pPr>
            <w:r>
              <w:rPr>
                <w:rFonts w:hint="eastAsia" w:hAnsi="宋体"/>
                <w:color w:val="auto"/>
                <w:highlight w:val="none"/>
                <w:lang w:val="zh-CN"/>
              </w:rPr>
              <w:t>一</w:t>
            </w:r>
          </w:p>
        </w:tc>
        <w:tc>
          <w:tcPr>
            <w:tcW w:w="5460" w:type="dxa"/>
            <w:vAlign w:val="center"/>
          </w:tcPr>
          <w:p w14:paraId="34D057B8">
            <w:pPr>
              <w:jc w:val="left"/>
              <w:rPr>
                <w:rFonts w:hAnsi="宋体"/>
                <w:color w:val="auto"/>
                <w:highlight w:val="none"/>
                <w:u w:val="single"/>
              </w:rPr>
            </w:pPr>
            <w:r>
              <w:rPr>
                <w:rFonts w:hint="eastAsia" w:hAnsi="宋体"/>
                <w:bCs/>
                <w:color w:val="auto"/>
                <w:highlight w:val="none"/>
              </w:rPr>
              <w:t>报价表</w:t>
            </w:r>
          </w:p>
        </w:tc>
        <w:tc>
          <w:tcPr>
            <w:tcW w:w="2625" w:type="dxa"/>
            <w:vAlign w:val="center"/>
          </w:tcPr>
          <w:p w14:paraId="14F64453">
            <w:pPr>
              <w:spacing w:line="360" w:lineRule="auto"/>
              <w:rPr>
                <w:rFonts w:hAnsi="宋体"/>
                <w:b/>
                <w:color w:val="auto"/>
                <w:highlight w:val="none"/>
              </w:rPr>
            </w:pPr>
          </w:p>
        </w:tc>
      </w:tr>
      <w:tr w14:paraId="7F25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15AD7E1">
            <w:pPr>
              <w:spacing w:before="50" w:after="50" w:line="360" w:lineRule="auto"/>
              <w:jc w:val="center"/>
              <w:rPr>
                <w:rFonts w:hAnsi="宋体"/>
                <w:color w:val="auto"/>
                <w:highlight w:val="none"/>
                <w:lang w:val="zh-CN"/>
              </w:rPr>
            </w:pPr>
            <w:r>
              <w:rPr>
                <w:rFonts w:hint="eastAsia" w:hAnsi="宋体"/>
                <w:color w:val="auto"/>
                <w:highlight w:val="none"/>
                <w:lang w:val="zh-CN"/>
              </w:rPr>
              <w:t>二</w:t>
            </w:r>
          </w:p>
        </w:tc>
        <w:tc>
          <w:tcPr>
            <w:tcW w:w="5460" w:type="dxa"/>
            <w:vAlign w:val="center"/>
          </w:tcPr>
          <w:p w14:paraId="63D4EFAD">
            <w:pPr>
              <w:jc w:val="left"/>
              <w:rPr>
                <w:rFonts w:hAnsi="宋体"/>
                <w:bCs/>
                <w:color w:val="auto"/>
                <w:highlight w:val="none"/>
              </w:rPr>
            </w:pPr>
            <w:r>
              <w:rPr>
                <w:rFonts w:hint="eastAsia" w:hAnsi="宋体"/>
                <w:color w:val="auto"/>
                <w:highlight w:val="none"/>
              </w:rPr>
              <w:t>供应商情况综合简介</w:t>
            </w:r>
          </w:p>
        </w:tc>
        <w:tc>
          <w:tcPr>
            <w:tcW w:w="2625" w:type="dxa"/>
            <w:vAlign w:val="center"/>
          </w:tcPr>
          <w:p w14:paraId="62684F8E">
            <w:pPr>
              <w:spacing w:line="360" w:lineRule="auto"/>
              <w:rPr>
                <w:rFonts w:hAnsi="宋体"/>
                <w:b/>
                <w:color w:val="auto"/>
                <w:highlight w:val="none"/>
              </w:rPr>
            </w:pPr>
          </w:p>
        </w:tc>
      </w:tr>
      <w:tr w14:paraId="60BE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DAB6966">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三</w:t>
            </w:r>
          </w:p>
        </w:tc>
        <w:tc>
          <w:tcPr>
            <w:tcW w:w="5460" w:type="dxa"/>
            <w:vAlign w:val="center"/>
          </w:tcPr>
          <w:p w14:paraId="743C4E15">
            <w:pPr>
              <w:autoSpaceDE w:val="0"/>
              <w:autoSpaceDN w:val="0"/>
              <w:adjustRightInd w:val="0"/>
              <w:spacing w:line="360" w:lineRule="auto"/>
              <w:jc w:val="left"/>
              <w:rPr>
                <w:rFonts w:hAnsi="宋体"/>
                <w:bCs/>
                <w:color w:val="auto"/>
                <w:highlight w:val="none"/>
              </w:rPr>
            </w:pPr>
            <w:r>
              <w:rPr>
                <w:rFonts w:hint="eastAsia" w:hAnsi="宋体" w:cs="宋体"/>
                <w:color w:val="auto"/>
                <w:szCs w:val="24"/>
                <w:highlight w:val="none"/>
                <w:lang w:val="zh-CN"/>
              </w:rPr>
              <w:t>法定代表人身份证明书</w:t>
            </w:r>
          </w:p>
        </w:tc>
        <w:tc>
          <w:tcPr>
            <w:tcW w:w="2625" w:type="dxa"/>
            <w:vAlign w:val="center"/>
          </w:tcPr>
          <w:p w14:paraId="6FC82F15">
            <w:pPr>
              <w:spacing w:line="360" w:lineRule="auto"/>
              <w:rPr>
                <w:rFonts w:hAnsi="宋体"/>
                <w:b/>
                <w:color w:val="auto"/>
                <w:highlight w:val="none"/>
              </w:rPr>
            </w:pPr>
          </w:p>
        </w:tc>
      </w:tr>
      <w:tr w14:paraId="7D6F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C3BD9E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四</w:t>
            </w:r>
          </w:p>
        </w:tc>
        <w:tc>
          <w:tcPr>
            <w:tcW w:w="5460" w:type="dxa"/>
            <w:vAlign w:val="center"/>
          </w:tcPr>
          <w:p w14:paraId="4492D188">
            <w:pPr>
              <w:jc w:val="left"/>
              <w:rPr>
                <w:rFonts w:hAnsi="宋体"/>
                <w:bCs/>
                <w:color w:val="auto"/>
                <w:highlight w:val="none"/>
              </w:rPr>
            </w:pPr>
            <w:r>
              <w:rPr>
                <w:rFonts w:hint="eastAsia" w:hAnsi="宋体"/>
                <w:bCs/>
                <w:color w:val="auto"/>
                <w:highlight w:val="none"/>
              </w:rPr>
              <w:t xml:space="preserve">投标授权书    </w:t>
            </w:r>
          </w:p>
        </w:tc>
        <w:tc>
          <w:tcPr>
            <w:tcW w:w="2625" w:type="dxa"/>
            <w:vAlign w:val="center"/>
          </w:tcPr>
          <w:p w14:paraId="2ABB1891">
            <w:pPr>
              <w:spacing w:line="360" w:lineRule="auto"/>
              <w:rPr>
                <w:rFonts w:hAnsi="宋体"/>
                <w:b/>
                <w:color w:val="auto"/>
                <w:highlight w:val="none"/>
              </w:rPr>
            </w:pPr>
          </w:p>
        </w:tc>
      </w:tr>
      <w:tr w14:paraId="4DE0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5E3B7B05">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五</w:t>
            </w:r>
          </w:p>
        </w:tc>
        <w:tc>
          <w:tcPr>
            <w:tcW w:w="5460" w:type="dxa"/>
            <w:vAlign w:val="center"/>
          </w:tcPr>
          <w:p w14:paraId="24E82122">
            <w:pPr>
              <w:spacing w:line="360" w:lineRule="auto"/>
              <w:rPr>
                <w:rFonts w:hAnsi="宋体"/>
                <w:color w:val="auto"/>
                <w:szCs w:val="24"/>
                <w:highlight w:val="none"/>
              </w:rPr>
            </w:pPr>
            <w:r>
              <w:rPr>
                <w:rFonts w:hint="eastAsia" w:hAnsi="宋体" w:cs="仿宋_GB2312"/>
                <w:color w:val="auto"/>
                <w:szCs w:val="24"/>
                <w:highlight w:val="none"/>
              </w:rPr>
              <w:t>无重大违法记录声明函、无不良信用记录承诺函</w:t>
            </w:r>
          </w:p>
        </w:tc>
        <w:tc>
          <w:tcPr>
            <w:tcW w:w="2625" w:type="dxa"/>
            <w:vAlign w:val="center"/>
          </w:tcPr>
          <w:p w14:paraId="3BC37FEB">
            <w:pPr>
              <w:spacing w:line="360" w:lineRule="auto"/>
              <w:rPr>
                <w:rFonts w:hAnsi="宋体"/>
                <w:b/>
                <w:color w:val="auto"/>
                <w:highlight w:val="none"/>
              </w:rPr>
            </w:pPr>
          </w:p>
        </w:tc>
      </w:tr>
      <w:tr w14:paraId="15AB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7C43179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六</w:t>
            </w:r>
          </w:p>
        </w:tc>
        <w:tc>
          <w:tcPr>
            <w:tcW w:w="5460" w:type="dxa"/>
            <w:vAlign w:val="center"/>
          </w:tcPr>
          <w:p w14:paraId="18D66100">
            <w:pPr>
              <w:jc w:val="left"/>
              <w:rPr>
                <w:rFonts w:hAnsi="宋体"/>
                <w:color w:val="auto"/>
                <w:highlight w:val="none"/>
              </w:rPr>
            </w:pPr>
            <w:r>
              <w:rPr>
                <w:rFonts w:hint="eastAsia" w:hAnsi="宋体"/>
                <w:color w:val="auto"/>
                <w:highlight w:val="none"/>
              </w:rPr>
              <w:t>服务方案及服务承诺</w:t>
            </w:r>
          </w:p>
        </w:tc>
        <w:tc>
          <w:tcPr>
            <w:tcW w:w="2625" w:type="dxa"/>
            <w:vAlign w:val="center"/>
          </w:tcPr>
          <w:p w14:paraId="0D3F56CC">
            <w:pPr>
              <w:spacing w:line="360" w:lineRule="auto"/>
              <w:rPr>
                <w:rFonts w:hAnsi="宋体"/>
                <w:b/>
                <w:color w:val="auto"/>
                <w:highlight w:val="none"/>
              </w:rPr>
            </w:pPr>
          </w:p>
        </w:tc>
      </w:tr>
      <w:tr w14:paraId="5180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2EC3EB33">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七</w:t>
            </w:r>
          </w:p>
        </w:tc>
        <w:tc>
          <w:tcPr>
            <w:tcW w:w="5460" w:type="dxa"/>
            <w:vAlign w:val="center"/>
          </w:tcPr>
          <w:p w14:paraId="19274721">
            <w:pPr>
              <w:jc w:val="left"/>
              <w:rPr>
                <w:rFonts w:hAnsi="宋体"/>
                <w:color w:val="auto"/>
                <w:highlight w:val="none"/>
              </w:rPr>
            </w:pPr>
            <w:r>
              <w:rPr>
                <w:rFonts w:hint="eastAsia" w:hAnsi="宋体"/>
                <w:color w:val="auto"/>
                <w:highlight w:val="none"/>
              </w:rPr>
              <w:t>本地化服务情况一览表</w:t>
            </w:r>
          </w:p>
        </w:tc>
        <w:tc>
          <w:tcPr>
            <w:tcW w:w="2625" w:type="dxa"/>
            <w:vAlign w:val="center"/>
          </w:tcPr>
          <w:p w14:paraId="28640327">
            <w:pPr>
              <w:spacing w:line="360" w:lineRule="auto"/>
              <w:rPr>
                <w:rFonts w:hAnsi="宋体"/>
                <w:b/>
                <w:color w:val="auto"/>
                <w:highlight w:val="none"/>
              </w:rPr>
            </w:pPr>
          </w:p>
        </w:tc>
      </w:tr>
      <w:tr w14:paraId="2E38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8" w:type="dxa"/>
            <w:vAlign w:val="center"/>
          </w:tcPr>
          <w:p w14:paraId="7C32EF03">
            <w:pPr>
              <w:spacing w:before="50" w:after="50" w:line="360" w:lineRule="auto"/>
              <w:jc w:val="center"/>
              <w:rPr>
                <w:rFonts w:hint="eastAsia" w:hAnsi="宋体" w:eastAsia="宋体"/>
                <w:color w:val="auto"/>
                <w:highlight w:val="none"/>
                <w:lang w:val="zh-CN" w:eastAsia="zh-CN"/>
              </w:rPr>
            </w:pPr>
            <w:r>
              <w:rPr>
                <w:rFonts w:hint="eastAsia" w:hAnsi="宋体"/>
                <w:color w:val="auto"/>
                <w:highlight w:val="none"/>
                <w:lang w:val="en-US" w:eastAsia="zh-CN"/>
              </w:rPr>
              <w:t>八</w:t>
            </w:r>
          </w:p>
        </w:tc>
        <w:tc>
          <w:tcPr>
            <w:tcW w:w="5460" w:type="dxa"/>
            <w:vAlign w:val="center"/>
          </w:tcPr>
          <w:p w14:paraId="7E683C4F">
            <w:pPr>
              <w:rPr>
                <w:color w:val="auto"/>
                <w:highlight w:val="none"/>
              </w:rPr>
            </w:pPr>
            <w:r>
              <w:rPr>
                <w:rFonts w:hint="eastAsia" w:hAnsi="宋体"/>
                <w:color w:val="auto"/>
                <w:highlight w:val="none"/>
              </w:rPr>
              <w:t>其他文件</w:t>
            </w:r>
          </w:p>
        </w:tc>
        <w:tc>
          <w:tcPr>
            <w:tcW w:w="2625" w:type="dxa"/>
            <w:vAlign w:val="center"/>
          </w:tcPr>
          <w:p w14:paraId="1828A72A">
            <w:pPr>
              <w:spacing w:line="360" w:lineRule="auto"/>
              <w:rPr>
                <w:rFonts w:hAnsi="宋体"/>
                <w:b/>
                <w:color w:val="auto"/>
                <w:highlight w:val="none"/>
              </w:rPr>
            </w:pPr>
          </w:p>
        </w:tc>
      </w:tr>
    </w:tbl>
    <w:p w14:paraId="588146FD">
      <w:pPr>
        <w:pStyle w:val="3"/>
        <w:spacing w:line="360" w:lineRule="auto"/>
        <w:ind w:firstLine="0"/>
        <w:jc w:val="left"/>
        <w:rPr>
          <w:rFonts w:ascii="宋体" w:hAnsi="宋体" w:eastAsia="宋体"/>
          <w:bCs w:val="0"/>
          <w:color w:val="auto"/>
          <w:sz w:val="24"/>
          <w:szCs w:val="24"/>
          <w:highlight w:val="none"/>
        </w:rPr>
      </w:pPr>
      <w:r>
        <w:rPr>
          <w:rFonts w:hint="eastAsia" w:hAnsi="宋体" w:cs="宋体"/>
          <w:b w:val="0"/>
          <w:color w:val="auto"/>
          <w:szCs w:val="24"/>
          <w:highlight w:val="none"/>
        </w:rPr>
        <w:br w:type="page"/>
      </w:r>
      <w:bookmarkStart w:id="1" w:name="_Toc461053086"/>
      <w:bookmarkStart w:id="2" w:name="_Toc461056631"/>
      <w:bookmarkStart w:id="3" w:name="_Toc2774249"/>
      <w:r>
        <w:rPr>
          <w:rFonts w:hint="eastAsia" w:ascii="宋体" w:hAnsi="宋体" w:eastAsia="宋体"/>
          <w:bCs w:val="0"/>
          <w:color w:val="auto"/>
          <w:sz w:val="24"/>
          <w:szCs w:val="24"/>
          <w:highlight w:val="none"/>
        </w:rPr>
        <w:t>附件一</w:t>
      </w:r>
      <w:bookmarkEnd w:id="1"/>
      <w:bookmarkEnd w:id="2"/>
      <w:bookmarkEnd w:id="3"/>
    </w:p>
    <w:p w14:paraId="64BAAA73">
      <w:pPr>
        <w:spacing w:before="156" w:beforeLines="50" w:after="156" w:afterLines="50" w:line="360" w:lineRule="auto"/>
        <w:ind w:firstLine="207" w:firstLineChars="98"/>
        <w:jc w:val="center"/>
        <w:rPr>
          <w:rFonts w:hAnsi="宋体"/>
          <w:b/>
          <w:color w:val="auto"/>
          <w:szCs w:val="28"/>
          <w:highlight w:val="none"/>
        </w:rPr>
      </w:pPr>
      <w:r>
        <w:rPr>
          <w:rFonts w:hint="eastAsia" w:hAnsi="宋体"/>
          <w:b/>
          <w:color w:val="auto"/>
          <w:szCs w:val="28"/>
          <w:highlight w:val="none"/>
        </w:rPr>
        <w:t>报价表格式</w:t>
      </w:r>
    </w:p>
    <w:p w14:paraId="1004E756">
      <w:pPr>
        <w:spacing w:before="156" w:beforeLines="50" w:after="156" w:afterLines="50" w:line="360" w:lineRule="auto"/>
        <w:jc w:val="left"/>
        <w:rPr>
          <w:rFonts w:hAnsi="宋体"/>
          <w:b/>
          <w:color w:val="auto"/>
          <w:szCs w:val="28"/>
          <w:highlight w:val="none"/>
        </w:rPr>
      </w:pPr>
      <w:r>
        <w:rPr>
          <w:rFonts w:hint="eastAsia" w:hAnsi="宋体"/>
          <w:b/>
          <w:color w:val="auto"/>
          <w:szCs w:val="28"/>
          <w:highlight w:val="none"/>
        </w:rPr>
        <w:t>1报价表</w:t>
      </w:r>
    </w:p>
    <w:p w14:paraId="26289631">
      <w:pPr>
        <w:snapToGrid w:val="0"/>
        <w:spacing w:line="360" w:lineRule="auto"/>
        <w:jc w:val="left"/>
        <w:rPr>
          <w:rFonts w:hAnsi="宋体"/>
          <w:b/>
          <w:color w:val="auto"/>
          <w:szCs w:val="28"/>
          <w:highlight w:val="none"/>
        </w:rPr>
      </w:pPr>
      <w:r>
        <w:rPr>
          <w:rFonts w:hint="eastAsia" w:hAnsi="宋体"/>
          <w:b/>
          <w:color w:val="auto"/>
          <w:szCs w:val="28"/>
          <w:highlight w:val="none"/>
        </w:rPr>
        <w:t>项目名称：</w:t>
      </w:r>
    </w:p>
    <w:p w14:paraId="7A43B9E2">
      <w:pPr>
        <w:snapToGrid w:val="0"/>
        <w:spacing w:after="156" w:afterLines="50" w:line="360" w:lineRule="auto"/>
        <w:jc w:val="left"/>
        <w:rPr>
          <w:rFonts w:hAnsi="宋体"/>
          <w:b/>
          <w:bCs/>
          <w:color w:val="auto"/>
          <w:szCs w:val="28"/>
          <w:highlight w:val="none"/>
          <w:u w:val="single"/>
        </w:rPr>
      </w:pPr>
      <w:r>
        <w:rPr>
          <w:rFonts w:hint="eastAsia" w:hAnsi="宋体"/>
          <w:b/>
          <w:color w:val="auto"/>
          <w:szCs w:val="28"/>
          <w:highlight w:val="none"/>
        </w:rPr>
        <w:t>项目编号：</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68C9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7418C249">
            <w:pPr>
              <w:spacing w:line="360" w:lineRule="auto"/>
              <w:jc w:val="center"/>
              <w:rPr>
                <w:rFonts w:hAnsi="宋体"/>
                <w:b/>
                <w:color w:val="auto"/>
                <w:highlight w:val="none"/>
              </w:rPr>
            </w:pPr>
            <w:r>
              <w:rPr>
                <w:rFonts w:hint="eastAsia" w:hAnsi="宋体"/>
                <w:b/>
                <w:color w:val="auto"/>
                <w:highlight w:val="none"/>
              </w:rPr>
              <w:t>供应商名称</w:t>
            </w:r>
          </w:p>
        </w:tc>
        <w:tc>
          <w:tcPr>
            <w:tcW w:w="6492" w:type="dxa"/>
            <w:tcBorders>
              <w:left w:val="single" w:color="auto" w:sz="4" w:space="0"/>
            </w:tcBorders>
          </w:tcPr>
          <w:p w14:paraId="198E3D94">
            <w:pPr>
              <w:spacing w:line="360" w:lineRule="auto"/>
              <w:rPr>
                <w:rFonts w:hAnsi="宋体"/>
                <w:b/>
                <w:color w:val="auto"/>
                <w:highlight w:val="none"/>
              </w:rPr>
            </w:pPr>
          </w:p>
        </w:tc>
      </w:tr>
      <w:tr w14:paraId="35A1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6BE41970">
            <w:pPr>
              <w:spacing w:line="360" w:lineRule="exact"/>
              <w:jc w:val="center"/>
              <w:rPr>
                <w:rFonts w:hAnsi="宋体"/>
                <w:b/>
                <w:color w:val="auto"/>
                <w:highlight w:val="none"/>
              </w:rPr>
            </w:pPr>
            <w:r>
              <w:rPr>
                <w:rFonts w:hint="eastAsia" w:hAnsi="宋体"/>
                <w:b/>
                <w:color w:val="auto"/>
                <w:highlight w:val="none"/>
              </w:rPr>
              <w:t>评标范围</w:t>
            </w:r>
          </w:p>
        </w:tc>
        <w:tc>
          <w:tcPr>
            <w:tcW w:w="6492" w:type="dxa"/>
            <w:tcBorders>
              <w:left w:val="single" w:color="auto" w:sz="4" w:space="0"/>
            </w:tcBorders>
            <w:vAlign w:val="center"/>
          </w:tcPr>
          <w:p w14:paraId="62B703EB">
            <w:pPr>
              <w:snapToGrid w:val="0"/>
              <w:spacing w:line="360" w:lineRule="auto"/>
              <w:rPr>
                <w:rFonts w:hAnsi="宋体"/>
                <w:b/>
                <w:color w:val="auto"/>
                <w:highlight w:val="none"/>
              </w:rPr>
            </w:pPr>
            <w:r>
              <w:rPr>
                <w:rFonts w:hint="eastAsia" w:hAnsi="宋体"/>
                <w:bCs/>
                <w:color w:val="auto"/>
                <w:highlight w:val="none"/>
              </w:rPr>
              <w:t>全部</w:t>
            </w:r>
          </w:p>
        </w:tc>
      </w:tr>
      <w:tr w14:paraId="69A5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39B25DB4">
            <w:pPr>
              <w:spacing w:line="360" w:lineRule="auto"/>
              <w:jc w:val="center"/>
              <w:rPr>
                <w:rFonts w:hAnsi="宋体"/>
                <w:b/>
                <w:color w:val="auto"/>
                <w:highlight w:val="none"/>
              </w:rPr>
            </w:pPr>
            <w:r>
              <w:rPr>
                <w:rFonts w:hint="eastAsia" w:hAnsi="宋体"/>
                <w:b/>
                <w:color w:val="auto"/>
                <w:highlight w:val="none"/>
              </w:rPr>
              <w:t>报价</w:t>
            </w:r>
          </w:p>
          <w:p w14:paraId="218DA5D2">
            <w:pPr>
              <w:spacing w:line="360" w:lineRule="auto"/>
              <w:jc w:val="center"/>
              <w:rPr>
                <w:rFonts w:hAnsi="宋体"/>
                <w:b/>
                <w:color w:val="auto"/>
                <w:highlight w:val="none"/>
              </w:rPr>
            </w:pPr>
            <w:r>
              <w:rPr>
                <w:rFonts w:hint="eastAsia" w:hAnsi="宋体"/>
                <w:b/>
                <w:color w:val="auto"/>
                <w:highlight w:val="none"/>
              </w:rPr>
              <w:t>（详见备注说明）</w:t>
            </w:r>
          </w:p>
        </w:tc>
        <w:tc>
          <w:tcPr>
            <w:tcW w:w="6492" w:type="dxa"/>
            <w:vAlign w:val="center"/>
          </w:tcPr>
          <w:p w14:paraId="7B9CC720">
            <w:pPr>
              <w:snapToGrid w:val="0"/>
              <w:spacing w:line="360" w:lineRule="auto"/>
              <w:rPr>
                <w:rFonts w:hint="default" w:hAnsi="宋体"/>
                <w:b/>
                <w:color w:val="auto"/>
                <w:highlight w:val="none"/>
                <w:u w:val="single"/>
                <w:lang w:val="en-US" w:eastAsia="zh-CN"/>
              </w:rPr>
            </w:pPr>
            <w:r>
              <w:rPr>
                <w:rFonts w:hint="eastAsia" w:hAnsi="宋体"/>
                <w:b/>
                <w:color w:val="auto"/>
                <w:highlight w:val="none"/>
                <w:u w:val="none"/>
                <w:lang w:val="en-US" w:eastAsia="zh-CN"/>
              </w:rPr>
              <w:t>金额</w:t>
            </w:r>
            <w:r>
              <w:rPr>
                <w:rFonts w:hint="eastAsia" w:hAnsi="宋体"/>
                <w:b/>
                <w:color w:val="auto"/>
                <w:highlight w:val="none"/>
                <w:u w:val="single"/>
                <w:lang w:val="en-US" w:eastAsia="zh-CN"/>
              </w:rPr>
              <w:t xml:space="preserve">           元</w:t>
            </w:r>
          </w:p>
        </w:tc>
      </w:tr>
      <w:tr w14:paraId="6ED9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0D1FB776">
            <w:pPr>
              <w:spacing w:line="360" w:lineRule="auto"/>
              <w:jc w:val="center"/>
              <w:rPr>
                <w:rFonts w:hAnsi="宋体"/>
                <w:b/>
                <w:color w:val="auto"/>
                <w:highlight w:val="none"/>
              </w:rPr>
            </w:pPr>
            <w:r>
              <w:rPr>
                <w:rFonts w:hint="eastAsia" w:hAnsi="宋体"/>
                <w:b/>
                <w:color w:val="auto"/>
                <w:highlight w:val="none"/>
              </w:rPr>
              <w:t>备注说明</w:t>
            </w:r>
          </w:p>
        </w:tc>
        <w:tc>
          <w:tcPr>
            <w:tcW w:w="6492" w:type="dxa"/>
          </w:tcPr>
          <w:p w14:paraId="509597CA">
            <w:pPr>
              <w:spacing w:line="360" w:lineRule="auto"/>
              <w:rPr>
                <w:rFonts w:hint="default" w:hAnsi="宋体"/>
                <w:b/>
                <w:color w:val="auto"/>
                <w:highlight w:val="none"/>
                <w:lang w:val="en-US"/>
              </w:rPr>
            </w:pPr>
            <w:r>
              <w:rPr>
                <w:rFonts w:hint="default" w:ascii="Times New Roman" w:hAnsi="Times New Roman" w:eastAsia="宋体" w:cs="Times New Roman"/>
                <w:sz w:val="24"/>
                <w:szCs w:val="24"/>
                <w:highlight w:val="none"/>
                <w:lang w:val="en-US" w:eastAsia="zh-CN"/>
              </w:rPr>
              <w:t>价格分值占总分值的权重为</w:t>
            </w:r>
            <w:r>
              <w:rPr>
                <w:rFonts w:hint="default" w:ascii="Times New Roman" w:hAnsi="Times New Roman" w:cs="Times New Roman"/>
                <w:sz w:val="24"/>
                <w:szCs w:val="24"/>
                <w:highlight w:val="none"/>
                <w:lang w:val="en-US" w:eastAsia="zh-CN"/>
              </w:rPr>
              <w:t>10</w:t>
            </w:r>
            <w:r>
              <w:rPr>
                <w:rFonts w:hint="default" w:ascii="Times New Roman" w:hAnsi="Times New Roman" w:eastAsia="宋体" w:cs="Times New Roman"/>
                <w:sz w:val="24"/>
                <w:szCs w:val="24"/>
                <w:highlight w:val="none"/>
                <w:lang w:val="en-US" w:eastAsia="zh-CN"/>
              </w:rPr>
              <w:t>%</w:t>
            </w:r>
          </w:p>
        </w:tc>
      </w:tr>
    </w:tbl>
    <w:p w14:paraId="760AAC2E">
      <w:pPr>
        <w:snapToGrid w:val="0"/>
        <w:spacing w:line="360" w:lineRule="auto"/>
        <w:rPr>
          <w:rFonts w:hAnsi="宋体"/>
          <w:b/>
          <w:color w:val="auto"/>
          <w:highlight w:val="none"/>
        </w:rPr>
      </w:pPr>
      <w:r>
        <w:rPr>
          <w:rFonts w:hint="eastAsia" w:hAnsi="宋体"/>
          <w:b/>
          <w:color w:val="auto"/>
          <w:highlight w:val="none"/>
        </w:rPr>
        <w:t xml:space="preserve">供应商公章：                       </w:t>
      </w:r>
    </w:p>
    <w:p w14:paraId="0A468409">
      <w:pPr>
        <w:snapToGrid w:val="0"/>
        <w:spacing w:line="360" w:lineRule="auto"/>
        <w:ind w:left="5550"/>
        <w:jc w:val="center"/>
        <w:rPr>
          <w:rFonts w:hAnsi="宋体"/>
          <w:color w:val="auto"/>
          <w:highlight w:val="none"/>
        </w:rPr>
      </w:pPr>
      <w:r>
        <w:rPr>
          <w:rFonts w:hint="eastAsia" w:hAnsi="宋体"/>
          <w:color w:val="auto"/>
          <w:highlight w:val="none"/>
        </w:rPr>
        <w:t>年     月     日</w:t>
      </w:r>
    </w:p>
    <w:p w14:paraId="7AD3103A">
      <w:pPr>
        <w:adjustRightInd w:val="0"/>
        <w:snapToGrid w:val="0"/>
        <w:spacing w:line="360" w:lineRule="auto"/>
        <w:rPr>
          <w:rFonts w:hAnsi="宋体"/>
          <w:b/>
          <w:bCs/>
          <w:color w:val="auto"/>
          <w:szCs w:val="28"/>
          <w:highlight w:val="none"/>
        </w:rPr>
      </w:pPr>
      <w:r>
        <w:rPr>
          <w:rFonts w:hint="eastAsia" w:hAnsi="宋体"/>
          <w:b/>
          <w:bCs/>
          <w:color w:val="auto"/>
          <w:szCs w:val="28"/>
          <w:highlight w:val="none"/>
        </w:rPr>
        <w:t>注：</w:t>
      </w:r>
    </w:p>
    <w:p w14:paraId="02E6224C">
      <w:pPr>
        <w:adjustRightInd w:val="0"/>
        <w:snapToGrid w:val="0"/>
        <w:spacing w:line="360" w:lineRule="auto"/>
        <w:ind w:firstLine="422" w:firstLineChars="200"/>
        <w:rPr>
          <w:rFonts w:hAnsi="宋体"/>
          <w:color w:val="auto"/>
          <w:highlight w:val="none"/>
        </w:rPr>
      </w:pPr>
      <w:r>
        <w:rPr>
          <w:rFonts w:hint="eastAsia" w:hAnsi="宋体"/>
          <w:b/>
          <w:bCs/>
          <w:color w:val="auto"/>
          <w:szCs w:val="28"/>
          <w:highlight w:val="none"/>
        </w:rPr>
        <w:t>1、本表内容包括了</w:t>
      </w:r>
      <w:r>
        <w:rPr>
          <w:rFonts w:hint="eastAsia" w:hAnsi="宋体"/>
          <w:b/>
          <w:bCs/>
          <w:color w:val="auto"/>
          <w:szCs w:val="28"/>
          <w:highlight w:val="none"/>
          <w:lang w:val="en-US" w:eastAsia="zh-CN"/>
        </w:rPr>
        <w:t>货物、</w:t>
      </w:r>
      <w:r>
        <w:rPr>
          <w:rFonts w:hint="eastAsia" w:hAnsi="宋体"/>
          <w:b/>
          <w:bCs/>
          <w:color w:val="auto"/>
          <w:szCs w:val="28"/>
          <w:highlight w:val="none"/>
        </w:rPr>
        <w:t>服务及其配套的设计、采购、运输、保险、仓储、税费以及现场落地、安装及安装耗损、调试、验收、培训、技术服务（包括技术资料、图纸的提供）质保期内的售后服务保障等所有费用。</w:t>
      </w:r>
    </w:p>
    <w:p w14:paraId="6CC533B2">
      <w:pPr>
        <w:adjustRightInd w:val="0"/>
        <w:snapToGrid w:val="0"/>
        <w:spacing w:line="360" w:lineRule="auto"/>
        <w:ind w:firstLine="422" w:firstLineChars="200"/>
        <w:rPr>
          <w:rFonts w:hAnsi="宋体"/>
          <w:b/>
          <w:bCs/>
          <w:color w:val="auto"/>
          <w:szCs w:val="28"/>
          <w:highlight w:val="none"/>
        </w:rPr>
      </w:pPr>
      <w:r>
        <w:rPr>
          <w:rFonts w:hint="eastAsia" w:hAnsi="宋体"/>
          <w:b/>
          <w:bCs/>
          <w:color w:val="auto"/>
          <w:szCs w:val="28"/>
          <w:highlight w:val="none"/>
        </w:rPr>
        <w:t>2、特殊事项在备注中注明。</w:t>
      </w:r>
    </w:p>
    <w:p w14:paraId="7B6BE52C">
      <w:pPr>
        <w:adjustRightInd w:val="0"/>
        <w:snapToGrid w:val="0"/>
        <w:spacing w:line="360" w:lineRule="auto"/>
        <w:ind w:firstLine="422" w:firstLineChars="200"/>
        <w:rPr>
          <w:rFonts w:hAnsi="宋体"/>
          <w:b/>
          <w:bCs/>
          <w:color w:val="auto"/>
          <w:szCs w:val="28"/>
          <w:highlight w:val="none"/>
        </w:rPr>
      </w:pPr>
    </w:p>
    <w:p w14:paraId="19B84A5C">
      <w:pPr>
        <w:pStyle w:val="19"/>
        <w:ind w:left="438" w:firstLine="600"/>
        <w:rPr>
          <w:rFonts w:hAnsi="宋体"/>
          <w:b/>
          <w:bCs/>
          <w:color w:val="auto"/>
          <w:szCs w:val="28"/>
          <w:highlight w:val="none"/>
        </w:rPr>
      </w:pPr>
    </w:p>
    <w:p w14:paraId="13D274D9">
      <w:pPr>
        <w:pStyle w:val="19"/>
        <w:ind w:left="438" w:firstLine="600"/>
        <w:rPr>
          <w:rFonts w:hAnsi="宋体"/>
          <w:b/>
          <w:bCs/>
          <w:color w:val="auto"/>
          <w:szCs w:val="28"/>
          <w:highlight w:val="none"/>
        </w:rPr>
      </w:pPr>
    </w:p>
    <w:p w14:paraId="53882842">
      <w:pPr>
        <w:rPr>
          <w:color w:val="auto"/>
          <w:highlight w:val="none"/>
        </w:rPr>
      </w:pPr>
    </w:p>
    <w:bookmarkEnd w:id="0"/>
    <w:p w14:paraId="561FC466">
      <w:pPr>
        <w:spacing w:line="360" w:lineRule="auto"/>
        <w:rPr>
          <w:rFonts w:hAnsi="宋体" w:cs="宋体"/>
          <w:b/>
          <w:bCs/>
          <w:color w:val="auto"/>
          <w:szCs w:val="24"/>
          <w:highlight w:val="none"/>
        </w:rPr>
      </w:pPr>
      <w:r>
        <w:rPr>
          <w:rFonts w:hAnsi="宋体" w:cs="宋体"/>
          <w:b/>
          <w:bCs/>
          <w:color w:val="auto"/>
          <w:szCs w:val="24"/>
          <w:highlight w:val="none"/>
        </w:rPr>
        <w:t>二</w:t>
      </w:r>
      <w:r>
        <w:rPr>
          <w:rFonts w:hint="eastAsia" w:hAnsi="宋体" w:cs="宋体"/>
          <w:b/>
          <w:bCs/>
          <w:color w:val="auto"/>
          <w:szCs w:val="24"/>
          <w:highlight w:val="none"/>
        </w:rPr>
        <w:t>、</w:t>
      </w:r>
    </w:p>
    <w:p w14:paraId="4B5FF449">
      <w:pPr>
        <w:spacing w:line="360" w:lineRule="auto"/>
        <w:jc w:val="center"/>
        <w:rPr>
          <w:rFonts w:hAnsi="宋体" w:cs="宋体"/>
          <w:b/>
          <w:bCs/>
          <w:color w:val="auto"/>
          <w:szCs w:val="24"/>
          <w:highlight w:val="none"/>
        </w:rPr>
      </w:pPr>
    </w:p>
    <w:p w14:paraId="28A058D4">
      <w:pPr>
        <w:spacing w:line="360" w:lineRule="auto"/>
        <w:jc w:val="center"/>
        <w:rPr>
          <w:rFonts w:hAnsi="宋体" w:cs="宋体"/>
          <w:color w:val="auto"/>
          <w:szCs w:val="24"/>
          <w:highlight w:val="none"/>
        </w:rPr>
      </w:pPr>
      <w:r>
        <w:rPr>
          <w:rFonts w:hint="eastAsia" w:hAnsi="宋体" w:cs="宋体"/>
          <w:b/>
          <w:bCs/>
          <w:color w:val="auto"/>
          <w:szCs w:val="24"/>
          <w:highlight w:val="none"/>
        </w:rPr>
        <w:t>供应商综合情况简介</w:t>
      </w:r>
    </w:p>
    <w:p w14:paraId="740F5624">
      <w:pPr>
        <w:spacing w:line="360" w:lineRule="auto"/>
        <w:rPr>
          <w:rFonts w:hAnsi="宋体" w:cs="宋体"/>
          <w:color w:val="auto"/>
          <w:szCs w:val="24"/>
          <w:highlight w:val="none"/>
        </w:rPr>
      </w:pPr>
    </w:p>
    <w:p w14:paraId="4DD2AA59">
      <w:pPr>
        <w:spacing w:line="360" w:lineRule="auto"/>
        <w:rPr>
          <w:rFonts w:hAnsi="宋体" w:cs="宋体"/>
          <w:color w:val="auto"/>
          <w:szCs w:val="24"/>
          <w:highlight w:val="none"/>
        </w:rPr>
      </w:pPr>
    </w:p>
    <w:p w14:paraId="42FA2997">
      <w:pPr>
        <w:spacing w:line="500" w:lineRule="exact"/>
        <w:jc w:val="center"/>
        <w:rPr>
          <w:rFonts w:hAnsi="宋体" w:cs="宋体"/>
          <w:color w:val="auto"/>
          <w:szCs w:val="24"/>
          <w:highlight w:val="none"/>
        </w:rPr>
      </w:pPr>
      <w:r>
        <w:rPr>
          <w:rFonts w:hint="eastAsia" w:hAnsi="宋体" w:cs="宋体"/>
          <w:color w:val="auto"/>
          <w:szCs w:val="24"/>
          <w:highlight w:val="none"/>
        </w:rPr>
        <w:t>(供应商可自行制作格式)</w:t>
      </w:r>
    </w:p>
    <w:p w14:paraId="364C5E58">
      <w:pPr>
        <w:spacing w:line="500" w:lineRule="exact"/>
        <w:jc w:val="center"/>
        <w:rPr>
          <w:rFonts w:hAnsi="宋体" w:cs="宋体"/>
          <w:color w:val="auto"/>
          <w:szCs w:val="24"/>
          <w:highlight w:val="none"/>
        </w:rPr>
      </w:pPr>
    </w:p>
    <w:p w14:paraId="22C7D021">
      <w:pPr>
        <w:spacing w:line="360" w:lineRule="auto"/>
        <w:outlineLvl w:val="1"/>
        <w:rPr>
          <w:rFonts w:hint="eastAsia" w:hAnsi="宋体" w:eastAsia="宋体" w:cs="宋体"/>
          <w:b/>
          <w:color w:val="auto"/>
          <w:szCs w:val="24"/>
          <w:highlight w:val="none"/>
          <w:lang w:eastAsia="zh-CN"/>
        </w:rPr>
      </w:pPr>
      <w:bookmarkStart w:id="4" w:name="_Toc438648620"/>
      <w:r>
        <w:rPr>
          <w:rFonts w:hint="eastAsia" w:hAnsi="宋体" w:cs="宋体"/>
          <w:b/>
          <w:color w:val="auto"/>
          <w:szCs w:val="24"/>
          <w:highlight w:val="none"/>
        </w:rPr>
        <w:br w:type="page"/>
      </w:r>
      <w:bookmarkEnd w:id="4"/>
      <w:r>
        <w:rPr>
          <w:rFonts w:hint="eastAsia" w:hAnsi="宋体" w:cs="宋体"/>
          <w:b/>
          <w:color w:val="auto"/>
          <w:szCs w:val="24"/>
          <w:highlight w:val="none"/>
          <w:lang w:val="en-US" w:eastAsia="zh-CN"/>
        </w:rPr>
        <w:t>三、</w:t>
      </w:r>
    </w:p>
    <w:p w14:paraId="176D7D15">
      <w:pPr>
        <w:autoSpaceDE w:val="0"/>
        <w:autoSpaceDN w:val="0"/>
        <w:adjustRightInd w:val="0"/>
        <w:spacing w:line="360" w:lineRule="auto"/>
        <w:jc w:val="center"/>
        <w:rPr>
          <w:rFonts w:hAnsi="宋体" w:cs="宋体"/>
          <w:b/>
          <w:color w:val="auto"/>
          <w:szCs w:val="24"/>
          <w:highlight w:val="none"/>
          <w:lang w:val="zh-CN"/>
        </w:rPr>
      </w:pPr>
    </w:p>
    <w:p w14:paraId="30B56669">
      <w:pPr>
        <w:autoSpaceDE w:val="0"/>
        <w:autoSpaceDN w:val="0"/>
        <w:adjustRightInd w:val="0"/>
        <w:spacing w:line="360" w:lineRule="auto"/>
        <w:jc w:val="center"/>
        <w:rPr>
          <w:rFonts w:hAnsi="宋体" w:cs="宋体"/>
          <w:b/>
          <w:color w:val="auto"/>
          <w:szCs w:val="24"/>
          <w:highlight w:val="none"/>
          <w:lang w:val="zh-CN"/>
        </w:rPr>
      </w:pPr>
      <w:r>
        <w:rPr>
          <w:rFonts w:hint="eastAsia" w:hAnsi="宋体" w:cs="宋体"/>
          <w:b/>
          <w:color w:val="auto"/>
          <w:szCs w:val="24"/>
          <w:highlight w:val="none"/>
          <w:lang w:val="zh-CN"/>
        </w:rPr>
        <w:t>法定代表人身份证明书</w:t>
      </w:r>
    </w:p>
    <w:p w14:paraId="53DD21C1">
      <w:pPr>
        <w:autoSpaceDE w:val="0"/>
        <w:autoSpaceDN w:val="0"/>
        <w:adjustRightInd w:val="0"/>
        <w:spacing w:line="360" w:lineRule="auto"/>
        <w:jc w:val="center"/>
        <w:rPr>
          <w:rFonts w:hAnsi="宋体" w:cs="宋体"/>
          <w:b/>
          <w:color w:val="auto"/>
          <w:szCs w:val="24"/>
          <w:highlight w:val="none"/>
          <w:lang w:val="zh-CN"/>
        </w:rPr>
      </w:pPr>
    </w:p>
    <w:p w14:paraId="2FBF9EDA">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单位名称：</w:t>
      </w:r>
    </w:p>
    <w:p w14:paraId="5A81A7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地    址：</w:t>
      </w:r>
    </w:p>
    <w:p w14:paraId="1C205CF1">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成立时间：        年     月    日</w:t>
      </w:r>
    </w:p>
    <w:p w14:paraId="5D8A85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经营期限：</w:t>
      </w:r>
    </w:p>
    <w:p w14:paraId="64CD80D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姓    名：               性别：</w:t>
      </w:r>
    </w:p>
    <w:p w14:paraId="66C172F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年    龄：                    职务：</w:t>
      </w:r>
    </w:p>
    <w:p w14:paraId="1AA24754">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系</w:t>
      </w:r>
      <w:r>
        <w:rPr>
          <w:rFonts w:hint="eastAsia" w:hAnsi="宋体" w:cs="宋体"/>
          <w:color w:val="auto"/>
          <w:szCs w:val="24"/>
          <w:highlight w:val="none"/>
          <w:u w:val="single"/>
        </w:rPr>
        <w:t xml:space="preserve">     （供应商单位名称）      </w:t>
      </w:r>
      <w:r>
        <w:rPr>
          <w:rFonts w:hint="eastAsia" w:hAnsi="宋体" w:cs="宋体"/>
          <w:color w:val="auto"/>
          <w:szCs w:val="24"/>
          <w:highlight w:val="none"/>
        </w:rPr>
        <w:t xml:space="preserve"> 的法定代表人。</w:t>
      </w:r>
    </w:p>
    <w:p w14:paraId="1107AEEC">
      <w:pPr>
        <w:spacing w:before="62" w:beforeLines="20" w:after="62" w:afterLines="20" w:line="540" w:lineRule="exact"/>
        <w:ind w:firstLine="610"/>
        <w:rPr>
          <w:rFonts w:hAnsi="宋体" w:cs="宋体"/>
          <w:color w:val="auto"/>
          <w:szCs w:val="24"/>
          <w:highlight w:val="none"/>
        </w:rPr>
      </w:pPr>
    </w:p>
    <w:p w14:paraId="090A2DEF">
      <w:pPr>
        <w:pStyle w:val="9"/>
        <w:spacing w:before="62" w:beforeLines="20" w:after="62" w:afterLines="20" w:line="540" w:lineRule="exact"/>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特此证明。</w:t>
      </w:r>
    </w:p>
    <w:p w14:paraId="151515C5">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33130A5B">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435C6271">
      <w:pPr>
        <w:tabs>
          <w:tab w:val="left" w:pos="720"/>
          <w:tab w:val="left" w:pos="900"/>
        </w:tabs>
        <w:spacing w:before="62" w:beforeLines="20" w:after="62" w:afterLines="20" w:line="540" w:lineRule="exact"/>
        <w:ind w:firstLine="3990" w:firstLineChars="1900"/>
        <w:rPr>
          <w:rFonts w:hAnsi="宋体" w:cs="宋体"/>
          <w:color w:val="auto"/>
          <w:szCs w:val="24"/>
          <w:highlight w:val="none"/>
        </w:rPr>
      </w:pPr>
    </w:p>
    <w:p w14:paraId="46ABF4CB">
      <w:pPr>
        <w:tabs>
          <w:tab w:val="left" w:pos="720"/>
          <w:tab w:val="left" w:pos="900"/>
        </w:tabs>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供应商：</w:t>
      </w:r>
      <w:r>
        <w:rPr>
          <w:rFonts w:hint="eastAsia" w:hAnsi="宋体" w:cs="宋体"/>
          <w:color w:val="auto"/>
          <w:szCs w:val="24"/>
          <w:highlight w:val="none"/>
          <w:u w:val="single"/>
        </w:rPr>
        <w:t xml:space="preserve">            （盖公章）</w:t>
      </w:r>
    </w:p>
    <w:p w14:paraId="6309327D">
      <w:pPr>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日  期：年月日</w:t>
      </w:r>
    </w:p>
    <w:p w14:paraId="2ABC5EE3">
      <w:pPr>
        <w:spacing w:before="62" w:beforeLines="20" w:after="62" w:afterLines="20" w:line="540" w:lineRule="exact"/>
        <w:outlineLvl w:val="1"/>
        <w:rPr>
          <w:rFonts w:hint="eastAsia" w:hAnsi="宋体" w:eastAsia="宋体" w:cs="宋体"/>
          <w:b/>
          <w:color w:val="auto"/>
          <w:szCs w:val="24"/>
          <w:highlight w:val="none"/>
          <w:lang w:eastAsia="zh-CN"/>
        </w:rPr>
      </w:pPr>
      <w:r>
        <w:rPr>
          <w:rFonts w:hAnsi="宋体" w:cs="宋体"/>
          <w:color w:val="auto"/>
          <w:szCs w:val="24"/>
          <w:highlight w:val="none"/>
        </w:rPr>
        <w:br w:type="page"/>
      </w:r>
      <w:bookmarkStart w:id="5" w:name="_Toc438648622"/>
      <w:r>
        <w:rPr>
          <w:rFonts w:hint="eastAsia" w:hAnsi="宋体" w:cs="宋体"/>
          <w:b/>
          <w:color w:val="auto"/>
          <w:szCs w:val="24"/>
          <w:highlight w:val="none"/>
          <w:lang w:val="en-US" w:eastAsia="zh-CN"/>
        </w:rPr>
        <w:t>四、</w:t>
      </w:r>
    </w:p>
    <w:p w14:paraId="2078F361">
      <w:pPr>
        <w:spacing w:before="156" w:beforeLines="50" w:after="156" w:afterLines="50" w:line="360" w:lineRule="auto"/>
        <w:jc w:val="center"/>
        <w:rPr>
          <w:rFonts w:hAnsi="宋体" w:cs="宋体"/>
          <w:b/>
          <w:color w:val="auto"/>
          <w:szCs w:val="24"/>
          <w:highlight w:val="none"/>
        </w:rPr>
      </w:pPr>
      <w:r>
        <w:rPr>
          <w:rFonts w:hint="eastAsia" w:hAnsi="宋体" w:cs="宋体"/>
          <w:b/>
          <w:color w:val="auto"/>
          <w:szCs w:val="24"/>
          <w:highlight w:val="none"/>
        </w:rPr>
        <w:t>投标授权书</w:t>
      </w:r>
    </w:p>
    <w:p w14:paraId="58833C26">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本授权书声明：公司授权本公司</w:t>
      </w:r>
      <w:r>
        <w:rPr>
          <w:rFonts w:hint="eastAsia" w:hAnsi="宋体" w:cs="宋体"/>
          <w:color w:val="auto"/>
          <w:szCs w:val="24"/>
          <w:highlight w:val="none"/>
          <w:u w:val="single"/>
        </w:rPr>
        <w:t>（供应商授权代表姓名）</w:t>
      </w:r>
      <w:r>
        <w:rPr>
          <w:rFonts w:hint="eastAsia" w:hAnsi="宋体" w:cs="宋体"/>
          <w:color w:val="auto"/>
          <w:szCs w:val="24"/>
          <w:highlight w:val="none"/>
        </w:rPr>
        <w:t>代表本公司（工厂）参加</w:t>
      </w:r>
      <w:r>
        <w:rPr>
          <w:rFonts w:hint="eastAsia" w:hAnsi="宋体"/>
          <w:bCs/>
          <w:color w:val="auto"/>
          <w:szCs w:val="24"/>
          <w:highlight w:val="none"/>
        </w:rPr>
        <w:t>采购人</w:t>
      </w:r>
      <w:r>
        <w:rPr>
          <w:rFonts w:hint="eastAsia" w:hAnsi="宋体"/>
          <w:bCs/>
          <w:color w:val="auto"/>
          <w:szCs w:val="24"/>
          <w:highlight w:val="none"/>
          <w:u w:val="single"/>
        </w:rPr>
        <w:t xml:space="preserve">    项目名称       </w:t>
      </w:r>
      <w:r>
        <w:rPr>
          <w:rFonts w:hint="eastAsia" w:hAnsi="宋体" w:cs="宋体"/>
          <w:color w:val="auto"/>
          <w:szCs w:val="24"/>
          <w:highlight w:val="none"/>
        </w:rPr>
        <w:t>采购活动（项目编号： ），全权代表本公司处理评标过程的一切事宜，包括但不限于：评标、签约等。供应商授权代表在评标过程中所签署的一切文件和处理与之有关的一切事务，本公司均予以认可并对此承担责任。供应商授权代表无转委托权。特此授权。</w:t>
      </w:r>
    </w:p>
    <w:p w14:paraId="46AA81D9">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本授权书自出具之日起生效。</w:t>
      </w:r>
    </w:p>
    <w:p w14:paraId="1A00D85D">
      <w:pPr>
        <w:pStyle w:val="11"/>
        <w:snapToGrid w:val="0"/>
        <w:spacing w:line="360" w:lineRule="auto"/>
        <w:ind w:firstLine="480" w:firstLineChars="200"/>
        <w:jc w:val="left"/>
        <w:rPr>
          <w:rFonts w:hAnsi="宋体"/>
          <w:color w:val="auto"/>
          <w:sz w:val="24"/>
          <w:highlight w:val="none"/>
        </w:rPr>
      </w:pPr>
      <w:r>
        <w:rPr>
          <w:rFonts w:hint="eastAsia" w:hAnsi="宋体"/>
          <w:color w:val="auto"/>
          <w:sz w:val="24"/>
          <w:szCs w:val="28"/>
          <w:highlight w:val="none"/>
        </w:rPr>
        <w:t>授权代表</w:t>
      </w:r>
      <w:r>
        <w:rPr>
          <w:rFonts w:hint="eastAsia" w:hAnsi="宋体"/>
          <w:color w:val="auto"/>
          <w:sz w:val="24"/>
          <w:highlight w:val="none"/>
        </w:rPr>
        <w:t>身份证明扫描件或影印件：</w:t>
      </w:r>
    </w:p>
    <w:p w14:paraId="15124234">
      <w:pPr>
        <w:pStyle w:val="11"/>
        <w:snapToGrid w:val="0"/>
        <w:spacing w:line="360" w:lineRule="auto"/>
        <w:ind w:firstLine="480" w:firstLineChars="200"/>
        <w:jc w:val="left"/>
        <w:rPr>
          <w:rFonts w:hAnsi="宋体"/>
          <w:color w:val="auto"/>
          <w:sz w:val="24"/>
          <w:highlight w:val="none"/>
        </w:rPr>
      </w:pPr>
      <w:r>
        <w:rPr>
          <w:rFonts w:hAnsi="宋体"/>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v:textbox>
              </v:roundrect>
            </w:pict>
          </mc:Fallback>
        </mc:AlternateContent>
      </w:r>
    </w:p>
    <w:p w14:paraId="2143BC55">
      <w:pPr>
        <w:pStyle w:val="11"/>
        <w:snapToGrid w:val="0"/>
        <w:spacing w:line="360" w:lineRule="auto"/>
        <w:ind w:firstLine="480" w:firstLineChars="200"/>
        <w:jc w:val="left"/>
        <w:rPr>
          <w:rFonts w:hAnsi="宋体"/>
          <w:color w:val="auto"/>
          <w:sz w:val="24"/>
          <w:highlight w:val="none"/>
        </w:rPr>
      </w:pPr>
    </w:p>
    <w:p w14:paraId="1226A658">
      <w:pPr>
        <w:pStyle w:val="11"/>
        <w:snapToGrid w:val="0"/>
        <w:spacing w:line="360" w:lineRule="auto"/>
        <w:ind w:firstLine="480" w:firstLineChars="200"/>
        <w:jc w:val="left"/>
        <w:rPr>
          <w:rFonts w:hAnsi="宋体"/>
          <w:color w:val="auto"/>
          <w:sz w:val="24"/>
          <w:highlight w:val="none"/>
        </w:rPr>
      </w:pPr>
    </w:p>
    <w:p w14:paraId="2881CC13">
      <w:pPr>
        <w:pStyle w:val="11"/>
        <w:snapToGrid w:val="0"/>
        <w:spacing w:line="360" w:lineRule="auto"/>
        <w:ind w:firstLine="480" w:firstLineChars="200"/>
        <w:jc w:val="left"/>
        <w:rPr>
          <w:rFonts w:hAnsi="宋体"/>
          <w:color w:val="auto"/>
          <w:sz w:val="24"/>
          <w:highlight w:val="none"/>
        </w:rPr>
      </w:pPr>
    </w:p>
    <w:p w14:paraId="687406C5">
      <w:pPr>
        <w:pStyle w:val="11"/>
        <w:snapToGrid w:val="0"/>
        <w:spacing w:line="360" w:lineRule="auto"/>
        <w:ind w:firstLine="480" w:firstLineChars="200"/>
        <w:jc w:val="left"/>
        <w:rPr>
          <w:rFonts w:hAnsi="宋体"/>
          <w:color w:val="auto"/>
          <w:sz w:val="24"/>
          <w:highlight w:val="none"/>
        </w:rPr>
      </w:pPr>
    </w:p>
    <w:p w14:paraId="283D7114">
      <w:pPr>
        <w:pStyle w:val="11"/>
        <w:snapToGrid w:val="0"/>
        <w:spacing w:line="360" w:lineRule="auto"/>
        <w:ind w:firstLine="480" w:firstLineChars="200"/>
        <w:jc w:val="left"/>
        <w:rPr>
          <w:rFonts w:hAnsi="宋体"/>
          <w:color w:val="auto"/>
          <w:sz w:val="24"/>
          <w:highlight w:val="none"/>
        </w:rPr>
      </w:pPr>
    </w:p>
    <w:p w14:paraId="652CA97C">
      <w:pPr>
        <w:pStyle w:val="11"/>
        <w:snapToGrid w:val="0"/>
        <w:spacing w:line="360" w:lineRule="auto"/>
        <w:ind w:firstLine="480" w:firstLineChars="200"/>
        <w:jc w:val="left"/>
        <w:rPr>
          <w:rFonts w:hAnsi="宋体"/>
          <w:color w:val="auto"/>
          <w:sz w:val="24"/>
          <w:szCs w:val="28"/>
          <w:highlight w:val="none"/>
          <w:u w:val="single"/>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15248DE9">
      <w:pPr>
        <w:spacing w:line="360" w:lineRule="auto"/>
        <w:ind w:firstLine="315" w:firstLineChars="150"/>
        <w:rPr>
          <w:rFonts w:hAnsi="宋体"/>
          <w:color w:val="auto"/>
          <w:szCs w:val="28"/>
          <w:highlight w:val="none"/>
        </w:rPr>
      </w:pPr>
      <w:r>
        <w:rPr>
          <w:rFonts w:hint="eastAsia" w:hAnsi="宋体"/>
          <w:color w:val="auto"/>
          <w:szCs w:val="28"/>
          <w:highlight w:val="none"/>
        </w:rPr>
        <w:t>特此声明。</w:t>
      </w:r>
    </w:p>
    <w:p w14:paraId="52560382">
      <w:pPr>
        <w:spacing w:line="360" w:lineRule="auto"/>
        <w:ind w:right="440" w:firstLine="6438" w:firstLineChars="3054"/>
        <w:rPr>
          <w:rFonts w:hAnsi="宋体"/>
          <w:b/>
          <w:bCs/>
          <w:color w:val="auto"/>
          <w:szCs w:val="28"/>
          <w:highlight w:val="none"/>
        </w:rPr>
      </w:pPr>
      <w:r>
        <w:rPr>
          <w:rFonts w:hint="eastAsia" w:hAnsi="宋体"/>
          <w:b/>
          <w:bCs/>
          <w:color w:val="auto"/>
          <w:szCs w:val="28"/>
          <w:highlight w:val="none"/>
        </w:rPr>
        <w:t>供应商签章：</w:t>
      </w:r>
    </w:p>
    <w:p w14:paraId="08ED6998">
      <w:pPr>
        <w:spacing w:line="360" w:lineRule="auto"/>
        <w:jc w:val="right"/>
        <w:rPr>
          <w:rFonts w:hAnsi="宋体"/>
          <w:color w:val="auto"/>
          <w:szCs w:val="28"/>
          <w:highlight w:val="none"/>
        </w:rPr>
      </w:pPr>
      <w:r>
        <w:rPr>
          <w:rFonts w:hint="eastAsia" w:hAnsi="宋体"/>
          <w:color w:val="auto"/>
          <w:szCs w:val="28"/>
          <w:highlight w:val="none"/>
        </w:rPr>
        <w:t>日 期： 年  月   日</w:t>
      </w:r>
    </w:p>
    <w:p w14:paraId="07720822">
      <w:pPr>
        <w:pStyle w:val="11"/>
        <w:snapToGrid w:val="0"/>
        <w:spacing w:line="360" w:lineRule="auto"/>
        <w:jc w:val="left"/>
        <w:rPr>
          <w:rFonts w:hAnsi="宋体"/>
          <w:color w:val="auto"/>
          <w:sz w:val="24"/>
          <w:szCs w:val="28"/>
          <w:highlight w:val="none"/>
        </w:rPr>
      </w:pPr>
      <w:r>
        <w:rPr>
          <w:rFonts w:hint="eastAsia" w:hAnsi="宋体"/>
          <w:color w:val="auto"/>
          <w:sz w:val="24"/>
          <w:szCs w:val="28"/>
          <w:highlight w:val="none"/>
        </w:rPr>
        <w:t>注：</w:t>
      </w:r>
    </w:p>
    <w:p w14:paraId="2246BBB8">
      <w:pPr>
        <w:pStyle w:val="11"/>
        <w:snapToGrid w:val="0"/>
        <w:spacing w:line="360" w:lineRule="auto"/>
        <w:ind w:firstLine="480" w:firstLineChars="200"/>
        <w:jc w:val="left"/>
        <w:rPr>
          <w:rFonts w:hAnsi="宋体"/>
          <w:color w:val="auto"/>
          <w:sz w:val="24"/>
          <w:szCs w:val="28"/>
          <w:highlight w:val="none"/>
        </w:rPr>
      </w:pPr>
      <w:r>
        <w:rPr>
          <w:rFonts w:hint="eastAsia" w:hAnsi="宋体"/>
          <w:color w:val="auto"/>
          <w:sz w:val="24"/>
          <w:szCs w:val="28"/>
          <w:highlight w:val="none"/>
        </w:rPr>
        <w:t>1、本项目只允许有唯一的供应商授权代表，提供身份证明扫描件或影印件；</w:t>
      </w:r>
    </w:p>
    <w:p w14:paraId="637E8789">
      <w:pPr>
        <w:snapToGrid w:val="0"/>
        <w:spacing w:line="360" w:lineRule="auto"/>
        <w:ind w:firstLine="420" w:firstLineChars="200"/>
        <w:jc w:val="left"/>
        <w:rPr>
          <w:rFonts w:hAnsi="宋体" w:cs="宋体"/>
          <w:color w:val="auto"/>
          <w:szCs w:val="24"/>
          <w:highlight w:val="none"/>
        </w:rPr>
      </w:pPr>
      <w:r>
        <w:rPr>
          <w:rFonts w:hint="eastAsia" w:hAnsi="宋体"/>
          <w:color w:val="auto"/>
          <w:highlight w:val="none"/>
        </w:rPr>
        <w:t>2、法定代表人参加评标的无需此件，提供身份证明复印件即可。</w:t>
      </w:r>
    </w:p>
    <w:p w14:paraId="34356FE2">
      <w:pPr>
        <w:spacing w:line="360" w:lineRule="auto"/>
        <w:rPr>
          <w:rFonts w:hint="eastAsia" w:hAnsi="宋体" w:eastAsia="宋体" w:cs="宋体"/>
          <w:b/>
          <w:color w:val="auto"/>
          <w:szCs w:val="24"/>
          <w:highlight w:val="none"/>
          <w:lang w:eastAsia="zh-CN"/>
        </w:rPr>
      </w:pPr>
      <w:r>
        <w:rPr>
          <w:rFonts w:hAnsi="宋体" w:cs="宋体"/>
          <w:color w:val="auto"/>
          <w:szCs w:val="24"/>
          <w:highlight w:val="none"/>
        </w:rPr>
        <w:br w:type="page"/>
      </w:r>
      <w:bookmarkEnd w:id="5"/>
      <w:bookmarkStart w:id="6" w:name="_Toc433835936"/>
      <w:bookmarkStart w:id="7" w:name="_Toc438648630"/>
      <w:r>
        <w:rPr>
          <w:rFonts w:hint="eastAsia" w:hAnsi="宋体" w:cs="宋体"/>
          <w:b/>
          <w:color w:val="auto"/>
          <w:szCs w:val="24"/>
          <w:highlight w:val="none"/>
          <w:lang w:val="en-US" w:eastAsia="zh-CN"/>
        </w:rPr>
        <w:t>五、</w:t>
      </w:r>
    </w:p>
    <w:p w14:paraId="42CE1E3D">
      <w:pPr>
        <w:spacing w:line="360" w:lineRule="auto"/>
        <w:jc w:val="center"/>
        <w:rPr>
          <w:rFonts w:hAnsi="宋体" w:cs="宋体"/>
          <w:b/>
          <w:color w:val="auto"/>
          <w:szCs w:val="24"/>
          <w:highlight w:val="none"/>
        </w:rPr>
      </w:pPr>
      <w:r>
        <w:rPr>
          <w:rFonts w:hint="eastAsia" w:hAnsi="宋体" w:cs="仿宋_GB2312"/>
          <w:b/>
          <w:color w:val="auto"/>
          <w:sz w:val="28"/>
          <w:szCs w:val="28"/>
          <w:highlight w:val="none"/>
        </w:rPr>
        <w:t>无重大违法记录声明函、无不良信用记录承诺函</w:t>
      </w:r>
    </w:p>
    <w:p w14:paraId="588C845E">
      <w:pPr>
        <w:spacing w:line="360" w:lineRule="auto"/>
        <w:ind w:firstLine="435"/>
        <w:rPr>
          <w:rFonts w:hAnsi="宋体"/>
          <w:b/>
          <w:color w:val="auto"/>
          <w:sz w:val="28"/>
          <w:szCs w:val="28"/>
          <w:highlight w:val="none"/>
        </w:rPr>
      </w:pPr>
    </w:p>
    <w:p w14:paraId="26379675">
      <w:pPr>
        <w:spacing w:line="360" w:lineRule="auto"/>
        <w:ind w:firstLine="435"/>
        <w:rPr>
          <w:rFonts w:hAnsi="宋体"/>
          <w:color w:val="auto"/>
          <w:highlight w:val="none"/>
        </w:rPr>
      </w:pPr>
      <w:r>
        <w:rPr>
          <w:rFonts w:hint="eastAsia" w:hAnsi="宋体"/>
          <w:color w:val="auto"/>
          <w:highlight w:val="none"/>
        </w:rPr>
        <w:t>1、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09F4E4BD">
      <w:pPr>
        <w:spacing w:line="360" w:lineRule="auto"/>
        <w:ind w:firstLine="435"/>
        <w:rPr>
          <w:rFonts w:hAnsi="宋体"/>
          <w:color w:val="auto"/>
          <w:highlight w:val="none"/>
        </w:rPr>
      </w:pPr>
      <w:r>
        <w:rPr>
          <w:rFonts w:hint="eastAsia"/>
          <w:color w:val="auto"/>
          <w:highlight w:val="none"/>
        </w:rPr>
        <w:t>2、</w:t>
      </w:r>
      <w:r>
        <w:rPr>
          <w:rFonts w:hint="eastAsia" w:hAnsi="宋体"/>
          <w:color w:val="auto"/>
          <w:highlight w:val="none"/>
        </w:rPr>
        <w:t>本公司郑重声明，我公司无以下不良信用记录情形：</w:t>
      </w:r>
    </w:p>
    <w:p w14:paraId="0EF48175">
      <w:pPr>
        <w:spacing w:line="360" w:lineRule="auto"/>
        <w:ind w:firstLine="435"/>
        <w:rPr>
          <w:rFonts w:hAnsi="宋体"/>
          <w:color w:val="auto"/>
          <w:highlight w:val="none"/>
        </w:rPr>
      </w:pPr>
      <w:r>
        <w:rPr>
          <w:rFonts w:hint="eastAsia" w:hAnsi="宋体"/>
          <w:color w:val="auto"/>
          <w:highlight w:val="none"/>
        </w:rPr>
        <w:t>（1）公司被人民法院列入失信被执行人；</w:t>
      </w:r>
    </w:p>
    <w:p w14:paraId="08D4111F">
      <w:pPr>
        <w:spacing w:line="360" w:lineRule="auto"/>
        <w:ind w:firstLine="435"/>
        <w:rPr>
          <w:rFonts w:hAnsi="宋体"/>
          <w:color w:val="auto"/>
          <w:highlight w:val="none"/>
        </w:rPr>
      </w:pPr>
      <w:r>
        <w:rPr>
          <w:rFonts w:hint="eastAsia" w:hAnsi="宋体"/>
          <w:color w:val="auto"/>
          <w:highlight w:val="none"/>
        </w:rPr>
        <w:t>（2）公司、法定代表人或拟派项目经理（项目负责人）被人民检察院列入行贿犯罪档案；</w:t>
      </w:r>
    </w:p>
    <w:p w14:paraId="51798A53">
      <w:pPr>
        <w:spacing w:line="360" w:lineRule="auto"/>
        <w:ind w:firstLine="435"/>
        <w:rPr>
          <w:rFonts w:hAnsi="宋体"/>
          <w:color w:val="auto"/>
          <w:highlight w:val="none"/>
        </w:rPr>
      </w:pPr>
      <w:r>
        <w:rPr>
          <w:rFonts w:hint="eastAsia" w:hAnsi="宋体"/>
          <w:color w:val="auto"/>
          <w:highlight w:val="none"/>
        </w:rPr>
        <w:t>（3）公司被工商行政管理部门列入企业经营异常名录；</w:t>
      </w:r>
    </w:p>
    <w:p w14:paraId="2D3C1212">
      <w:pPr>
        <w:spacing w:line="360" w:lineRule="auto"/>
        <w:ind w:firstLine="435"/>
        <w:rPr>
          <w:rFonts w:hAnsi="宋体"/>
          <w:color w:val="auto"/>
          <w:highlight w:val="none"/>
        </w:rPr>
      </w:pPr>
      <w:r>
        <w:rPr>
          <w:rFonts w:hint="eastAsia" w:hAnsi="宋体"/>
          <w:color w:val="auto"/>
          <w:highlight w:val="none"/>
        </w:rPr>
        <w:t>（4）公司被税务部门列入重大税收违法案件当事人名单的。</w:t>
      </w:r>
    </w:p>
    <w:p w14:paraId="5B2036E5">
      <w:pPr>
        <w:spacing w:line="360" w:lineRule="auto"/>
        <w:ind w:firstLine="435"/>
        <w:rPr>
          <w:rFonts w:hAnsi="宋体"/>
          <w:color w:val="auto"/>
          <w:highlight w:val="none"/>
        </w:rPr>
      </w:pPr>
      <w:r>
        <w:rPr>
          <w:rFonts w:hint="eastAsia" w:hAnsi="宋体"/>
          <w:color w:val="auto"/>
          <w:highlight w:val="none"/>
        </w:rPr>
        <w:t>（4）公司被政府采购监管部门列入政府采购严重违法失信行为记录名单。</w:t>
      </w:r>
    </w:p>
    <w:p w14:paraId="016FEBEF">
      <w:pPr>
        <w:spacing w:line="360" w:lineRule="auto"/>
        <w:ind w:firstLine="435"/>
        <w:rPr>
          <w:color w:val="auto"/>
          <w:highlight w:val="none"/>
        </w:rPr>
      </w:pPr>
      <w:r>
        <w:rPr>
          <w:rFonts w:hAnsi="宋体"/>
          <w:b/>
          <w:color w:val="auto"/>
          <w:highlight w:val="none"/>
        </w:rPr>
        <w:t>我公司已就上述不良信用行为按照</w:t>
      </w:r>
      <w:r>
        <w:rPr>
          <w:rFonts w:hint="eastAsia" w:hAnsi="宋体"/>
          <w:b/>
          <w:color w:val="auto"/>
          <w:highlight w:val="none"/>
        </w:rPr>
        <w:t>评标文件</w:t>
      </w:r>
      <w:r>
        <w:rPr>
          <w:rFonts w:hAnsi="宋体"/>
          <w:b/>
          <w:color w:val="auto"/>
          <w:highlight w:val="none"/>
        </w:rPr>
        <w:t>中供应商须知前附表规定进行了查询。</w:t>
      </w:r>
      <w:r>
        <w:rPr>
          <w:rFonts w:hAnsi="宋体"/>
          <w:color w:val="auto"/>
          <w:highlight w:val="none"/>
        </w:rPr>
        <w:t>我公司承诺</w:t>
      </w:r>
      <w:r>
        <w:rPr>
          <w:rFonts w:hint="eastAsia" w:hAnsi="宋体"/>
          <w:color w:val="auto"/>
          <w:highlight w:val="none"/>
        </w:rPr>
        <w:t>：</w:t>
      </w:r>
      <w:r>
        <w:rPr>
          <w:rFonts w:hAnsi="宋体"/>
          <w:color w:val="auto"/>
          <w:highlight w:val="none"/>
        </w:rPr>
        <w:t>合同签订前，若我公司具有不良信用记录情形，贵方可取消我公司</w:t>
      </w:r>
      <w:r>
        <w:rPr>
          <w:rFonts w:hint="eastAsia" w:hAnsi="宋体"/>
          <w:color w:val="auto"/>
          <w:highlight w:val="none"/>
        </w:rPr>
        <w:t>成交</w:t>
      </w:r>
      <w:r>
        <w:rPr>
          <w:rFonts w:hAnsi="宋体"/>
          <w:color w:val="auto"/>
          <w:highlight w:val="none"/>
        </w:rPr>
        <w:t>资格或者不授予合同，所有责任由我公司自行承担。同时，我公司愿意无条件接受监管部门的调查处理。</w:t>
      </w:r>
    </w:p>
    <w:p w14:paraId="37AA85AD">
      <w:pPr>
        <w:spacing w:line="360" w:lineRule="auto"/>
        <w:ind w:firstLine="435"/>
        <w:rPr>
          <w:rFonts w:hAnsi="宋体"/>
          <w:color w:val="auto"/>
          <w:highlight w:val="none"/>
        </w:rPr>
      </w:pPr>
      <w:r>
        <w:rPr>
          <w:rFonts w:hint="eastAsia" w:hAnsi="宋体"/>
          <w:color w:val="auto"/>
          <w:highlight w:val="none"/>
        </w:rPr>
        <w:t>本公司对上述声明的真实性负责。如有虚假，将依法承担相应责任。</w:t>
      </w:r>
    </w:p>
    <w:p w14:paraId="7BE0AA63">
      <w:pPr>
        <w:spacing w:line="360" w:lineRule="auto"/>
        <w:ind w:firstLine="3700" w:firstLineChars="1762"/>
        <w:rPr>
          <w:rFonts w:hAnsi="宋体"/>
          <w:color w:val="auto"/>
          <w:highlight w:val="none"/>
        </w:rPr>
      </w:pPr>
    </w:p>
    <w:p w14:paraId="52EE0C11">
      <w:pPr>
        <w:spacing w:line="360" w:lineRule="auto"/>
        <w:ind w:firstLine="3700" w:firstLineChars="1762"/>
        <w:rPr>
          <w:rFonts w:hAnsi="宋体"/>
          <w:color w:val="auto"/>
          <w:highlight w:val="none"/>
        </w:rPr>
      </w:pPr>
    </w:p>
    <w:p w14:paraId="57C497FF">
      <w:pPr>
        <w:spacing w:line="360" w:lineRule="auto"/>
        <w:ind w:firstLine="3700" w:firstLineChars="1762"/>
        <w:rPr>
          <w:rFonts w:hAnsi="宋体"/>
          <w:color w:val="auto"/>
          <w:highlight w:val="none"/>
        </w:rPr>
      </w:pPr>
    </w:p>
    <w:p w14:paraId="5771A3D8">
      <w:pPr>
        <w:spacing w:line="360" w:lineRule="auto"/>
        <w:ind w:firstLine="3700" w:firstLineChars="1762"/>
        <w:rPr>
          <w:rFonts w:hAnsi="宋体"/>
          <w:color w:val="auto"/>
          <w:highlight w:val="none"/>
        </w:rPr>
      </w:pPr>
    </w:p>
    <w:p w14:paraId="0EC298F2">
      <w:pPr>
        <w:spacing w:line="360" w:lineRule="auto"/>
        <w:ind w:firstLine="3700" w:firstLineChars="1762"/>
        <w:rPr>
          <w:color w:val="auto"/>
          <w:highlight w:val="none"/>
          <w:u w:val="single"/>
        </w:rPr>
      </w:pPr>
      <w:r>
        <w:rPr>
          <w:rFonts w:hint="eastAsia" w:hAnsi="宋体"/>
          <w:color w:val="auto"/>
          <w:highlight w:val="none"/>
        </w:rPr>
        <w:t>供应商公章：</w:t>
      </w:r>
    </w:p>
    <w:p w14:paraId="3F8C5CD7">
      <w:pPr>
        <w:tabs>
          <w:tab w:val="left" w:pos="630"/>
        </w:tabs>
        <w:spacing w:line="360" w:lineRule="auto"/>
        <w:ind w:firstLine="3700" w:firstLineChars="1762"/>
        <w:rPr>
          <w:rFonts w:hAnsi="宋体"/>
          <w:color w:val="auto"/>
          <w:highlight w:val="none"/>
        </w:rPr>
      </w:pPr>
      <w:r>
        <w:rPr>
          <w:rFonts w:hint="eastAsia" w:hAnsi="宋体"/>
          <w:color w:val="auto"/>
          <w:highlight w:val="none"/>
        </w:rPr>
        <w:t>日期：</w:t>
      </w:r>
    </w:p>
    <w:p w14:paraId="125FF331">
      <w:pPr>
        <w:tabs>
          <w:tab w:val="left" w:pos="630"/>
        </w:tabs>
        <w:spacing w:line="360" w:lineRule="auto"/>
        <w:ind w:firstLine="3700" w:firstLineChars="1762"/>
        <w:rPr>
          <w:rFonts w:hAnsi="宋体"/>
          <w:color w:val="auto"/>
          <w:highlight w:val="none"/>
        </w:rPr>
      </w:pPr>
    </w:p>
    <w:p w14:paraId="6CE95FF7">
      <w:pPr>
        <w:tabs>
          <w:tab w:val="left" w:pos="630"/>
        </w:tabs>
        <w:spacing w:line="360" w:lineRule="auto"/>
        <w:ind w:firstLine="3700" w:firstLineChars="1762"/>
        <w:rPr>
          <w:rFonts w:hAnsi="宋体"/>
          <w:color w:val="auto"/>
          <w:highlight w:val="none"/>
        </w:rPr>
      </w:pPr>
    </w:p>
    <w:p w14:paraId="700DC374">
      <w:pPr>
        <w:tabs>
          <w:tab w:val="left" w:pos="630"/>
        </w:tabs>
        <w:spacing w:line="360" w:lineRule="auto"/>
        <w:ind w:firstLine="630"/>
        <w:rPr>
          <w:rFonts w:hAnsi="宋体"/>
          <w:color w:val="auto"/>
          <w:highlight w:val="none"/>
        </w:rPr>
      </w:pPr>
    </w:p>
    <w:p w14:paraId="673981BF">
      <w:pPr>
        <w:tabs>
          <w:tab w:val="left" w:pos="630"/>
        </w:tabs>
        <w:spacing w:line="360" w:lineRule="auto"/>
        <w:ind w:firstLine="630"/>
        <w:rPr>
          <w:rFonts w:hAnsi="宋体"/>
          <w:color w:val="auto"/>
          <w:highlight w:val="none"/>
        </w:rPr>
      </w:pPr>
    </w:p>
    <w:p w14:paraId="1DA6E8A9">
      <w:pPr>
        <w:tabs>
          <w:tab w:val="left" w:pos="630"/>
        </w:tabs>
        <w:spacing w:line="360" w:lineRule="auto"/>
        <w:ind w:firstLine="630"/>
        <w:rPr>
          <w:rFonts w:hAnsi="宋体"/>
          <w:color w:val="auto"/>
          <w:highlight w:val="none"/>
        </w:rPr>
      </w:pPr>
    </w:p>
    <w:p w14:paraId="2F7061EA">
      <w:pPr>
        <w:tabs>
          <w:tab w:val="left" w:pos="630"/>
        </w:tabs>
        <w:spacing w:line="360" w:lineRule="auto"/>
        <w:ind w:firstLine="630"/>
        <w:rPr>
          <w:rFonts w:hAnsi="宋体"/>
          <w:color w:val="auto"/>
          <w:highlight w:val="none"/>
        </w:rPr>
      </w:pPr>
    </w:p>
    <w:bookmarkEnd w:id="6"/>
    <w:bookmarkEnd w:id="7"/>
    <w:p w14:paraId="2C050F44">
      <w:pPr>
        <w:spacing w:line="360" w:lineRule="auto"/>
        <w:outlineLvl w:val="1"/>
        <w:rPr>
          <w:rFonts w:hint="eastAsia" w:hAnsi="宋体" w:eastAsia="宋体" w:cs="宋体"/>
          <w:b/>
          <w:color w:val="auto"/>
          <w:szCs w:val="24"/>
          <w:highlight w:val="none"/>
          <w:lang w:eastAsia="zh-CN"/>
        </w:rPr>
      </w:pPr>
      <w:r>
        <w:rPr>
          <w:rFonts w:hint="eastAsia" w:hAnsi="宋体" w:cs="宋体"/>
          <w:b/>
          <w:color w:val="auto"/>
          <w:szCs w:val="24"/>
          <w:highlight w:val="none"/>
          <w:lang w:val="en-US" w:eastAsia="zh-CN"/>
        </w:rPr>
        <w:t>六</w:t>
      </w:r>
    </w:p>
    <w:p w14:paraId="71B40C95">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服务方案及服务承诺</w:t>
      </w:r>
    </w:p>
    <w:p w14:paraId="73F6B896">
      <w:pPr>
        <w:spacing w:line="360" w:lineRule="auto"/>
        <w:jc w:val="center"/>
        <w:outlineLvl w:val="1"/>
        <w:rPr>
          <w:rFonts w:hAnsi="宋体" w:cs="宋体"/>
          <w:b/>
          <w:color w:val="auto"/>
          <w:szCs w:val="24"/>
          <w:highlight w:val="none"/>
        </w:rPr>
      </w:pPr>
    </w:p>
    <w:p w14:paraId="1F7CFF8B">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（供应商可自行制作格式）</w:t>
      </w:r>
    </w:p>
    <w:p w14:paraId="6CD7972D">
      <w:pPr>
        <w:spacing w:line="360" w:lineRule="auto"/>
        <w:jc w:val="center"/>
        <w:outlineLvl w:val="1"/>
        <w:rPr>
          <w:rFonts w:hAnsi="宋体" w:cs="宋体"/>
          <w:b/>
          <w:color w:val="auto"/>
          <w:szCs w:val="24"/>
          <w:highlight w:val="none"/>
        </w:rPr>
      </w:pPr>
    </w:p>
    <w:p w14:paraId="2EF1C778">
      <w:pPr>
        <w:spacing w:line="360" w:lineRule="auto"/>
        <w:jc w:val="left"/>
        <w:outlineLvl w:val="1"/>
        <w:rPr>
          <w:rFonts w:hint="eastAsia" w:hAnsi="宋体" w:eastAsia="宋体" w:cs="宋体"/>
          <w:b/>
          <w:color w:val="auto"/>
          <w:szCs w:val="24"/>
          <w:highlight w:val="none"/>
          <w:lang w:eastAsia="zh-CN"/>
        </w:rPr>
      </w:pPr>
      <w:r>
        <w:rPr>
          <w:rFonts w:hAnsi="宋体" w:cs="宋体"/>
          <w:b/>
          <w:color w:val="auto"/>
          <w:szCs w:val="24"/>
          <w:highlight w:val="none"/>
        </w:rPr>
        <w:br w:type="page"/>
      </w:r>
      <w:r>
        <w:rPr>
          <w:rFonts w:hint="eastAsia" w:hAnsi="宋体" w:cs="宋体"/>
          <w:b/>
          <w:color w:val="auto"/>
          <w:szCs w:val="24"/>
          <w:highlight w:val="none"/>
          <w:lang w:val="en-US" w:eastAsia="zh-CN"/>
        </w:rPr>
        <w:t>七、</w:t>
      </w:r>
    </w:p>
    <w:p w14:paraId="3557A29E">
      <w:pPr>
        <w:spacing w:line="360" w:lineRule="auto"/>
        <w:jc w:val="center"/>
        <w:rPr>
          <w:rFonts w:hAnsi="宋体"/>
          <w:b/>
          <w:bCs/>
          <w:color w:val="auto"/>
          <w:highlight w:val="none"/>
        </w:rPr>
      </w:pPr>
      <w:r>
        <w:rPr>
          <w:rFonts w:hint="eastAsia" w:hAnsi="宋体"/>
          <w:b/>
          <w:bCs/>
          <w:color w:val="auto"/>
          <w:highlight w:val="none"/>
        </w:rPr>
        <w:t>本地化服务情况一览表</w:t>
      </w:r>
    </w:p>
    <w:p w14:paraId="736D985B">
      <w:pPr>
        <w:jc w:val="center"/>
        <w:rPr>
          <w:rFonts w:hAnsi="宋体"/>
          <w:b/>
          <w:color w:val="auto"/>
          <w:highlight w:val="none"/>
        </w:rPr>
      </w:pPr>
      <w:r>
        <w:rPr>
          <w:rFonts w:hAnsi="宋体"/>
          <w:b/>
          <w:color w:val="auto"/>
          <w:highlight w:val="none"/>
        </w:rPr>
        <w:t>（</w:t>
      </w:r>
      <w:r>
        <w:rPr>
          <w:rFonts w:hint="eastAsia" w:hAnsi="宋体"/>
          <w:b/>
          <w:color w:val="auto"/>
          <w:highlight w:val="none"/>
        </w:rPr>
        <w:t>如评标文件未作本地化服务要求，不需此件）</w:t>
      </w:r>
    </w:p>
    <w:p w14:paraId="08F2C745">
      <w:pPr>
        <w:jc w:val="center"/>
        <w:rPr>
          <w:rFonts w:hAnsi="宋体"/>
          <w:color w:val="auto"/>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1BB9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6" w:type="dxa"/>
          </w:tcPr>
          <w:p w14:paraId="32063BA2">
            <w:pPr>
              <w:jc w:val="center"/>
              <w:rPr>
                <w:rFonts w:hAnsi="宋体"/>
                <w:color w:val="auto"/>
                <w:highlight w:val="none"/>
              </w:rPr>
            </w:pPr>
            <w:r>
              <w:rPr>
                <w:rFonts w:hint="eastAsia" w:hAnsi="宋体"/>
                <w:color w:val="auto"/>
                <w:highlight w:val="none"/>
              </w:rPr>
              <w:t>供应商全称</w:t>
            </w:r>
          </w:p>
        </w:tc>
        <w:tc>
          <w:tcPr>
            <w:tcW w:w="7665" w:type="dxa"/>
            <w:gridSpan w:val="4"/>
          </w:tcPr>
          <w:p w14:paraId="4412F850">
            <w:pPr>
              <w:rPr>
                <w:rFonts w:hAnsi="宋体"/>
                <w:color w:val="auto"/>
                <w:highlight w:val="none"/>
              </w:rPr>
            </w:pPr>
          </w:p>
        </w:tc>
      </w:tr>
      <w:tr w14:paraId="78C8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18D732C5">
            <w:pPr>
              <w:jc w:val="center"/>
              <w:rPr>
                <w:rFonts w:hAnsi="宋体"/>
                <w:color w:val="auto"/>
                <w:highlight w:val="none"/>
              </w:rPr>
            </w:pPr>
            <w:r>
              <w:rPr>
                <w:rFonts w:hint="eastAsia" w:hAnsi="宋体"/>
                <w:color w:val="auto"/>
                <w:highlight w:val="none"/>
              </w:rPr>
              <w:t>本地化服务形式</w:t>
            </w:r>
          </w:p>
        </w:tc>
        <w:tc>
          <w:tcPr>
            <w:tcW w:w="7665" w:type="dxa"/>
            <w:gridSpan w:val="4"/>
            <w:vAlign w:val="center"/>
          </w:tcPr>
          <w:p w14:paraId="30D707AE">
            <w:pPr>
              <w:rPr>
                <w:rFonts w:hAnsi="宋体"/>
                <w:color w:val="auto"/>
                <w:highlight w:val="none"/>
              </w:rPr>
            </w:pPr>
            <w:r>
              <w:rPr>
                <w:rFonts w:hint="eastAsia" w:hAnsi="宋体"/>
                <w:color w:val="auto"/>
                <w:highlight w:val="none"/>
              </w:rPr>
              <w:t xml:space="preserve">□ 在本地具有固定的办公场所及人员  </w:t>
            </w:r>
          </w:p>
          <w:p w14:paraId="1298C0E7">
            <w:pPr>
              <w:rPr>
                <w:rFonts w:hAnsi="宋体"/>
                <w:color w:val="auto"/>
                <w:highlight w:val="none"/>
              </w:rPr>
            </w:pPr>
            <w:r>
              <w:rPr>
                <w:rFonts w:hint="eastAsia" w:hAnsi="宋体"/>
                <w:color w:val="auto"/>
                <w:highlight w:val="none"/>
              </w:rPr>
              <w:t>□ 在本地注册成立</w:t>
            </w:r>
          </w:p>
          <w:p w14:paraId="02F3B423">
            <w:pPr>
              <w:rPr>
                <w:rFonts w:hAnsi="宋体"/>
                <w:color w:val="auto"/>
                <w:highlight w:val="none"/>
              </w:rPr>
            </w:pPr>
            <w:r>
              <w:rPr>
                <w:rFonts w:hint="eastAsia" w:hAnsi="宋体"/>
                <w:color w:val="auto"/>
                <w:highlight w:val="none"/>
              </w:rPr>
              <w:t>□ 承诺成交即设立本地化服务机构</w:t>
            </w:r>
          </w:p>
        </w:tc>
      </w:tr>
      <w:tr w14:paraId="2112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3CC6E860">
            <w:pPr>
              <w:rPr>
                <w:rFonts w:hAnsi="宋体"/>
                <w:color w:val="auto"/>
                <w:highlight w:val="none"/>
              </w:rPr>
            </w:pPr>
            <w:r>
              <w:rPr>
                <w:rFonts w:hint="eastAsia" w:hAnsi="宋体"/>
                <w:color w:val="auto"/>
                <w:highlight w:val="none"/>
              </w:rPr>
              <w:t>以下本地注册的公司无需填写</w:t>
            </w:r>
          </w:p>
        </w:tc>
      </w:tr>
      <w:tr w14:paraId="49B2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1AD7EFC1">
            <w:pPr>
              <w:jc w:val="center"/>
              <w:rPr>
                <w:rFonts w:hAnsi="宋体"/>
                <w:color w:val="auto"/>
                <w:highlight w:val="none"/>
              </w:rPr>
            </w:pPr>
            <w:r>
              <w:rPr>
                <w:rFonts w:hint="eastAsia" w:hAnsi="宋体"/>
                <w:color w:val="auto"/>
                <w:highlight w:val="none"/>
              </w:rPr>
              <w:t>本地化服务地点及联系方式</w:t>
            </w:r>
          </w:p>
        </w:tc>
        <w:tc>
          <w:tcPr>
            <w:tcW w:w="1134" w:type="dxa"/>
            <w:vAlign w:val="center"/>
          </w:tcPr>
          <w:p w14:paraId="04457060">
            <w:pPr>
              <w:jc w:val="center"/>
              <w:rPr>
                <w:rFonts w:hAnsi="宋体"/>
                <w:color w:val="auto"/>
                <w:highlight w:val="none"/>
              </w:rPr>
            </w:pPr>
          </w:p>
        </w:tc>
        <w:tc>
          <w:tcPr>
            <w:tcW w:w="2160" w:type="dxa"/>
            <w:vAlign w:val="center"/>
          </w:tcPr>
          <w:p w14:paraId="274EB215">
            <w:pPr>
              <w:jc w:val="center"/>
              <w:rPr>
                <w:rFonts w:hAnsi="宋体"/>
                <w:color w:val="auto"/>
                <w:highlight w:val="none"/>
              </w:rPr>
            </w:pPr>
          </w:p>
        </w:tc>
        <w:tc>
          <w:tcPr>
            <w:tcW w:w="1800" w:type="dxa"/>
            <w:vAlign w:val="center"/>
          </w:tcPr>
          <w:p w14:paraId="0DC7B27F">
            <w:pPr>
              <w:jc w:val="center"/>
              <w:rPr>
                <w:rFonts w:hAnsi="宋体"/>
                <w:color w:val="auto"/>
                <w:highlight w:val="none"/>
              </w:rPr>
            </w:pPr>
            <w:r>
              <w:rPr>
                <w:rFonts w:hint="eastAsia" w:hAnsi="宋体"/>
                <w:color w:val="auto"/>
                <w:highlight w:val="none"/>
              </w:rPr>
              <w:t>负责人及联系方式（附身份证号码）</w:t>
            </w:r>
          </w:p>
        </w:tc>
        <w:tc>
          <w:tcPr>
            <w:tcW w:w="2571" w:type="dxa"/>
          </w:tcPr>
          <w:p w14:paraId="2023B3A3">
            <w:pPr>
              <w:rPr>
                <w:rFonts w:hAnsi="宋体"/>
                <w:color w:val="auto"/>
                <w:highlight w:val="none"/>
              </w:rPr>
            </w:pPr>
          </w:p>
        </w:tc>
      </w:tr>
      <w:tr w14:paraId="1237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1F96C382">
            <w:pPr>
              <w:rPr>
                <w:rFonts w:hAnsi="宋体"/>
                <w:color w:val="auto"/>
                <w:highlight w:val="none"/>
              </w:rPr>
            </w:pPr>
            <w:r>
              <w:rPr>
                <w:rFonts w:hint="eastAsia" w:hAnsi="宋体"/>
                <w:color w:val="auto"/>
                <w:highlight w:val="none"/>
              </w:rPr>
              <w:t>服务人员名单及联系方式（附身份证号码）</w:t>
            </w:r>
          </w:p>
        </w:tc>
      </w:tr>
      <w:tr w14:paraId="1ACD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7FA502A9">
            <w:pPr>
              <w:rPr>
                <w:rFonts w:hAnsi="宋体"/>
                <w:color w:val="auto"/>
                <w:highlight w:val="none"/>
              </w:rPr>
            </w:pPr>
            <w:r>
              <w:rPr>
                <w:rFonts w:hint="eastAsia" w:hAnsi="宋体"/>
                <w:color w:val="auto"/>
                <w:highlight w:val="none"/>
              </w:rPr>
              <w:t>其他有关证明文件说明（如营业执照等，如有）：</w:t>
            </w:r>
          </w:p>
        </w:tc>
      </w:tr>
      <w:tr w14:paraId="6F9A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5D8B0C7A">
            <w:pPr>
              <w:rPr>
                <w:rFonts w:hAnsi="宋体"/>
                <w:color w:val="auto"/>
                <w:highlight w:val="none"/>
              </w:rPr>
            </w:pPr>
            <w:r>
              <w:rPr>
                <w:rFonts w:hint="eastAsia" w:hAnsi="宋体"/>
                <w:color w:val="auto"/>
                <w:highlight w:val="none"/>
              </w:rPr>
              <w:t>备注：具有合作伙伴的应填写合作伙伴的相关资料。</w:t>
            </w:r>
          </w:p>
        </w:tc>
      </w:tr>
    </w:tbl>
    <w:p w14:paraId="7F26C9EB">
      <w:pPr>
        <w:rPr>
          <w:rFonts w:hAnsi="宋体"/>
          <w:color w:val="auto"/>
          <w:highlight w:val="none"/>
        </w:rPr>
      </w:pPr>
    </w:p>
    <w:p w14:paraId="7246AF05">
      <w:pPr>
        <w:rPr>
          <w:rFonts w:hAnsi="宋体"/>
          <w:color w:val="auto"/>
          <w:highlight w:val="none"/>
        </w:rPr>
      </w:pPr>
      <w:r>
        <w:rPr>
          <w:rFonts w:hint="eastAsia" w:hAnsi="宋体"/>
          <w:color w:val="auto"/>
          <w:highlight w:val="none"/>
        </w:rPr>
        <w:t>供应商公章：</w:t>
      </w:r>
    </w:p>
    <w:p w14:paraId="7C95FE74">
      <w:pPr>
        <w:jc w:val="center"/>
        <w:rPr>
          <w:rFonts w:hAnsi="宋体" w:cs="宋体"/>
          <w:b/>
          <w:color w:val="auto"/>
          <w:szCs w:val="24"/>
          <w:highlight w:val="none"/>
        </w:rPr>
      </w:pPr>
    </w:p>
    <w:p w14:paraId="604D2333">
      <w:pPr>
        <w:jc w:val="center"/>
        <w:rPr>
          <w:rFonts w:hAnsi="宋体" w:cs="宋体"/>
          <w:b/>
          <w:color w:val="auto"/>
          <w:szCs w:val="24"/>
          <w:highlight w:val="none"/>
        </w:rPr>
      </w:pPr>
    </w:p>
    <w:p w14:paraId="46415EB7">
      <w:pPr>
        <w:jc w:val="left"/>
        <w:rPr>
          <w:rFonts w:hAnsi="宋体" w:cs="宋体"/>
          <w:b/>
          <w:color w:val="auto"/>
          <w:szCs w:val="24"/>
          <w:highlight w:val="none"/>
        </w:rPr>
      </w:pPr>
    </w:p>
    <w:p w14:paraId="5756F30A">
      <w:pPr>
        <w:jc w:val="left"/>
        <w:rPr>
          <w:rFonts w:hAnsi="宋体" w:cs="宋体"/>
          <w:b/>
          <w:color w:val="auto"/>
          <w:szCs w:val="24"/>
          <w:highlight w:val="none"/>
        </w:rPr>
      </w:pPr>
    </w:p>
    <w:p w14:paraId="02096640">
      <w:pPr>
        <w:jc w:val="left"/>
        <w:rPr>
          <w:rFonts w:hAnsi="宋体" w:cs="宋体"/>
          <w:b/>
          <w:color w:val="auto"/>
          <w:szCs w:val="24"/>
          <w:highlight w:val="none"/>
        </w:rPr>
      </w:pPr>
    </w:p>
    <w:p w14:paraId="553E215D">
      <w:pPr>
        <w:jc w:val="left"/>
        <w:rPr>
          <w:rFonts w:hAnsi="宋体" w:cs="宋体"/>
          <w:b/>
          <w:color w:val="auto"/>
          <w:szCs w:val="24"/>
          <w:highlight w:val="none"/>
        </w:rPr>
      </w:pPr>
    </w:p>
    <w:p w14:paraId="3CE2353C">
      <w:pPr>
        <w:jc w:val="left"/>
        <w:rPr>
          <w:rFonts w:hAnsi="宋体" w:cs="宋体"/>
          <w:b/>
          <w:color w:val="auto"/>
          <w:szCs w:val="24"/>
          <w:highlight w:val="none"/>
        </w:rPr>
      </w:pPr>
    </w:p>
    <w:p w14:paraId="0FCFB9BF">
      <w:pPr>
        <w:jc w:val="left"/>
        <w:rPr>
          <w:rFonts w:hAnsi="宋体" w:cs="宋体"/>
          <w:b/>
          <w:color w:val="auto"/>
          <w:szCs w:val="24"/>
          <w:highlight w:val="none"/>
        </w:rPr>
      </w:pPr>
    </w:p>
    <w:p w14:paraId="7B82BA68">
      <w:pPr>
        <w:jc w:val="left"/>
        <w:rPr>
          <w:rFonts w:hAnsi="宋体" w:cs="宋体"/>
          <w:b/>
          <w:color w:val="auto"/>
          <w:szCs w:val="24"/>
          <w:highlight w:val="none"/>
        </w:rPr>
      </w:pPr>
      <w:r>
        <w:rPr>
          <w:rFonts w:hint="eastAsia" w:hAnsi="宋体" w:cs="宋体"/>
          <w:b/>
          <w:color w:val="auto"/>
          <w:szCs w:val="24"/>
          <w:highlight w:val="none"/>
          <w:lang w:val="en-US" w:eastAsia="zh-CN"/>
        </w:rPr>
        <w:t>八、</w:t>
      </w:r>
      <w:r>
        <w:rPr>
          <w:rFonts w:hint="eastAsia" w:hAnsi="宋体" w:cs="宋体"/>
          <w:b/>
          <w:color w:val="auto"/>
          <w:szCs w:val="24"/>
          <w:highlight w:val="none"/>
        </w:rPr>
        <w:t xml:space="preserve">       </w:t>
      </w:r>
    </w:p>
    <w:p w14:paraId="5B48C6A7">
      <w:pPr>
        <w:jc w:val="center"/>
        <w:rPr>
          <w:rFonts w:hAnsi="宋体" w:cs="宋体"/>
          <w:b/>
          <w:color w:val="auto"/>
          <w:szCs w:val="24"/>
          <w:highlight w:val="none"/>
        </w:rPr>
      </w:pPr>
      <w:r>
        <w:rPr>
          <w:rFonts w:hint="eastAsia" w:hAnsi="宋体" w:cs="宋体"/>
          <w:b/>
          <w:color w:val="auto"/>
          <w:szCs w:val="24"/>
          <w:highlight w:val="none"/>
        </w:rPr>
        <w:t>其他资料</w:t>
      </w:r>
    </w:p>
    <w:p w14:paraId="64978B08">
      <w:pPr>
        <w:spacing w:line="360" w:lineRule="auto"/>
        <w:ind w:firstLine="420" w:firstLineChars="200"/>
        <w:rPr>
          <w:rFonts w:hAnsi="宋体"/>
          <w:color w:val="auto"/>
          <w:kern w:val="2"/>
          <w:szCs w:val="24"/>
          <w:highlight w:val="none"/>
        </w:rPr>
      </w:pPr>
      <w:r>
        <w:rPr>
          <w:rFonts w:hint="eastAsia" w:hAnsi="宋体"/>
          <w:color w:val="auto"/>
          <w:kern w:val="2"/>
          <w:szCs w:val="24"/>
          <w:highlight w:val="none"/>
        </w:rPr>
        <w:t>根据项目情况提供如下文件：</w:t>
      </w:r>
    </w:p>
    <w:p w14:paraId="16B1F770">
      <w:pPr>
        <w:spacing w:line="360" w:lineRule="auto"/>
        <w:ind w:firstLine="420" w:firstLineChars="200"/>
        <w:rPr>
          <w:rFonts w:hAnsi="宋体"/>
          <w:color w:val="auto"/>
          <w:szCs w:val="24"/>
          <w:highlight w:val="none"/>
        </w:rPr>
      </w:pPr>
      <w:r>
        <w:rPr>
          <w:rFonts w:hint="eastAsia" w:hAnsi="宋体"/>
          <w:color w:val="auto"/>
          <w:szCs w:val="24"/>
          <w:highlight w:val="none"/>
        </w:rPr>
        <w:t>1、法人代表或代理人（授权委托书）。</w:t>
      </w:r>
    </w:p>
    <w:p w14:paraId="5AF88188">
      <w:pPr>
        <w:spacing w:line="360" w:lineRule="auto"/>
        <w:ind w:firstLine="420" w:firstLineChars="200"/>
        <w:rPr>
          <w:rFonts w:hAnsi="宋体"/>
          <w:color w:val="auto"/>
          <w:szCs w:val="24"/>
          <w:highlight w:val="none"/>
        </w:rPr>
      </w:pPr>
      <w:r>
        <w:rPr>
          <w:rFonts w:hint="eastAsia" w:hAnsi="宋体"/>
          <w:color w:val="auto"/>
          <w:szCs w:val="24"/>
          <w:highlight w:val="none"/>
        </w:rPr>
        <w:t>2、供应商单位营业执照、资质证书、企业法人代码证书、税务登记证等有关资料复印件及上述综合评分资料、人员配备、服务方案、报价资料等，打印盖章装订成册。</w:t>
      </w:r>
    </w:p>
    <w:p w14:paraId="12F1735F">
      <w:pPr>
        <w:spacing w:line="360" w:lineRule="auto"/>
        <w:ind w:firstLine="420" w:firstLineChars="200"/>
        <w:rPr>
          <w:rFonts w:hAnsi="宋体"/>
          <w:color w:val="auto"/>
          <w:szCs w:val="24"/>
          <w:highlight w:val="none"/>
        </w:rPr>
      </w:pPr>
      <w:r>
        <w:rPr>
          <w:rFonts w:hint="eastAsia" w:hAnsi="宋体"/>
          <w:color w:val="auto"/>
          <w:szCs w:val="24"/>
          <w:highlight w:val="none"/>
        </w:rPr>
        <w:t>3、评标文件要求及供应商认为需要提供的资料。</w:t>
      </w:r>
    </w:p>
    <w:p w14:paraId="706CC822">
      <w:pPr>
        <w:spacing w:line="360" w:lineRule="auto"/>
        <w:ind w:firstLine="420" w:firstLineChars="200"/>
        <w:rPr>
          <w:rFonts w:hAnsi="宋体"/>
          <w:color w:val="auto"/>
          <w:szCs w:val="24"/>
          <w:highlight w:val="none"/>
        </w:rPr>
      </w:pPr>
      <w:r>
        <w:rPr>
          <w:rFonts w:hint="eastAsia" w:hAnsi="宋体"/>
          <w:color w:val="auto"/>
          <w:szCs w:val="24"/>
          <w:highlight w:val="none"/>
        </w:rPr>
        <w:t>4、供应商在规定时间密封送达。</w:t>
      </w:r>
    </w:p>
    <w:p w14:paraId="4B5B89DF">
      <w:pPr>
        <w:spacing w:line="360" w:lineRule="auto"/>
        <w:ind w:firstLine="420" w:firstLineChars="200"/>
        <w:rPr>
          <w:rFonts w:hAnsi="宋体"/>
          <w:color w:val="auto"/>
          <w:kern w:val="2"/>
          <w:szCs w:val="24"/>
          <w:highlight w:val="none"/>
        </w:rPr>
      </w:pPr>
    </w:p>
    <w:p w14:paraId="6431F44E">
      <w:pPr>
        <w:rPr>
          <w:rFonts w:hint="eastAsia"/>
          <w:color w:val="auto"/>
          <w:highlight w:val="none"/>
          <w:lang w:eastAsia="zh-CN"/>
        </w:rPr>
      </w:pPr>
    </w:p>
    <w:p w14:paraId="1C3B1BA9">
      <w:pPr>
        <w:rPr>
          <w:rFonts w:hint="eastAsia"/>
          <w:color w:val="auto"/>
          <w:highlight w:val="none"/>
          <w:lang w:eastAsia="zh-CN"/>
        </w:rPr>
      </w:pPr>
    </w:p>
    <w:p w14:paraId="70725E17">
      <w:pPr>
        <w:rPr>
          <w:rFonts w:hint="eastAsia"/>
          <w:color w:val="auto"/>
          <w:highlight w:val="none"/>
          <w:lang w:eastAsia="zh-CN"/>
        </w:rPr>
      </w:pPr>
    </w:p>
    <w:p w14:paraId="03AF4F77">
      <w:pPr>
        <w:rPr>
          <w:rFonts w:hint="eastAsia"/>
          <w:color w:val="auto"/>
          <w:highlight w:val="none"/>
          <w:lang w:eastAsia="zh-CN"/>
        </w:rPr>
      </w:pPr>
    </w:p>
    <w:p w14:paraId="70F0A268">
      <w:pPr>
        <w:rPr>
          <w:rFonts w:hint="eastAsia"/>
          <w:color w:val="auto"/>
          <w:highlight w:val="none"/>
          <w:lang w:eastAsia="zh-CN"/>
        </w:rPr>
      </w:pPr>
    </w:p>
    <w:p w14:paraId="46424EC1">
      <w:pPr>
        <w:rPr>
          <w:rFonts w:hint="eastAsia"/>
          <w:color w:val="auto"/>
          <w:highlight w:val="none"/>
          <w:lang w:eastAsia="zh-CN"/>
        </w:rPr>
      </w:pPr>
    </w:p>
    <w:p w14:paraId="2E053DED">
      <w:pPr>
        <w:rPr>
          <w:rFonts w:hint="eastAsia"/>
          <w:color w:val="auto"/>
          <w:highlight w:val="none"/>
          <w:lang w:eastAsia="zh-CN"/>
        </w:rPr>
      </w:pPr>
    </w:p>
    <w:p w14:paraId="7DFBD802">
      <w:pPr>
        <w:rPr>
          <w:rFonts w:hint="eastAsia"/>
          <w:color w:val="auto"/>
          <w:highlight w:val="none"/>
          <w:lang w:eastAsia="zh-CN"/>
        </w:rPr>
      </w:pPr>
    </w:p>
    <w:p w14:paraId="748831C6">
      <w:pPr>
        <w:rPr>
          <w:rFonts w:hint="eastAsia"/>
          <w:color w:val="auto"/>
          <w:highlight w:val="none"/>
          <w:lang w:eastAsia="zh-CN"/>
        </w:rPr>
      </w:pPr>
    </w:p>
    <w:p w14:paraId="1D8F9D8F">
      <w:pPr>
        <w:rPr>
          <w:rFonts w:hint="eastAsia"/>
          <w:color w:val="auto"/>
          <w:highlight w:val="none"/>
          <w:lang w:eastAsia="zh-CN"/>
        </w:rPr>
      </w:pPr>
    </w:p>
    <w:p w14:paraId="55D9E3D6">
      <w:pPr>
        <w:rPr>
          <w:rFonts w:hint="eastAsia"/>
          <w:color w:val="auto"/>
          <w:highlight w:val="none"/>
          <w:lang w:eastAsia="zh-CN"/>
        </w:rPr>
      </w:pPr>
    </w:p>
    <w:p w14:paraId="1A6C903A">
      <w:pPr>
        <w:rPr>
          <w:rFonts w:hint="eastAsia"/>
          <w:color w:val="auto"/>
          <w:highlight w:val="none"/>
          <w:lang w:eastAsia="zh-CN"/>
        </w:rPr>
      </w:pPr>
    </w:p>
    <w:p w14:paraId="49F4DE35">
      <w:pPr>
        <w:rPr>
          <w:rFonts w:hint="eastAsia"/>
          <w:color w:val="auto"/>
          <w:highlight w:val="none"/>
          <w:lang w:eastAsia="zh-CN"/>
        </w:rPr>
      </w:pPr>
    </w:p>
    <w:p w14:paraId="544E68F7">
      <w:pPr>
        <w:rPr>
          <w:rFonts w:hint="eastAsia"/>
          <w:color w:val="auto"/>
          <w:highlight w:val="none"/>
          <w:lang w:eastAsia="zh-CN"/>
        </w:rPr>
      </w:pPr>
    </w:p>
    <w:p w14:paraId="44C7032D">
      <w:pPr>
        <w:rPr>
          <w:rFonts w:hint="eastAsia"/>
          <w:color w:val="auto"/>
          <w:highlight w:val="none"/>
          <w:lang w:eastAsia="zh-CN"/>
        </w:rPr>
      </w:pPr>
    </w:p>
    <w:p w14:paraId="39A2AB42">
      <w:pPr>
        <w:rPr>
          <w:rFonts w:hint="eastAsia"/>
          <w:color w:val="auto"/>
          <w:highlight w:val="none"/>
          <w:lang w:eastAsia="zh-CN"/>
        </w:rPr>
      </w:pPr>
    </w:p>
    <w:p w14:paraId="14FDB5CE">
      <w:pPr>
        <w:rPr>
          <w:rFonts w:hint="eastAsia"/>
          <w:color w:val="auto"/>
          <w:highlight w:val="none"/>
          <w:lang w:eastAsia="zh-CN"/>
        </w:rPr>
      </w:pPr>
    </w:p>
    <w:p w14:paraId="7A8F3A5D">
      <w:pPr>
        <w:rPr>
          <w:rFonts w:hint="eastAsia"/>
          <w:color w:val="auto"/>
          <w:highlight w:val="none"/>
          <w:lang w:eastAsia="zh-CN"/>
        </w:rPr>
      </w:pPr>
    </w:p>
    <w:p w14:paraId="226C2C6A">
      <w:pPr>
        <w:rPr>
          <w:rFonts w:hint="eastAsia"/>
          <w:color w:val="auto"/>
          <w:highlight w:val="none"/>
          <w:lang w:eastAsia="zh-CN"/>
        </w:rPr>
      </w:pPr>
    </w:p>
    <w:p w14:paraId="5EC7C251">
      <w:pPr>
        <w:rPr>
          <w:rFonts w:hint="eastAsia"/>
          <w:color w:val="auto"/>
          <w:highlight w:val="none"/>
          <w:lang w:eastAsia="zh-CN"/>
        </w:rPr>
      </w:pPr>
    </w:p>
    <w:p w14:paraId="2B376D84">
      <w:pPr>
        <w:rPr>
          <w:rFonts w:hint="eastAsia"/>
          <w:color w:val="auto"/>
          <w:highlight w:val="none"/>
          <w:lang w:eastAsia="zh-CN"/>
        </w:rPr>
      </w:pPr>
    </w:p>
    <w:p w14:paraId="05FA5DD8">
      <w:pPr>
        <w:rPr>
          <w:rFonts w:hint="eastAsia"/>
          <w:color w:val="auto"/>
          <w:highlight w:val="none"/>
          <w:lang w:eastAsia="zh-CN"/>
        </w:rPr>
      </w:pPr>
    </w:p>
    <w:p w14:paraId="6663934A">
      <w:pPr>
        <w:rPr>
          <w:rFonts w:hint="eastAsia"/>
          <w:color w:val="auto"/>
          <w:highlight w:val="none"/>
          <w:lang w:eastAsia="zh-CN"/>
        </w:rPr>
      </w:pPr>
    </w:p>
    <w:p w14:paraId="0EC80102">
      <w:pPr>
        <w:rPr>
          <w:rFonts w:hint="eastAsia"/>
          <w:color w:val="auto"/>
          <w:highlight w:val="none"/>
          <w:lang w:eastAsia="zh-CN"/>
        </w:rPr>
      </w:pPr>
    </w:p>
    <w:p w14:paraId="013E4A6B">
      <w:pPr>
        <w:rPr>
          <w:rFonts w:hint="eastAsia"/>
          <w:color w:val="auto"/>
          <w:highlight w:val="none"/>
          <w:lang w:eastAsia="zh-CN"/>
        </w:rPr>
      </w:pPr>
    </w:p>
    <w:p w14:paraId="754076E0">
      <w:pPr>
        <w:rPr>
          <w:rFonts w:hint="eastAsia"/>
          <w:color w:val="auto"/>
          <w:highlight w:val="none"/>
          <w:lang w:eastAsia="zh-CN"/>
        </w:rPr>
      </w:pPr>
    </w:p>
    <w:p w14:paraId="52060649">
      <w:pPr>
        <w:rPr>
          <w:rFonts w:hint="eastAsia"/>
          <w:color w:val="auto"/>
          <w:highlight w:val="none"/>
          <w:lang w:eastAsia="zh-CN"/>
        </w:rPr>
      </w:pPr>
    </w:p>
    <w:p w14:paraId="5DE20B05">
      <w:pPr>
        <w:rPr>
          <w:rFonts w:hint="eastAsia"/>
          <w:color w:val="auto"/>
          <w:highlight w:val="none"/>
          <w:lang w:eastAsia="zh-CN"/>
        </w:rPr>
      </w:pPr>
    </w:p>
    <w:p w14:paraId="177CB4E9">
      <w:pPr>
        <w:rPr>
          <w:rFonts w:hint="eastAsia"/>
          <w:color w:val="auto"/>
          <w:highlight w:val="none"/>
          <w:lang w:eastAsia="zh-CN"/>
        </w:rPr>
      </w:pPr>
    </w:p>
    <w:p w14:paraId="755FBF4B">
      <w:pPr>
        <w:rPr>
          <w:rFonts w:hint="eastAsia"/>
          <w:color w:val="auto"/>
          <w:highlight w:val="none"/>
          <w:lang w:eastAsia="zh-CN"/>
        </w:rPr>
      </w:pPr>
    </w:p>
    <w:p w14:paraId="62791A4C">
      <w:pPr>
        <w:rPr>
          <w:rFonts w:hint="eastAsia"/>
          <w:color w:val="auto"/>
          <w:highlight w:val="none"/>
          <w:lang w:eastAsia="zh-CN"/>
        </w:rPr>
      </w:pPr>
    </w:p>
    <w:p w14:paraId="4ABA86A8">
      <w:pPr>
        <w:rPr>
          <w:rFonts w:hint="eastAsia"/>
          <w:color w:val="auto"/>
          <w:highlight w:val="none"/>
          <w:lang w:eastAsia="zh-CN"/>
        </w:rPr>
      </w:pPr>
    </w:p>
    <w:p w14:paraId="6268E7F1">
      <w:pPr>
        <w:jc w:val="center"/>
        <w:rPr>
          <w:rFonts w:hint="default" w:ascii="Times New Roman" w:hAnsi="Times New Roman" w:cs="Times New Roman"/>
          <w:b/>
          <w:sz w:val="44"/>
          <w:szCs w:val="44"/>
        </w:rPr>
      </w:pPr>
      <w:r>
        <w:rPr>
          <w:rFonts w:hint="default" w:ascii="Times New Roman" w:hAnsi="Times New Roman" w:cs="Times New Roman"/>
          <w:b/>
          <w:sz w:val="44"/>
          <w:szCs w:val="44"/>
        </w:rPr>
        <w:t>采购需求表</w:t>
      </w:r>
    </w:p>
    <w:p w14:paraId="1ECE2296">
      <w:pPr>
        <w:jc w:val="left"/>
        <w:rPr>
          <w:rFonts w:hint="default" w:ascii="Times New Roman" w:hAnsi="Times New Roman" w:eastAsia="宋体" w:cs="Times New Roman"/>
          <w:b/>
          <w:sz w:val="24"/>
          <w:szCs w:val="24"/>
          <w:lang w:val="en-US" w:eastAsia="zh-CN"/>
        </w:rPr>
      </w:pPr>
      <w:r>
        <w:rPr>
          <w:rFonts w:hint="default" w:ascii="Times New Roman" w:hAnsi="Times New Roman" w:cs="Times New Roman"/>
          <w:b/>
          <w:sz w:val="24"/>
          <w:szCs w:val="24"/>
          <w:lang w:val="en-US" w:eastAsia="zh-CN"/>
        </w:rPr>
        <w:t>一、前附表</w:t>
      </w:r>
    </w:p>
    <w:tbl>
      <w:tblPr>
        <w:tblStyle w:val="20"/>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500"/>
        <w:gridCol w:w="7110"/>
      </w:tblGrid>
      <w:tr w14:paraId="2D0B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35" w:type="dxa"/>
            <w:noWrap w:val="0"/>
            <w:vAlign w:val="center"/>
          </w:tcPr>
          <w:p w14:paraId="11B99887">
            <w:pPr>
              <w:jc w:val="center"/>
              <w:rPr>
                <w:rFonts w:hint="default" w:ascii="Times New Roman" w:hAnsi="Times New Roman" w:cs="Times New Roman"/>
                <w:b/>
                <w:color w:val="000000"/>
                <w:highlight w:val="none"/>
              </w:rPr>
            </w:pPr>
            <w:r>
              <w:rPr>
                <w:rFonts w:hint="default" w:ascii="Times New Roman" w:hAnsi="Times New Roman" w:cs="Times New Roman"/>
                <w:b/>
                <w:color w:val="000000"/>
                <w:highlight w:val="none"/>
              </w:rPr>
              <w:t>序号</w:t>
            </w:r>
          </w:p>
        </w:tc>
        <w:tc>
          <w:tcPr>
            <w:tcW w:w="1500" w:type="dxa"/>
            <w:noWrap w:val="0"/>
            <w:vAlign w:val="center"/>
          </w:tcPr>
          <w:p w14:paraId="78E39C9D">
            <w:pPr>
              <w:jc w:val="center"/>
              <w:rPr>
                <w:rFonts w:hint="default" w:ascii="Times New Roman" w:hAnsi="Times New Roman" w:cs="Times New Roman"/>
                <w:b/>
                <w:color w:val="000000"/>
                <w:highlight w:val="none"/>
              </w:rPr>
            </w:pPr>
            <w:r>
              <w:rPr>
                <w:rFonts w:hint="default" w:ascii="Times New Roman" w:hAnsi="Times New Roman" w:cs="Times New Roman"/>
                <w:b/>
                <w:color w:val="000000"/>
                <w:highlight w:val="none"/>
              </w:rPr>
              <w:t>内容</w:t>
            </w:r>
          </w:p>
        </w:tc>
        <w:tc>
          <w:tcPr>
            <w:tcW w:w="7110" w:type="dxa"/>
            <w:noWrap w:val="0"/>
            <w:vAlign w:val="center"/>
          </w:tcPr>
          <w:p w14:paraId="663978E7">
            <w:pPr>
              <w:pStyle w:val="43"/>
              <w:widowControl w:val="0"/>
              <w:spacing w:before="0" w:beforeAutospacing="0" w:after="0" w:afterAutospacing="0"/>
              <w:rPr>
                <w:rFonts w:hint="default" w:ascii="Times New Roman" w:hAnsi="Times New Roman" w:cs="Times New Roman"/>
                <w:bCs w:val="0"/>
                <w:color w:val="000000"/>
                <w:kern w:val="2"/>
                <w:sz w:val="24"/>
                <w:szCs w:val="20"/>
                <w:highlight w:val="none"/>
              </w:rPr>
            </w:pPr>
            <w:r>
              <w:rPr>
                <w:rFonts w:hint="default" w:ascii="Times New Roman" w:hAnsi="Times New Roman" w:cs="Times New Roman"/>
                <w:bCs w:val="0"/>
                <w:color w:val="000000"/>
                <w:kern w:val="2"/>
                <w:sz w:val="24"/>
                <w:szCs w:val="20"/>
                <w:highlight w:val="none"/>
              </w:rPr>
              <w:t>说明与要求</w:t>
            </w:r>
          </w:p>
        </w:tc>
      </w:tr>
      <w:tr w14:paraId="74E4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35" w:type="dxa"/>
            <w:noWrap w:val="0"/>
            <w:vAlign w:val="center"/>
          </w:tcPr>
          <w:p w14:paraId="72AD0C09">
            <w:pPr>
              <w:jc w:val="center"/>
              <w:rPr>
                <w:rFonts w:hint="default" w:ascii="Times New Roman" w:hAnsi="Times New Roman" w:cs="Times New Roman"/>
                <w:bCs/>
                <w:color w:val="000000"/>
                <w:highlight w:val="none"/>
              </w:rPr>
            </w:pPr>
            <w:r>
              <w:rPr>
                <w:rFonts w:hint="default" w:ascii="Times New Roman" w:hAnsi="Times New Roman" w:cs="Times New Roman"/>
                <w:bCs/>
                <w:color w:val="000000"/>
                <w:highlight w:val="none"/>
              </w:rPr>
              <w:t>1</w:t>
            </w:r>
          </w:p>
        </w:tc>
        <w:tc>
          <w:tcPr>
            <w:tcW w:w="1500" w:type="dxa"/>
            <w:noWrap w:val="0"/>
            <w:vAlign w:val="center"/>
          </w:tcPr>
          <w:p w14:paraId="5BD748F1">
            <w:pPr>
              <w:jc w:val="center"/>
              <w:rPr>
                <w:rFonts w:hint="default" w:ascii="Times New Roman" w:hAnsi="Times New Roman" w:eastAsia="宋体" w:cs="Times New Roman"/>
                <w:bCs/>
                <w:color w:val="000000"/>
                <w:highlight w:val="none"/>
                <w:lang w:val="en-US" w:eastAsia="zh-CN"/>
              </w:rPr>
            </w:pPr>
            <w:r>
              <w:rPr>
                <w:rFonts w:hint="default" w:ascii="Times New Roman" w:hAnsi="Times New Roman" w:cs="Times New Roman"/>
                <w:bCs/>
                <w:color w:val="000000"/>
                <w:highlight w:val="none"/>
                <w:lang w:val="en-US" w:eastAsia="zh-CN"/>
              </w:rPr>
              <w:t>项目名称</w:t>
            </w:r>
          </w:p>
        </w:tc>
        <w:tc>
          <w:tcPr>
            <w:tcW w:w="7110" w:type="dxa"/>
            <w:noWrap w:val="0"/>
            <w:vAlign w:val="center"/>
          </w:tcPr>
          <w:p w14:paraId="5207DD72">
            <w:pPr>
              <w:spacing w:line="360" w:lineRule="exact"/>
              <w:jc w:val="left"/>
              <w:rPr>
                <w:rFonts w:hint="default" w:ascii="Times New Roman" w:hAnsi="Times New Roman" w:eastAsia="宋体" w:cs="Times New Roman"/>
                <w:b w:val="0"/>
                <w:bCs w:val="0"/>
                <w:color w:val="000000"/>
                <w:sz w:val="21"/>
                <w:szCs w:val="21"/>
                <w:highlight w:val="none"/>
                <w:lang w:val="en-US"/>
              </w:rPr>
            </w:pPr>
            <w:r>
              <w:rPr>
                <w:rFonts w:hint="default" w:ascii="Times New Roman" w:hAnsi="Times New Roman" w:eastAsia="宋体" w:cs="Times New Roman"/>
                <w:sz w:val="21"/>
                <w:szCs w:val="21"/>
                <w:highlight w:val="none"/>
                <w:lang w:val="en-US" w:eastAsia="zh-CN"/>
              </w:rPr>
              <w:t>合肥经济技术开发区公用事业发展有限公司战略咨询服务项目采购</w:t>
            </w:r>
          </w:p>
        </w:tc>
      </w:tr>
      <w:tr w14:paraId="75FA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35" w:type="dxa"/>
            <w:noWrap w:val="0"/>
            <w:vAlign w:val="center"/>
          </w:tcPr>
          <w:p w14:paraId="4FD6A352">
            <w:pPr>
              <w:jc w:val="center"/>
              <w:rPr>
                <w:rFonts w:hint="default" w:ascii="Times New Roman" w:hAnsi="Times New Roman" w:eastAsia="宋体" w:cs="Times New Roman"/>
                <w:bCs/>
                <w:color w:val="000000"/>
                <w:highlight w:val="none"/>
                <w:lang w:val="en-US" w:eastAsia="zh-CN"/>
              </w:rPr>
            </w:pPr>
            <w:r>
              <w:rPr>
                <w:rFonts w:hint="default" w:ascii="Times New Roman" w:hAnsi="Times New Roman" w:cs="Times New Roman"/>
                <w:bCs/>
                <w:color w:val="000000"/>
                <w:highlight w:val="none"/>
                <w:lang w:val="en-US" w:eastAsia="zh-CN"/>
              </w:rPr>
              <w:t>2</w:t>
            </w:r>
          </w:p>
        </w:tc>
        <w:tc>
          <w:tcPr>
            <w:tcW w:w="1500" w:type="dxa"/>
            <w:noWrap w:val="0"/>
            <w:vAlign w:val="center"/>
          </w:tcPr>
          <w:p w14:paraId="4B1140D8">
            <w:pPr>
              <w:jc w:val="center"/>
              <w:rPr>
                <w:rFonts w:hint="default" w:ascii="Times New Roman" w:hAnsi="Times New Roman" w:cs="Times New Roman"/>
                <w:bCs/>
                <w:color w:val="000000"/>
                <w:highlight w:val="none"/>
                <w:lang w:val="en-US" w:eastAsia="zh-CN"/>
              </w:rPr>
            </w:pPr>
            <w:r>
              <w:rPr>
                <w:rFonts w:hint="default" w:ascii="Times New Roman" w:hAnsi="Times New Roman" w:cs="Times New Roman"/>
                <w:bCs/>
                <w:color w:val="000000"/>
                <w:highlight w:val="none"/>
                <w:lang w:val="en-US" w:eastAsia="zh-CN"/>
              </w:rPr>
              <w:t>项目预算</w:t>
            </w:r>
          </w:p>
        </w:tc>
        <w:tc>
          <w:tcPr>
            <w:tcW w:w="7110" w:type="dxa"/>
            <w:noWrap w:val="0"/>
            <w:vAlign w:val="center"/>
          </w:tcPr>
          <w:p w14:paraId="1A179FAB">
            <w:pPr>
              <w:spacing w:line="360" w:lineRule="exact"/>
              <w:jc w:val="left"/>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45</w:t>
            </w:r>
            <w:r>
              <w:rPr>
                <w:rFonts w:hint="default" w:ascii="Times New Roman" w:hAnsi="Times New Roman" w:eastAsia="宋体" w:cs="Times New Roman"/>
                <w:sz w:val="21"/>
                <w:szCs w:val="21"/>
                <w:highlight w:val="none"/>
                <w:lang w:val="en-US" w:eastAsia="zh-CN"/>
              </w:rPr>
              <w:t>万元</w:t>
            </w:r>
          </w:p>
        </w:tc>
      </w:tr>
      <w:tr w14:paraId="269B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35" w:type="dxa"/>
            <w:noWrap w:val="0"/>
            <w:vAlign w:val="center"/>
          </w:tcPr>
          <w:p w14:paraId="29C4EB30">
            <w:pPr>
              <w:jc w:val="center"/>
              <w:rPr>
                <w:rFonts w:hint="default" w:ascii="Times New Roman" w:hAnsi="Times New Roman" w:eastAsia="宋体" w:cs="Times New Roman"/>
                <w:bCs/>
                <w:color w:val="000000"/>
                <w:highlight w:val="none"/>
                <w:lang w:eastAsia="zh-CN"/>
              </w:rPr>
            </w:pPr>
            <w:r>
              <w:rPr>
                <w:rFonts w:hint="default" w:ascii="Times New Roman" w:hAnsi="Times New Roman" w:cs="Times New Roman"/>
                <w:bCs/>
                <w:color w:val="000000"/>
                <w:highlight w:val="none"/>
                <w:lang w:val="en-US" w:eastAsia="zh-CN"/>
              </w:rPr>
              <w:t>3</w:t>
            </w:r>
          </w:p>
        </w:tc>
        <w:tc>
          <w:tcPr>
            <w:tcW w:w="1500" w:type="dxa"/>
            <w:noWrap w:val="0"/>
            <w:vAlign w:val="center"/>
          </w:tcPr>
          <w:p w14:paraId="023DE188">
            <w:pPr>
              <w:jc w:val="center"/>
              <w:rPr>
                <w:rFonts w:hint="default" w:ascii="Times New Roman" w:hAnsi="Times New Roman" w:eastAsia="宋体" w:cs="Times New Roman"/>
                <w:color w:val="000000"/>
                <w:sz w:val="21"/>
                <w:szCs w:val="21"/>
                <w:highlight w:val="none"/>
                <w:lang w:eastAsia="zh-CN"/>
              </w:rPr>
            </w:pPr>
            <w:r>
              <w:rPr>
                <w:rFonts w:hint="default" w:ascii="Times New Roman" w:hAnsi="Times New Roman" w:cs="Times New Roman"/>
                <w:color w:val="000000"/>
                <w:sz w:val="21"/>
                <w:szCs w:val="21"/>
                <w:highlight w:val="none"/>
              </w:rPr>
              <w:t>项目</w:t>
            </w:r>
            <w:r>
              <w:rPr>
                <w:rFonts w:hint="default" w:ascii="Times New Roman" w:hAnsi="Times New Roman" w:cs="Times New Roman"/>
                <w:color w:val="000000"/>
                <w:sz w:val="21"/>
                <w:szCs w:val="21"/>
                <w:highlight w:val="none"/>
                <w:lang w:val="en-US" w:eastAsia="zh-CN"/>
              </w:rPr>
              <w:t>概况</w:t>
            </w:r>
          </w:p>
        </w:tc>
        <w:tc>
          <w:tcPr>
            <w:tcW w:w="7110" w:type="dxa"/>
            <w:noWrap w:val="0"/>
            <w:vAlign w:val="center"/>
          </w:tcPr>
          <w:p w14:paraId="104CEB11">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both"/>
              <w:textAlignment w:val="auto"/>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sz w:val="21"/>
                <w:szCs w:val="21"/>
                <w:highlight w:val="none"/>
                <w:lang w:val="en-US" w:eastAsia="zh-CN"/>
              </w:rPr>
              <w:t>包含公司战略规划、组织</w:t>
            </w:r>
            <w:r>
              <w:rPr>
                <w:rFonts w:hint="eastAsia" w:ascii="Times New Roman" w:hAnsi="Times New Roman" w:eastAsia="宋体" w:cs="Times New Roman"/>
                <w:b w:val="0"/>
                <w:bCs w:val="0"/>
                <w:sz w:val="21"/>
                <w:szCs w:val="21"/>
                <w:highlight w:val="none"/>
                <w:lang w:val="en-US" w:eastAsia="zh-CN"/>
              </w:rPr>
              <w:t>架构</w:t>
            </w:r>
            <w:r>
              <w:rPr>
                <w:rFonts w:hint="default" w:ascii="Times New Roman" w:hAnsi="Times New Roman" w:eastAsia="宋体" w:cs="Times New Roman"/>
                <w:b w:val="0"/>
                <w:bCs w:val="0"/>
                <w:sz w:val="21"/>
                <w:szCs w:val="21"/>
                <w:highlight w:val="none"/>
                <w:lang w:val="en-US" w:eastAsia="zh-CN"/>
              </w:rPr>
              <w:t>设计、薪酬绩效</w:t>
            </w:r>
            <w:r>
              <w:rPr>
                <w:rFonts w:hint="eastAsia" w:ascii="Times New Roman" w:hAnsi="Times New Roman" w:eastAsia="宋体" w:cs="Times New Roman"/>
                <w:b w:val="0"/>
                <w:bCs w:val="0"/>
                <w:sz w:val="21"/>
                <w:szCs w:val="21"/>
                <w:highlight w:val="none"/>
                <w:lang w:val="en-US" w:eastAsia="zh-CN"/>
              </w:rPr>
              <w:t>考核体系</w:t>
            </w:r>
            <w:r>
              <w:rPr>
                <w:rFonts w:hint="default" w:ascii="Times New Roman" w:hAnsi="Times New Roman" w:eastAsia="宋体" w:cs="Times New Roman"/>
                <w:b w:val="0"/>
                <w:bCs w:val="0"/>
                <w:sz w:val="21"/>
                <w:szCs w:val="21"/>
                <w:highlight w:val="none"/>
                <w:lang w:val="en-US" w:eastAsia="zh-CN"/>
              </w:rPr>
              <w:t>、合规管理四大板块</w:t>
            </w:r>
            <w:r>
              <w:rPr>
                <w:rFonts w:hint="eastAsia" w:ascii="Times New Roman" w:hAnsi="Times New Roman" w:eastAsia="宋体" w:cs="Times New Roman"/>
                <w:b w:val="0"/>
                <w:bCs w:val="0"/>
                <w:sz w:val="21"/>
                <w:szCs w:val="21"/>
                <w:highlight w:val="none"/>
                <w:lang w:val="en-US" w:eastAsia="zh-CN"/>
              </w:rPr>
              <w:t>等</w:t>
            </w:r>
            <w:r>
              <w:rPr>
                <w:rFonts w:hint="default" w:ascii="Times New Roman" w:hAnsi="Times New Roman" w:eastAsia="宋体" w:cs="Times New Roman"/>
                <w:b w:val="0"/>
                <w:bCs w:val="0"/>
                <w:sz w:val="21"/>
                <w:szCs w:val="21"/>
                <w:highlight w:val="none"/>
                <w:lang w:val="en-US" w:eastAsia="zh-CN"/>
              </w:rPr>
              <w:t>综合性咨询项目。</w:t>
            </w:r>
          </w:p>
        </w:tc>
      </w:tr>
      <w:tr w14:paraId="480FE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35" w:type="dxa"/>
            <w:noWrap w:val="0"/>
            <w:vAlign w:val="center"/>
          </w:tcPr>
          <w:p w14:paraId="3D7DB5C4">
            <w:pPr>
              <w:jc w:val="center"/>
              <w:rPr>
                <w:rFonts w:hint="default" w:ascii="Times New Roman" w:hAnsi="Times New Roman" w:eastAsia="宋体" w:cs="Times New Roman"/>
                <w:bCs/>
                <w:color w:val="000000"/>
                <w:highlight w:val="none"/>
                <w:lang w:eastAsia="zh-CN"/>
              </w:rPr>
            </w:pPr>
            <w:r>
              <w:rPr>
                <w:rFonts w:hint="default" w:ascii="Times New Roman" w:hAnsi="Times New Roman" w:cs="Times New Roman"/>
                <w:bCs/>
                <w:color w:val="000000"/>
                <w:highlight w:val="none"/>
                <w:lang w:val="en-US" w:eastAsia="zh-CN"/>
              </w:rPr>
              <w:t>4</w:t>
            </w:r>
          </w:p>
        </w:tc>
        <w:tc>
          <w:tcPr>
            <w:tcW w:w="1500" w:type="dxa"/>
            <w:noWrap w:val="0"/>
            <w:vAlign w:val="center"/>
          </w:tcPr>
          <w:p w14:paraId="6F614BBC">
            <w:pPr>
              <w:jc w:val="center"/>
              <w:rPr>
                <w:rFonts w:hint="default" w:ascii="Times New Roman" w:hAnsi="Times New Roman" w:cs="Times New Roman"/>
                <w:color w:val="000000"/>
                <w:highlight w:val="none"/>
              </w:rPr>
            </w:pPr>
            <w:r>
              <w:rPr>
                <w:rFonts w:hint="default" w:ascii="Times New Roman" w:hAnsi="Times New Roman" w:cs="Times New Roman"/>
                <w:color w:val="000000"/>
                <w:highlight w:val="none"/>
              </w:rPr>
              <w:t>供应商资格</w:t>
            </w:r>
          </w:p>
        </w:tc>
        <w:tc>
          <w:tcPr>
            <w:tcW w:w="7110" w:type="dxa"/>
            <w:noWrap w:val="0"/>
            <w:vAlign w:val="center"/>
          </w:tcPr>
          <w:p w14:paraId="53B933C1">
            <w:pPr>
              <w:autoSpaceDE w:val="0"/>
              <w:autoSpaceDN w:val="0"/>
              <w:adjustRightInd w:val="0"/>
              <w:spacing w:line="360" w:lineRule="auto"/>
              <w:jc w:val="left"/>
              <w:rPr>
                <w:rFonts w:hint="default" w:ascii="Times New Roman" w:hAnsi="Times New Roman" w:cs="Times New Roman"/>
                <w:sz w:val="21"/>
                <w:szCs w:val="21"/>
              </w:rPr>
            </w:pPr>
            <w:r>
              <w:rPr>
                <w:rFonts w:hint="default" w:ascii="Times New Roman" w:hAnsi="Times New Roman" w:cs="Times New Roman"/>
                <w:sz w:val="21"/>
                <w:szCs w:val="21"/>
              </w:rPr>
              <w:t>1.满足《中华人民共和国政府采购法》第二十二条规定；</w:t>
            </w:r>
          </w:p>
          <w:p w14:paraId="59531F2D">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2.</w:t>
            </w:r>
            <w:r>
              <w:rPr>
                <w:rFonts w:hint="default" w:ascii="Times New Roman" w:hAnsi="Times New Roman" w:eastAsia="宋体" w:cs="Times New Roman"/>
                <w:sz w:val="21"/>
                <w:szCs w:val="21"/>
                <w:highlight w:val="none"/>
                <w:lang w:val="en-US" w:eastAsia="zh-CN"/>
              </w:rPr>
              <w:t>投标人具有独立承担民事责任的能力，具有有效的营业执照；</w:t>
            </w:r>
          </w:p>
          <w:p w14:paraId="4326F852">
            <w:pPr>
              <w:autoSpaceDE w:val="0"/>
              <w:autoSpaceDN w:val="0"/>
              <w:adjustRightInd w:val="0"/>
              <w:spacing w:line="360" w:lineRule="auto"/>
              <w:jc w:val="left"/>
              <w:rPr>
                <w:rFonts w:hint="default" w:ascii="Times New Roman" w:hAnsi="Times New Roman" w:cs="Times New Roman"/>
                <w:sz w:val="21"/>
                <w:szCs w:val="21"/>
              </w:rPr>
            </w:pPr>
            <w:r>
              <w:rPr>
                <w:rFonts w:hint="default" w:ascii="Times New Roman" w:hAnsi="Times New Roman" w:cs="Times New Roman"/>
                <w:sz w:val="21"/>
                <w:szCs w:val="21"/>
              </w:rPr>
              <w:t>3.供应商存在以下不良信用记录情形之一的</w:t>
            </w:r>
            <w:r>
              <w:rPr>
                <w:rFonts w:hint="eastAsia" w:ascii="Times New Roman" w:hAnsi="Times New Roman" w:cs="Times New Roman"/>
                <w:sz w:val="21"/>
                <w:szCs w:val="21"/>
                <w:lang w:eastAsia="zh-CN"/>
              </w:rPr>
              <w:t>，</w:t>
            </w:r>
            <w:r>
              <w:rPr>
                <w:rFonts w:hint="default" w:ascii="Times New Roman" w:hAnsi="Times New Roman" w:cs="Times New Roman"/>
                <w:sz w:val="21"/>
                <w:szCs w:val="21"/>
              </w:rPr>
              <w:t>不得推荐为中标候选供应商</w:t>
            </w:r>
            <w:r>
              <w:rPr>
                <w:rFonts w:hint="eastAsia" w:ascii="Times New Roman" w:hAnsi="Times New Roman" w:cs="Times New Roman"/>
                <w:sz w:val="21"/>
                <w:szCs w:val="21"/>
                <w:lang w:eastAsia="zh-CN"/>
              </w:rPr>
              <w:t>，</w:t>
            </w:r>
            <w:r>
              <w:rPr>
                <w:rFonts w:hint="default" w:ascii="Times New Roman" w:hAnsi="Times New Roman" w:cs="Times New Roman"/>
                <w:sz w:val="21"/>
                <w:szCs w:val="21"/>
              </w:rPr>
              <w:t>不得确定为中标供应商：</w:t>
            </w:r>
          </w:p>
          <w:p w14:paraId="17A2933D">
            <w:pPr>
              <w:autoSpaceDE w:val="0"/>
              <w:autoSpaceDN w:val="0"/>
              <w:adjustRightInd w:val="0"/>
              <w:spacing w:line="360" w:lineRule="auto"/>
              <w:jc w:val="left"/>
              <w:rPr>
                <w:rFonts w:hint="default" w:ascii="Times New Roman" w:hAnsi="Times New Roman" w:cs="Times New Roman"/>
                <w:sz w:val="21"/>
                <w:szCs w:val="21"/>
              </w:rPr>
            </w:pPr>
            <w:r>
              <w:rPr>
                <w:rFonts w:hint="default" w:ascii="Times New Roman" w:hAnsi="Times New Roman" w:cs="Times New Roman"/>
                <w:sz w:val="21"/>
                <w:szCs w:val="21"/>
              </w:rPr>
              <w:t>（1）供应商被人民法院列入失信被执行人的；</w:t>
            </w:r>
          </w:p>
          <w:p w14:paraId="7858CEAF">
            <w:pPr>
              <w:autoSpaceDE w:val="0"/>
              <w:autoSpaceDN w:val="0"/>
              <w:adjustRightInd w:val="0"/>
              <w:spacing w:line="360" w:lineRule="auto"/>
              <w:jc w:val="left"/>
              <w:rPr>
                <w:rFonts w:hint="default" w:ascii="Times New Roman" w:hAnsi="Times New Roman" w:cs="Times New Roman"/>
                <w:sz w:val="21"/>
                <w:szCs w:val="21"/>
              </w:rPr>
            </w:pPr>
            <w:r>
              <w:rPr>
                <w:rFonts w:hint="default" w:ascii="Times New Roman" w:hAnsi="Times New Roman" w:cs="Times New Roman"/>
                <w:sz w:val="21"/>
                <w:szCs w:val="21"/>
              </w:rPr>
              <w:t>（2）供应商被市场监督管理部门（含工商行政管理部门）列入企业经营异常名录的；</w:t>
            </w:r>
          </w:p>
          <w:p w14:paraId="50543E62">
            <w:pPr>
              <w:autoSpaceDE w:val="0"/>
              <w:autoSpaceDN w:val="0"/>
              <w:adjustRightInd w:val="0"/>
              <w:spacing w:line="360" w:lineRule="auto"/>
              <w:jc w:val="left"/>
              <w:rPr>
                <w:rFonts w:hint="default" w:ascii="Times New Roman" w:hAnsi="Times New Roman" w:cs="Times New Roman"/>
                <w:sz w:val="21"/>
                <w:szCs w:val="21"/>
              </w:rPr>
            </w:pPr>
            <w:r>
              <w:rPr>
                <w:rFonts w:hint="default" w:ascii="Times New Roman" w:hAnsi="Times New Roman" w:cs="Times New Roman"/>
                <w:sz w:val="21"/>
                <w:szCs w:val="21"/>
              </w:rPr>
              <w:t>（3）供应商被税务部门列入重大税收违法案件当事人名单的；</w:t>
            </w:r>
          </w:p>
          <w:p w14:paraId="0E0CF026">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rPr>
              <w:t>（4）供应商被政府采购监管部门列入政府采购严重违法失信行为记录名单的。</w:t>
            </w:r>
            <w:r>
              <w:rPr>
                <w:rFonts w:hint="default" w:ascii="Times New Roman" w:hAnsi="Times New Roman" w:cs="Times New Roman"/>
                <w:sz w:val="21"/>
                <w:szCs w:val="21"/>
              </w:rPr>
              <w:br w:type="textWrapping"/>
            </w:r>
            <w:r>
              <w:rPr>
                <w:rFonts w:hint="default" w:ascii="Times New Roman" w:hAnsi="Times New Roman" w:cs="Times New Roman"/>
                <w:sz w:val="21"/>
                <w:szCs w:val="21"/>
              </w:rPr>
              <w:t>4.本项目不接受联合体投标。</w:t>
            </w:r>
          </w:p>
        </w:tc>
      </w:tr>
      <w:tr w14:paraId="1306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35" w:type="dxa"/>
            <w:noWrap w:val="0"/>
            <w:vAlign w:val="center"/>
          </w:tcPr>
          <w:p w14:paraId="4ACC7659">
            <w:pPr>
              <w:jc w:val="center"/>
              <w:rPr>
                <w:rFonts w:hint="default" w:ascii="Times New Roman" w:hAnsi="Times New Roman" w:eastAsia="宋体" w:cs="Times New Roman"/>
                <w:bCs/>
                <w:color w:val="000000"/>
                <w:highlight w:val="none"/>
                <w:lang w:eastAsia="zh-CN"/>
              </w:rPr>
            </w:pPr>
            <w:r>
              <w:rPr>
                <w:rFonts w:hint="default" w:ascii="Times New Roman" w:hAnsi="Times New Roman" w:cs="Times New Roman"/>
                <w:bCs/>
                <w:color w:val="000000"/>
                <w:highlight w:val="none"/>
                <w:lang w:val="en-US" w:eastAsia="zh-CN"/>
              </w:rPr>
              <w:t>5</w:t>
            </w:r>
          </w:p>
        </w:tc>
        <w:tc>
          <w:tcPr>
            <w:tcW w:w="1500" w:type="dxa"/>
            <w:noWrap w:val="0"/>
            <w:vAlign w:val="center"/>
          </w:tcPr>
          <w:p w14:paraId="0D2BEC10">
            <w:pPr>
              <w:jc w:val="center"/>
              <w:rPr>
                <w:rFonts w:hint="default" w:ascii="Times New Roman" w:hAnsi="Times New Roman" w:cs="Times New Roman"/>
                <w:color w:val="000000"/>
                <w:highlight w:val="none"/>
              </w:rPr>
            </w:pPr>
            <w:r>
              <w:rPr>
                <w:rFonts w:hint="default" w:ascii="Times New Roman" w:hAnsi="Times New Roman" w:cs="Times New Roman"/>
                <w:color w:val="000000"/>
                <w:highlight w:val="none"/>
              </w:rPr>
              <w:t>项目性质</w:t>
            </w:r>
          </w:p>
        </w:tc>
        <w:tc>
          <w:tcPr>
            <w:tcW w:w="7110" w:type="dxa"/>
            <w:noWrap w:val="0"/>
            <w:vAlign w:val="center"/>
          </w:tcPr>
          <w:p w14:paraId="61E21F35">
            <w:pPr>
              <w:pStyle w:val="43"/>
              <w:widowControl w:val="0"/>
              <w:spacing w:before="0" w:beforeAutospacing="0" w:after="0" w:afterAutospacing="0"/>
              <w:jc w:val="both"/>
              <w:rPr>
                <w:rFonts w:hint="default" w:ascii="Times New Roman" w:hAnsi="Times New Roman" w:eastAsia="宋体" w:cs="Times New Roman"/>
                <w:b w:val="0"/>
                <w:bCs w:val="0"/>
                <w:color w:val="000000"/>
                <w:sz w:val="21"/>
                <w:szCs w:val="21"/>
                <w:highlight w:val="none"/>
                <w:lang w:eastAsia="zh-CN"/>
              </w:rPr>
            </w:pPr>
            <w:r>
              <w:rPr>
                <w:rFonts w:hint="default" w:ascii="Times New Roman" w:hAnsi="Times New Roman" w:cs="Times New Roman"/>
                <w:b w:val="0"/>
                <w:bCs w:val="0"/>
                <w:color w:val="000000"/>
                <w:sz w:val="21"/>
                <w:szCs w:val="21"/>
                <w:highlight w:val="none"/>
                <w:lang w:val="en-US" w:eastAsia="zh-CN"/>
              </w:rPr>
              <w:t>服务</w:t>
            </w:r>
            <w:r>
              <w:rPr>
                <w:rFonts w:hint="default" w:ascii="Times New Roman" w:hAnsi="Times New Roman" w:cs="Times New Roman"/>
                <w:b w:val="0"/>
                <w:bCs w:val="0"/>
                <w:color w:val="000000"/>
                <w:sz w:val="21"/>
                <w:szCs w:val="21"/>
                <w:highlight w:val="none"/>
              </w:rPr>
              <w:t>类</w:t>
            </w:r>
          </w:p>
        </w:tc>
      </w:tr>
      <w:tr w14:paraId="0934A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35" w:type="dxa"/>
            <w:noWrap w:val="0"/>
            <w:vAlign w:val="center"/>
          </w:tcPr>
          <w:p w14:paraId="61D07845">
            <w:pPr>
              <w:jc w:val="center"/>
              <w:rPr>
                <w:rFonts w:hint="default" w:ascii="Times New Roman" w:hAnsi="Times New Roman" w:eastAsia="宋体" w:cs="Times New Roman"/>
                <w:bCs/>
                <w:color w:val="000000"/>
                <w:highlight w:val="none"/>
                <w:lang w:eastAsia="zh-CN"/>
              </w:rPr>
            </w:pPr>
            <w:r>
              <w:rPr>
                <w:rFonts w:hint="default" w:ascii="Times New Roman" w:hAnsi="Times New Roman" w:cs="Times New Roman"/>
                <w:bCs/>
                <w:color w:val="000000"/>
                <w:highlight w:val="none"/>
                <w:lang w:val="en-US" w:eastAsia="zh-CN"/>
              </w:rPr>
              <w:t>6</w:t>
            </w:r>
          </w:p>
        </w:tc>
        <w:tc>
          <w:tcPr>
            <w:tcW w:w="1500" w:type="dxa"/>
            <w:noWrap w:val="0"/>
            <w:vAlign w:val="center"/>
          </w:tcPr>
          <w:p w14:paraId="63B981A4">
            <w:pPr>
              <w:pStyle w:val="43"/>
              <w:widowControl w:val="0"/>
              <w:spacing w:before="0" w:beforeAutospacing="0" w:after="0" w:afterAutospacing="0"/>
              <w:rPr>
                <w:rFonts w:hint="default" w:ascii="Times New Roman" w:hAnsi="Times New Roman" w:cs="Times New Roman"/>
                <w:b w:val="0"/>
                <w:bCs w:val="0"/>
                <w:color w:val="000000"/>
                <w:sz w:val="24"/>
                <w:highlight w:val="none"/>
              </w:rPr>
            </w:pPr>
            <w:r>
              <w:rPr>
                <w:rFonts w:hint="default" w:ascii="Times New Roman" w:hAnsi="Times New Roman" w:cs="Times New Roman"/>
                <w:b w:val="0"/>
                <w:bCs w:val="0"/>
                <w:color w:val="000000"/>
                <w:sz w:val="21"/>
                <w:szCs w:val="21"/>
                <w:highlight w:val="none"/>
              </w:rPr>
              <w:t>资金来源</w:t>
            </w:r>
          </w:p>
        </w:tc>
        <w:tc>
          <w:tcPr>
            <w:tcW w:w="7110" w:type="dxa"/>
            <w:noWrap w:val="0"/>
            <w:vAlign w:val="center"/>
          </w:tcPr>
          <w:p w14:paraId="585C2C89">
            <w:pPr>
              <w:pStyle w:val="43"/>
              <w:widowControl w:val="0"/>
              <w:spacing w:before="0" w:beforeAutospacing="0" w:after="0" w:afterAutospacing="0"/>
              <w:jc w:val="both"/>
              <w:rPr>
                <w:rFonts w:hint="default" w:ascii="Times New Roman" w:hAnsi="Times New Roman" w:cs="Times New Roman"/>
                <w:b w:val="0"/>
                <w:bCs w:val="0"/>
                <w:color w:val="000000"/>
                <w:sz w:val="21"/>
                <w:szCs w:val="21"/>
                <w:highlight w:val="none"/>
              </w:rPr>
            </w:pPr>
            <w:r>
              <w:rPr>
                <w:rFonts w:hint="default" w:ascii="Times New Roman" w:hAnsi="Times New Roman" w:cs="Times New Roman"/>
                <w:color w:val="000000"/>
                <w:sz w:val="21"/>
                <w:szCs w:val="21"/>
                <w:highlight w:val="none"/>
              </w:rPr>
              <w:sym w:font="Wingdings" w:char="00FE"/>
            </w:r>
            <w:r>
              <w:rPr>
                <w:rFonts w:hint="default" w:ascii="Times New Roman" w:hAnsi="Times New Roman" w:cs="Times New Roman"/>
                <w:b w:val="0"/>
                <w:bCs w:val="0"/>
                <w:color w:val="000000"/>
                <w:sz w:val="21"/>
                <w:szCs w:val="21"/>
                <w:highlight w:val="none"/>
              </w:rPr>
              <w:t>采购人自筹  □其他</w:t>
            </w:r>
          </w:p>
        </w:tc>
      </w:tr>
      <w:tr w14:paraId="1B73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35" w:type="dxa"/>
            <w:noWrap w:val="0"/>
            <w:vAlign w:val="center"/>
          </w:tcPr>
          <w:p w14:paraId="69B6748C">
            <w:pPr>
              <w:spacing w:line="500" w:lineRule="exact"/>
              <w:jc w:val="center"/>
              <w:rPr>
                <w:rFonts w:hint="default" w:ascii="Times New Roman" w:hAnsi="Times New Roman" w:eastAsia="宋体" w:cs="Times New Roman"/>
                <w:color w:val="000000"/>
                <w:highlight w:val="none"/>
                <w:lang w:eastAsia="zh-CN"/>
              </w:rPr>
            </w:pPr>
            <w:r>
              <w:rPr>
                <w:rFonts w:hint="default" w:ascii="Times New Roman" w:hAnsi="Times New Roman" w:cs="Times New Roman"/>
                <w:color w:val="000000"/>
                <w:highlight w:val="none"/>
                <w:lang w:val="en-US" w:eastAsia="zh-CN"/>
              </w:rPr>
              <w:t>7</w:t>
            </w:r>
          </w:p>
        </w:tc>
        <w:tc>
          <w:tcPr>
            <w:tcW w:w="1500" w:type="dxa"/>
            <w:noWrap w:val="0"/>
            <w:vAlign w:val="top"/>
          </w:tcPr>
          <w:p w14:paraId="73479D58">
            <w:pPr>
              <w:spacing w:line="500" w:lineRule="exact"/>
              <w:jc w:val="center"/>
              <w:rPr>
                <w:rFonts w:hint="default" w:ascii="Times New Roman" w:hAnsi="Times New Roman" w:cs="Times New Roman"/>
                <w:color w:val="000000"/>
                <w:highlight w:val="none"/>
                <w:lang w:val="zh-CN"/>
              </w:rPr>
            </w:pPr>
            <w:r>
              <w:rPr>
                <w:rFonts w:hint="default" w:ascii="Times New Roman" w:hAnsi="Times New Roman" w:cs="Times New Roman"/>
                <w:color w:val="000000"/>
                <w:highlight w:val="none"/>
              </w:rPr>
              <w:t>标段划分</w:t>
            </w:r>
          </w:p>
        </w:tc>
        <w:tc>
          <w:tcPr>
            <w:tcW w:w="7110" w:type="dxa"/>
            <w:noWrap w:val="0"/>
            <w:vAlign w:val="center"/>
          </w:tcPr>
          <w:p w14:paraId="0E993AF9">
            <w:pPr>
              <w:spacing w:line="500" w:lineRule="exact"/>
              <w:ind w:firstLine="105" w:firstLineChars="50"/>
              <w:rPr>
                <w:rFonts w:hint="default" w:ascii="Times New Roman" w:hAnsi="Times New Roman" w:cs="Times New Roman"/>
                <w:bCs/>
                <w:color w:val="000000"/>
                <w:sz w:val="21"/>
                <w:szCs w:val="21"/>
                <w:highlight w:val="none"/>
              </w:rPr>
            </w:pPr>
            <w:r>
              <w:rPr>
                <w:rFonts w:hint="default" w:ascii="Times New Roman" w:hAnsi="Times New Roman" w:cs="Times New Roman"/>
                <w:b/>
                <w:bCs/>
                <w:color w:val="000000"/>
                <w:sz w:val="21"/>
                <w:szCs w:val="21"/>
                <w:highlight w:val="none"/>
              </w:rPr>
              <w:sym w:font="Wingdings" w:char="00FE"/>
            </w:r>
            <w:r>
              <w:rPr>
                <w:rFonts w:hint="default" w:ascii="Times New Roman" w:hAnsi="Times New Roman" w:cs="Times New Roman"/>
                <w:color w:val="000000"/>
                <w:sz w:val="21"/>
                <w:szCs w:val="21"/>
                <w:highlight w:val="none"/>
              </w:rPr>
              <w:t xml:space="preserve">不分包     □分为  个包  </w:t>
            </w:r>
          </w:p>
        </w:tc>
      </w:tr>
      <w:tr w14:paraId="00CB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735" w:type="dxa"/>
            <w:noWrap w:val="0"/>
            <w:vAlign w:val="center"/>
          </w:tcPr>
          <w:p w14:paraId="62ADDAAF">
            <w:pPr>
              <w:jc w:val="center"/>
              <w:rPr>
                <w:rFonts w:hint="default" w:ascii="Times New Roman" w:hAnsi="Times New Roman" w:eastAsia="宋体" w:cs="Times New Roman"/>
                <w:bCs/>
                <w:color w:val="000000"/>
                <w:highlight w:val="none"/>
                <w:lang w:val="zh-CN" w:eastAsia="zh-CN"/>
              </w:rPr>
            </w:pPr>
            <w:r>
              <w:rPr>
                <w:rFonts w:hint="default" w:ascii="Times New Roman" w:hAnsi="Times New Roman" w:eastAsia="宋体" w:cs="Times New Roman"/>
                <w:bCs/>
                <w:color w:val="000000"/>
                <w:highlight w:val="none"/>
                <w:lang w:val="en-US" w:eastAsia="zh-CN"/>
              </w:rPr>
              <w:t>8</w:t>
            </w:r>
          </w:p>
        </w:tc>
        <w:tc>
          <w:tcPr>
            <w:tcW w:w="1500" w:type="dxa"/>
            <w:noWrap w:val="0"/>
            <w:vAlign w:val="center"/>
          </w:tcPr>
          <w:p w14:paraId="66018CB7">
            <w:pPr>
              <w:spacing w:line="500" w:lineRule="exact"/>
              <w:jc w:val="center"/>
              <w:rPr>
                <w:rFonts w:hint="default" w:ascii="Times New Roman" w:hAnsi="Times New Roman" w:cs="Times New Roman"/>
                <w:color w:val="000000"/>
                <w:highlight w:val="none"/>
              </w:rPr>
            </w:pPr>
            <w:r>
              <w:rPr>
                <w:rFonts w:hint="default" w:ascii="Times New Roman" w:hAnsi="Times New Roman" w:cs="Times New Roman"/>
                <w:color w:val="000000"/>
                <w:highlight w:val="none"/>
                <w:lang w:val="zh-CN"/>
              </w:rPr>
              <w:t>付款方式</w:t>
            </w:r>
          </w:p>
        </w:tc>
        <w:tc>
          <w:tcPr>
            <w:tcW w:w="7110" w:type="dxa"/>
            <w:noWrap w:val="0"/>
            <w:vAlign w:val="top"/>
          </w:tcPr>
          <w:p w14:paraId="27079F5E">
            <w:pPr>
              <w:pStyle w:val="36"/>
              <w:spacing w:line="500" w:lineRule="exact"/>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合同签订后支付30%，初步成果提交后支付40%，成果正式实施后支付20%，项目运维期结束后支付10%。</w:t>
            </w:r>
          </w:p>
        </w:tc>
      </w:tr>
      <w:tr w14:paraId="2957F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35" w:type="dxa"/>
            <w:noWrap w:val="0"/>
            <w:vAlign w:val="center"/>
          </w:tcPr>
          <w:p w14:paraId="2C98A69F">
            <w:pPr>
              <w:jc w:val="center"/>
              <w:rPr>
                <w:rFonts w:hint="default" w:ascii="Times New Roman" w:hAnsi="Times New Roman" w:eastAsia="宋体" w:cs="Times New Roman"/>
                <w:bCs/>
                <w:color w:val="000000"/>
                <w:highlight w:val="none"/>
                <w:lang w:val="zh-CN" w:eastAsia="zh-CN"/>
              </w:rPr>
            </w:pPr>
            <w:r>
              <w:rPr>
                <w:rFonts w:hint="default" w:ascii="Times New Roman" w:hAnsi="Times New Roman" w:eastAsia="宋体" w:cs="Times New Roman"/>
                <w:bCs/>
                <w:color w:val="000000"/>
                <w:highlight w:val="none"/>
                <w:lang w:val="en-US" w:eastAsia="zh-CN"/>
              </w:rPr>
              <w:t>9</w:t>
            </w:r>
          </w:p>
        </w:tc>
        <w:tc>
          <w:tcPr>
            <w:tcW w:w="1500" w:type="dxa"/>
            <w:noWrap w:val="0"/>
            <w:vAlign w:val="center"/>
          </w:tcPr>
          <w:p w14:paraId="58B5E984">
            <w:pPr>
              <w:spacing w:line="500" w:lineRule="exact"/>
              <w:jc w:val="center"/>
              <w:rPr>
                <w:rFonts w:hint="default" w:ascii="Times New Roman" w:hAnsi="Times New Roman" w:cs="Times New Roman"/>
                <w:color w:val="000000"/>
                <w:highlight w:val="none"/>
              </w:rPr>
            </w:pPr>
            <w:r>
              <w:rPr>
                <w:rFonts w:hint="default" w:ascii="Times New Roman" w:hAnsi="Times New Roman" w:cs="Times New Roman"/>
                <w:color w:val="000000"/>
                <w:highlight w:val="none"/>
              </w:rPr>
              <w:t>联合体投标</w:t>
            </w:r>
          </w:p>
        </w:tc>
        <w:tc>
          <w:tcPr>
            <w:tcW w:w="7110" w:type="dxa"/>
            <w:noWrap w:val="0"/>
            <w:vAlign w:val="center"/>
          </w:tcPr>
          <w:p w14:paraId="009A7BE0">
            <w:pPr>
              <w:spacing w:line="500" w:lineRule="exact"/>
              <w:rPr>
                <w:rFonts w:hint="default" w:ascii="Times New Roman" w:hAnsi="Times New Roman" w:cs="Times New Roman"/>
                <w:color w:val="000000"/>
                <w:highlight w:val="none"/>
              </w:rPr>
            </w:pPr>
            <w:r>
              <w:rPr>
                <w:rFonts w:hint="default" w:ascii="Times New Roman" w:hAnsi="Times New Roman" w:cs="Times New Roman"/>
                <w:color w:val="000000"/>
                <w:highlight w:val="none"/>
              </w:rPr>
              <w:t>□</w:t>
            </w:r>
            <w:r>
              <w:rPr>
                <w:rFonts w:hint="default" w:ascii="Times New Roman" w:hAnsi="Times New Roman" w:cs="Times New Roman"/>
                <w:color w:val="000000"/>
                <w:highlight w:val="none"/>
                <w:lang w:val="zh-CN"/>
              </w:rPr>
              <w:t xml:space="preserve">接受  </w:t>
            </w:r>
            <w:r>
              <w:rPr>
                <w:rFonts w:hint="default" w:ascii="Times New Roman" w:hAnsi="Times New Roman" w:cs="Times New Roman"/>
                <w:b/>
                <w:bCs/>
                <w:color w:val="000000"/>
                <w:highlight w:val="none"/>
              </w:rPr>
              <w:sym w:font="Wingdings" w:char="00FE"/>
            </w:r>
            <w:r>
              <w:rPr>
                <w:rFonts w:hint="default" w:ascii="Times New Roman" w:hAnsi="Times New Roman" w:cs="Times New Roman"/>
                <w:color w:val="000000"/>
                <w:highlight w:val="none"/>
              </w:rPr>
              <w:t>不</w:t>
            </w:r>
            <w:r>
              <w:rPr>
                <w:rFonts w:hint="default" w:ascii="Times New Roman" w:hAnsi="Times New Roman" w:cs="Times New Roman"/>
                <w:color w:val="000000"/>
                <w:highlight w:val="none"/>
                <w:lang w:val="zh-CN"/>
              </w:rPr>
              <w:t>接受</w:t>
            </w:r>
          </w:p>
        </w:tc>
      </w:tr>
      <w:tr w14:paraId="4BF1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35" w:type="dxa"/>
            <w:noWrap w:val="0"/>
            <w:vAlign w:val="center"/>
          </w:tcPr>
          <w:p w14:paraId="45F43304">
            <w:pPr>
              <w:spacing w:line="500" w:lineRule="exact"/>
              <w:jc w:val="center"/>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10</w:t>
            </w:r>
          </w:p>
        </w:tc>
        <w:tc>
          <w:tcPr>
            <w:tcW w:w="1500" w:type="dxa"/>
            <w:noWrap w:val="0"/>
            <w:vAlign w:val="top"/>
          </w:tcPr>
          <w:p w14:paraId="6CC4B017">
            <w:pPr>
              <w:spacing w:line="500" w:lineRule="exact"/>
              <w:ind w:firstLine="210" w:firstLineChars="100"/>
              <w:rPr>
                <w:rFonts w:hint="default" w:ascii="Times New Roman" w:hAnsi="Times New Roman" w:cs="Times New Roman"/>
                <w:color w:val="000000"/>
                <w:highlight w:val="none"/>
              </w:rPr>
            </w:pPr>
            <w:r>
              <w:rPr>
                <w:rFonts w:hint="default" w:ascii="Times New Roman" w:hAnsi="Times New Roman" w:cs="Times New Roman"/>
                <w:color w:val="000000"/>
                <w:highlight w:val="none"/>
              </w:rPr>
              <w:t>服务地点</w:t>
            </w:r>
          </w:p>
        </w:tc>
        <w:tc>
          <w:tcPr>
            <w:tcW w:w="7110" w:type="dxa"/>
            <w:noWrap w:val="0"/>
            <w:vAlign w:val="top"/>
          </w:tcPr>
          <w:p w14:paraId="56B87B36">
            <w:pPr>
              <w:spacing w:line="500" w:lineRule="exact"/>
              <w:rPr>
                <w:rFonts w:hint="default" w:ascii="Times New Roman" w:hAnsi="Times New Roman" w:cs="Times New Roman"/>
                <w:color w:val="000000"/>
                <w:highlight w:val="none"/>
              </w:rPr>
            </w:pPr>
            <w:r>
              <w:rPr>
                <w:rFonts w:hint="default" w:ascii="Times New Roman" w:hAnsi="Times New Roman" w:cs="Times New Roman"/>
                <w:color w:val="000000"/>
                <w:highlight w:val="none"/>
              </w:rPr>
              <w:t>合肥经济技术开发区</w:t>
            </w:r>
          </w:p>
        </w:tc>
      </w:tr>
      <w:tr w14:paraId="5CB4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735" w:type="dxa"/>
            <w:noWrap w:val="0"/>
            <w:vAlign w:val="center"/>
          </w:tcPr>
          <w:p w14:paraId="2BBEA398">
            <w:pPr>
              <w:spacing w:line="500" w:lineRule="exact"/>
              <w:jc w:val="center"/>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11</w:t>
            </w:r>
          </w:p>
        </w:tc>
        <w:tc>
          <w:tcPr>
            <w:tcW w:w="1500" w:type="dxa"/>
            <w:noWrap w:val="0"/>
            <w:vAlign w:val="center"/>
          </w:tcPr>
          <w:p w14:paraId="2A8F91AB">
            <w:pPr>
              <w:spacing w:line="500" w:lineRule="exact"/>
              <w:jc w:val="center"/>
              <w:rPr>
                <w:rFonts w:hint="default" w:ascii="Times New Roman" w:hAnsi="Times New Roman" w:cs="Times New Roman"/>
                <w:color w:val="000000"/>
                <w:highlight w:val="none"/>
              </w:rPr>
            </w:pPr>
            <w:r>
              <w:rPr>
                <w:rFonts w:hint="default" w:ascii="Times New Roman" w:hAnsi="Times New Roman" w:cs="Times New Roman"/>
                <w:color w:val="000000"/>
                <w:szCs w:val="21"/>
                <w:highlight w:val="none"/>
              </w:rPr>
              <w:t>服务期限</w:t>
            </w:r>
          </w:p>
        </w:tc>
        <w:tc>
          <w:tcPr>
            <w:tcW w:w="7110" w:type="dxa"/>
            <w:noWrap w:val="0"/>
            <w:vAlign w:val="center"/>
          </w:tcPr>
          <w:p w14:paraId="7CBCA517">
            <w:pPr>
              <w:spacing w:line="500" w:lineRule="exact"/>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1.</w:t>
            </w:r>
            <w:r>
              <w:rPr>
                <w:rFonts w:hint="default" w:ascii="Times New Roman" w:hAnsi="Times New Roman" w:cs="Times New Roman"/>
                <w:color w:val="auto"/>
                <w:sz w:val="21"/>
                <w:szCs w:val="21"/>
                <w:highlight w:val="none"/>
              </w:rPr>
              <w:t>自合同签订之日起至</w:t>
            </w:r>
            <w:r>
              <w:rPr>
                <w:rFonts w:hint="default" w:ascii="Times New Roman" w:hAnsi="Times New Roman" w:cs="Times New Roman"/>
                <w:color w:val="auto"/>
                <w:sz w:val="21"/>
                <w:szCs w:val="21"/>
                <w:highlight w:val="none"/>
                <w:lang w:val="en-US" w:eastAsia="zh-CN"/>
              </w:rPr>
              <w:t>2026年12月31前完成本项目，评估、运维期1年</w:t>
            </w:r>
          </w:p>
          <w:p w14:paraId="65ABA7B4">
            <w:pPr>
              <w:spacing w:line="500" w:lineRule="exact"/>
              <w:rPr>
                <w:rFonts w:hint="default" w:ascii="Times New Roman" w:hAnsi="Times New Roman" w:cs="Times New Roman"/>
                <w:color w:val="FF0000"/>
                <w:highlight w:val="none"/>
              </w:rPr>
            </w:pPr>
            <w:r>
              <w:rPr>
                <w:rFonts w:hint="eastAsia" w:ascii="Times New Roman" w:hAnsi="Times New Roman" w:cs="Times New Roman"/>
                <w:color w:val="000000"/>
                <w:szCs w:val="21"/>
                <w:highlight w:val="none"/>
                <w:lang w:eastAsia="zh-CN"/>
              </w:rPr>
              <w:t>2.</w:t>
            </w:r>
            <w:r>
              <w:rPr>
                <w:rFonts w:hint="default" w:ascii="Times New Roman" w:hAnsi="Times New Roman" w:eastAsia="宋体" w:cs="Times New Roman"/>
                <w:color w:val="000000"/>
                <w:szCs w:val="21"/>
                <w:highlight w:val="none"/>
              </w:rPr>
              <w:t>当出现以下因素时，采购人有权随时终止合同，中标供应商不得以任何理由提出索赔要求：（1）政策性调整；（2）因中标供应商原因发生安全事故</w:t>
            </w:r>
            <w:r>
              <w:rPr>
                <w:rFonts w:hint="default" w:ascii="Times New Roman" w:hAnsi="Times New Roman" w:eastAsia="宋体" w:cs="Times New Roman"/>
                <w:highlight w:val="none"/>
              </w:rPr>
              <w:t>。</w:t>
            </w:r>
          </w:p>
        </w:tc>
      </w:tr>
      <w:tr w14:paraId="4D0E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35" w:type="dxa"/>
            <w:noWrap w:val="0"/>
            <w:vAlign w:val="center"/>
          </w:tcPr>
          <w:p w14:paraId="41B729C2">
            <w:pPr>
              <w:spacing w:line="500" w:lineRule="exact"/>
              <w:jc w:val="center"/>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12</w:t>
            </w:r>
          </w:p>
        </w:tc>
        <w:tc>
          <w:tcPr>
            <w:tcW w:w="1500" w:type="dxa"/>
            <w:noWrap w:val="0"/>
            <w:vAlign w:val="center"/>
          </w:tcPr>
          <w:p w14:paraId="170CB832">
            <w:pPr>
              <w:spacing w:line="500" w:lineRule="exact"/>
              <w:jc w:val="center"/>
              <w:rPr>
                <w:rFonts w:hint="default" w:ascii="Times New Roman" w:hAnsi="Times New Roman" w:cs="Times New Roman"/>
                <w:color w:val="000000"/>
                <w:highlight w:val="none"/>
              </w:rPr>
            </w:pPr>
            <w:r>
              <w:rPr>
                <w:rFonts w:hint="default" w:ascii="Times New Roman" w:hAnsi="Times New Roman" w:cs="Times New Roman"/>
                <w:bCs/>
                <w:color w:val="000000"/>
                <w:highlight w:val="none"/>
              </w:rPr>
              <w:t>踏勘现场</w:t>
            </w:r>
          </w:p>
        </w:tc>
        <w:tc>
          <w:tcPr>
            <w:tcW w:w="7110" w:type="dxa"/>
            <w:noWrap w:val="0"/>
            <w:vAlign w:val="center"/>
          </w:tcPr>
          <w:p w14:paraId="342A96D4">
            <w:pPr>
              <w:spacing w:line="500" w:lineRule="exact"/>
              <w:rPr>
                <w:rFonts w:hint="default" w:ascii="Times New Roman" w:hAnsi="Times New Roman" w:cs="Times New Roman"/>
                <w:color w:val="000000"/>
                <w:highlight w:val="none"/>
                <w:lang w:val="zh-CN"/>
              </w:rPr>
            </w:pPr>
            <w:r>
              <w:rPr>
                <w:rFonts w:hint="default" w:ascii="Times New Roman" w:hAnsi="Times New Roman" w:cs="Times New Roman"/>
                <w:b/>
                <w:color w:val="000000"/>
                <w:highlight w:val="none"/>
              </w:rPr>
              <w:sym w:font="Wingdings" w:char="00FE"/>
            </w:r>
            <w:r>
              <w:rPr>
                <w:rFonts w:hint="default" w:ascii="Times New Roman" w:hAnsi="Times New Roman" w:cs="Times New Roman"/>
                <w:bCs/>
                <w:color w:val="000000"/>
                <w:highlight w:val="none"/>
              </w:rPr>
              <w:t>自行踏勘</w:t>
            </w:r>
            <w:r>
              <w:rPr>
                <w:rFonts w:hint="default" w:ascii="Times New Roman" w:hAnsi="Times New Roman" w:cs="Times New Roman"/>
                <w:color w:val="000000"/>
                <w:highlight w:val="none"/>
              </w:rPr>
              <w:t xml:space="preserve">  □采购人</w:t>
            </w:r>
            <w:r>
              <w:rPr>
                <w:rFonts w:hint="default" w:ascii="Times New Roman" w:hAnsi="Times New Roman" w:cs="Times New Roman"/>
                <w:color w:val="000000"/>
                <w:highlight w:val="none"/>
                <w:lang w:val="zh-CN"/>
              </w:rPr>
              <w:t>统一组织</w:t>
            </w:r>
          </w:p>
        </w:tc>
      </w:tr>
      <w:tr w14:paraId="1E8E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35" w:type="dxa"/>
            <w:noWrap w:val="0"/>
            <w:vAlign w:val="center"/>
          </w:tcPr>
          <w:p w14:paraId="5E275374">
            <w:pPr>
              <w:spacing w:line="500" w:lineRule="exact"/>
              <w:jc w:val="center"/>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13</w:t>
            </w:r>
          </w:p>
        </w:tc>
        <w:tc>
          <w:tcPr>
            <w:tcW w:w="1500" w:type="dxa"/>
            <w:noWrap w:val="0"/>
            <w:vAlign w:val="center"/>
          </w:tcPr>
          <w:p w14:paraId="66B8398C">
            <w:pPr>
              <w:spacing w:line="500" w:lineRule="exact"/>
              <w:jc w:val="center"/>
              <w:rPr>
                <w:rFonts w:hint="default" w:ascii="Times New Roman" w:hAnsi="Times New Roman" w:cs="Times New Roman"/>
                <w:color w:val="000000"/>
                <w:highlight w:val="none"/>
              </w:rPr>
            </w:pPr>
            <w:r>
              <w:rPr>
                <w:rFonts w:hint="default" w:ascii="Times New Roman" w:hAnsi="Times New Roman" w:cs="Times New Roman"/>
                <w:color w:val="000000"/>
                <w:highlight w:val="none"/>
              </w:rPr>
              <w:t>评标办法</w:t>
            </w:r>
          </w:p>
        </w:tc>
        <w:tc>
          <w:tcPr>
            <w:tcW w:w="7110" w:type="dxa"/>
            <w:noWrap w:val="0"/>
            <w:vAlign w:val="center"/>
          </w:tcPr>
          <w:p w14:paraId="5C866DB5">
            <w:pPr>
              <w:spacing w:line="500" w:lineRule="exact"/>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综合评分法</w:t>
            </w:r>
          </w:p>
        </w:tc>
      </w:tr>
      <w:tr w14:paraId="34B1C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35" w:type="dxa"/>
            <w:noWrap w:val="0"/>
            <w:vAlign w:val="center"/>
          </w:tcPr>
          <w:p w14:paraId="23E377AA">
            <w:pPr>
              <w:spacing w:line="500" w:lineRule="exact"/>
              <w:jc w:val="center"/>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14</w:t>
            </w:r>
          </w:p>
        </w:tc>
        <w:tc>
          <w:tcPr>
            <w:tcW w:w="1500" w:type="dxa"/>
            <w:noWrap w:val="0"/>
            <w:vAlign w:val="center"/>
          </w:tcPr>
          <w:p w14:paraId="44F96DD6">
            <w:pPr>
              <w:spacing w:line="500" w:lineRule="exact"/>
              <w:jc w:val="center"/>
              <w:rPr>
                <w:rFonts w:hint="default" w:ascii="Times New Roman" w:hAnsi="Times New Roman" w:cs="Times New Roman"/>
                <w:bCs/>
                <w:color w:val="000000"/>
                <w:szCs w:val="24"/>
                <w:highlight w:val="none"/>
              </w:rPr>
            </w:pPr>
            <w:r>
              <w:rPr>
                <w:rFonts w:hint="default" w:ascii="Times New Roman" w:hAnsi="Times New Roman" w:cs="Times New Roman"/>
                <w:color w:val="000000"/>
                <w:szCs w:val="24"/>
                <w:highlight w:val="none"/>
              </w:rPr>
              <w:t>履约保证金</w:t>
            </w:r>
          </w:p>
        </w:tc>
        <w:tc>
          <w:tcPr>
            <w:tcW w:w="7110" w:type="dxa"/>
            <w:noWrap w:val="0"/>
            <w:vAlign w:val="center"/>
          </w:tcPr>
          <w:p w14:paraId="07396AA3">
            <w:pPr>
              <w:pStyle w:val="36"/>
              <w:numPr>
                <w:ilvl w:val="0"/>
                <w:numId w:val="1"/>
              </w:numPr>
              <w:spacing w:line="500" w:lineRule="exact"/>
              <w:rPr>
                <w:rFonts w:hint="default" w:ascii="Times New Roman" w:hAnsi="Times New Roman" w:cs="Times New Roman"/>
                <w:bCs/>
                <w:color w:val="000000"/>
                <w:highlight w:val="none"/>
              </w:rPr>
            </w:pPr>
            <w:r>
              <w:rPr>
                <w:rFonts w:hint="default" w:ascii="Times New Roman" w:hAnsi="Times New Roman" w:cs="Times New Roman"/>
                <w:bCs/>
                <w:color w:val="000000"/>
                <w:highlight w:val="none"/>
              </w:rPr>
              <w:t>履约保证金数额：</w:t>
            </w:r>
            <w:r>
              <w:rPr>
                <w:rFonts w:hint="default" w:ascii="Times New Roman" w:hAnsi="Times New Roman" w:cs="Times New Roman"/>
                <w:b/>
                <w:bCs w:val="0"/>
                <w:color w:val="000000"/>
                <w:highlight w:val="none"/>
              </w:rPr>
              <w:t>本项目</w:t>
            </w:r>
            <w:r>
              <w:rPr>
                <w:rFonts w:hint="default" w:ascii="Times New Roman" w:hAnsi="Times New Roman" w:cs="Times New Roman"/>
                <w:b/>
                <w:bCs w:val="0"/>
                <w:color w:val="000000"/>
                <w:highlight w:val="none"/>
                <w:lang w:val="en-US" w:eastAsia="zh-CN"/>
              </w:rPr>
              <w:t>定额</w:t>
            </w:r>
            <w:r>
              <w:rPr>
                <w:rFonts w:hint="default" w:ascii="Times New Roman" w:hAnsi="Times New Roman" w:cs="Times New Roman"/>
                <w:b/>
                <w:bCs w:val="0"/>
                <w:color w:val="000000"/>
                <w:highlight w:val="none"/>
              </w:rPr>
              <w:t>收取履约保证金</w:t>
            </w:r>
            <w:r>
              <w:rPr>
                <w:rFonts w:hint="default" w:ascii="Times New Roman" w:hAnsi="Times New Roman" w:cs="Times New Roman"/>
                <w:b/>
                <w:bCs w:val="0"/>
                <w:color w:val="000000"/>
                <w:highlight w:val="none"/>
                <w:lang w:val="en-US" w:eastAsia="zh-CN"/>
              </w:rPr>
              <w:t xml:space="preserve">  </w:t>
            </w:r>
            <w:r>
              <w:rPr>
                <w:rFonts w:hint="default" w:ascii="Times New Roman" w:hAnsi="Times New Roman" w:cs="Times New Roman"/>
                <w:b/>
                <w:bCs w:val="0"/>
                <w:color w:val="000000"/>
                <w:highlight w:val="none"/>
                <w:u w:val="single"/>
                <w:lang w:val="en-US" w:eastAsia="zh-CN"/>
              </w:rPr>
              <w:t xml:space="preserve"> 0 元</w:t>
            </w:r>
          </w:p>
          <w:p w14:paraId="682872B2">
            <w:pPr>
              <w:pStyle w:val="36"/>
              <w:numPr>
                <w:ilvl w:val="0"/>
                <w:numId w:val="0"/>
              </w:numPr>
              <w:spacing w:line="500" w:lineRule="exact"/>
              <w:rPr>
                <w:rFonts w:hint="default" w:ascii="Times New Roman" w:hAnsi="Times New Roman" w:cs="Times New Roman"/>
                <w:bCs/>
                <w:color w:val="000000"/>
                <w:highlight w:val="none"/>
              </w:rPr>
            </w:pPr>
            <w:r>
              <w:rPr>
                <w:rFonts w:hint="default" w:ascii="Times New Roman" w:hAnsi="Times New Roman" w:cs="Times New Roman"/>
                <w:bCs/>
                <w:color w:val="000000"/>
                <w:highlight w:val="none"/>
              </w:rPr>
              <w:t xml:space="preserve">2.收受方式为： </w:t>
            </w:r>
            <w:r>
              <w:rPr>
                <w:rFonts w:hint="default" w:ascii="Times New Roman" w:hAnsi="Times New Roman" w:cs="Times New Roman"/>
                <w:bCs/>
                <w:color w:val="000000"/>
                <w:highlight w:val="none"/>
              </w:rPr>
              <w:sym w:font="Wingdings 2" w:char="0052"/>
            </w:r>
            <w:r>
              <w:rPr>
                <w:rFonts w:hint="default" w:ascii="Times New Roman" w:hAnsi="Times New Roman" w:cs="Times New Roman"/>
                <w:bCs/>
                <w:color w:val="000000"/>
                <w:highlight w:val="none"/>
              </w:rPr>
              <w:t xml:space="preserve">银行保函  </w:t>
            </w:r>
            <w:r>
              <w:rPr>
                <w:rFonts w:hint="default" w:ascii="Times New Roman" w:hAnsi="Times New Roman" w:cs="Times New Roman"/>
                <w:bCs/>
                <w:color w:val="000000"/>
                <w:highlight w:val="none"/>
              </w:rPr>
              <w:sym w:font="Wingdings 2" w:char="0052"/>
            </w:r>
            <w:r>
              <w:rPr>
                <w:rFonts w:hint="default" w:ascii="Times New Roman" w:hAnsi="Times New Roman" w:cs="Times New Roman"/>
                <w:bCs/>
                <w:color w:val="000000"/>
                <w:highlight w:val="none"/>
              </w:rPr>
              <w:t xml:space="preserve">保证保险  </w:t>
            </w:r>
            <w:r>
              <w:rPr>
                <w:rFonts w:hint="default" w:ascii="Times New Roman" w:hAnsi="Times New Roman" w:cs="Times New Roman"/>
                <w:bCs/>
                <w:color w:val="000000"/>
                <w:highlight w:val="none"/>
                <w:lang w:eastAsia="zh-CN"/>
              </w:rPr>
              <w:t>☑</w:t>
            </w:r>
            <w:r>
              <w:rPr>
                <w:rFonts w:hint="default" w:ascii="Times New Roman" w:hAnsi="Times New Roman" w:cs="Times New Roman"/>
                <w:bCs/>
                <w:color w:val="000000"/>
                <w:highlight w:val="none"/>
              </w:rPr>
              <w:t xml:space="preserve">担保机构担保  </w:t>
            </w:r>
          </w:p>
          <w:p w14:paraId="7C24D3EF">
            <w:pPr>
              <w:pStyle w:val="36"/>
              <w:spacing w:line="500" w:lineRule="exact"/>
              <w:rPr>
                <w:rFonts w:hint="default" w:ascii="Times New Roman" w:hAnsi="Times New Roman" w:cs="Times New Roman"/>
                <w:bCs/>
                <w:color w:val="000000"/>
                <w:highlight w:val="none"/>
              </w:rPr>
            </w:pPr>
            <w:r>
              <w:rPr>
                <w:rFonts w:hint="default" w:ascii="Times New Roman" w:hAnsi="Times New Roman" w:cs="Times New Roman"/>
                <w:bCs/>
                <w:color w:val="000000"/>
                <w:highlight w:val="none"/>
              </w:rPr>
              <w:t>3.收受人为：</w:t>
            </w:r>
            <w:r>
              <w:rPr>
                <w:rFonts w:hint="default" w:ascii="Times New Roman" w:hAnsi="Times New Roman" w:cs="Times New Roman"/>
                <w:bCs/>
                <w:color w:val="000000"/>
                <w:highlight w:val="none"/>
                <w:lang w:eastAsia="zh-CN"/>
              </w:rPr>
              <w:t>☑</w:t>
            </w:r>
            <w:r>
              <w:rPr>
                <w:rFonts w:hint="default" w:ascii="Times New Roman" w:hAnsi="Times New Roman" w:cs="Times New Roman"/>
                <w:bCs/>
                <w:color w:val="000000"/>
                <w:highlight w:val="none"/>
              </w:rPr>
              <w:t>招标人</w:t>
            </w:r>
          </w:p>
          <w:p w14:paraId="1F3A0674">
            <w:pPr>
              <w:pStyle w:val="36"/>
              <w:spacing w:line="500" w:lineRule="exact"/>
              <w:rPr>
                <w:rFonts w:hint="default" w:ascii="Times New Roman" w:hAnsi="Times New Roman" w:cs="Times New Roman"/>
                <w:bCs/>
                <w:color w:val="000000"/>
                <w:highlight w:val="none"/>
              </w:rPr>
            </w:pPr>
            <w:r>
              <w:rPr>
                <w:rFonts w:hint="default" w:ascii="Times New Roman" w:hAnsi="Times New Roman" w:cs="Times New Roman"/>
                <w:bCs/>
                <w:color w:val="000000"/>
                <w:highlight w:val="none"/>
              </w:rPr>
              <w:t>4.提交时限：合同签订前按规定提交履约保证金，若中标人在规定时限内未提交履约保证金的，招标人有权取消其中标资格。</w:t>
            </w:r>
          </w:p>
          <w:p w14:paraId="7BDE4FF2">
            <w:pPr>
              <w:pStyle w:val="36"/>
              <w:spacing w:line="500" w:lineRule="exact"/>
              <w:rPr>
                <w:rFonts w:hint="default" w:ascii="Times New Roman" w:hAnsi="Times New Roman" w:cs="Times New Roman"/>
                <w:bCs/>
                <w:color w:val="000000"/>
                <w:highlight w:val="none"/>
                <w:u w:val="single"/>
              </w:rPr>
            </w:pPr>
            <w:r>
              <w:rPr>
                <w:rFonts w:hint="default" w:ascii="Times New Roman" w:hAnsi="Times New Roman" w:cs="Times New Roman"/>
                <w:bCs/>
                <w:color w:val="000000"/>
                <w:highlight w:val="none"/>
              </w:rPr>
              <w:t>5.退还：</w:t>
            </w:r>
            <w:r>
              <w:rPr>
                <w:rFonts w:hint="default" w:ascii="Times New Roman" w:hAnsi="Times New Roman" w:cs="Times New Roman"/>
                <w:b/>
                <w:bCs w:val="0"/>
                <w:color w:val="000000"/>
                <w:highlight w:val="none"/>
                <w:u w:val="single"/>
                <w:lang w:val="en-US" w:eastAsia="zh-CN"/>
              </w:rPr>
              <w:t>项目履约完成后，一次性退还。</w:t>
            </w:r>
          </w:p>
          <w:p w14:paraId="3D28E3D0">
            <w:pPr>
              <w:pStyle w:val="36"/>
              <w:spacing w:line="500" w:lineRule="exact"/>
              <w:rPr>
                <w:rFonts w:hint="default" w:ascii="Times New Roman" w:hAnsi="Times New Roman" w:cs="Times New Roman"/>
                <w:bCs/>
                <w:color w:val="000000"/>
                <w:highlight w:val="none"/>
              </w:rPr>
            </w:pPr>
            <w:r>
              <w:rPr>
                <w:rFonts w:hint="default" w:ascii="Times New Roman" w:hAnsi="Times New Roman" w:cs="Times New Roman"/>
                <w:bCs/>
                <w:color w:val="000000"/>
                <w:highlight w:val="none"/>
              </w:rPr>
              <w:t>6.如采用银行保函，银行保函应为合肥行政区域（含四县一市）具有分支机构的银行（或该银行国内任一分行或支行）出具的见索即付无条件银行保函。例如：某银行在合肥行政区域有分支机构，则该银行总行（或该银行国内任一分行或支行）出具的满足招标文件要求的银行保函均予以认可；</w:t>
            </w:r>
          </w:p>
          <w:p w14:paraId="688D2AE3">
            <w:pPr>
              <w:pStyle w:val="36"/>
              <w:spacing w:line="500" w:lineRule="exact"/>
              <w:rPr>
                <w:rFonts w:hint="default" w:ascii="Times New Roman" w:hAnsi="Times New Roman" w:cs="Times New Roman"/>
                <w:bCs/>
                <w:color w:val="000000"/>
                <w:highlight w:val="none"/>
              </w:rPr>
            </w:pPr>
            <w:r>
              <w:rPr>
                <w:rFonts w:hint="default" w:ascii="Times New Roman" w:hAnsi="Times New Roman" w:cs="Times New Roman"/>
                <w:bCs/>
                <w:color w:val="000000"/>
                <w:highlight w:val="none"/>
              </w:rPr>
              <w:t>7.如采用担保机构担保，应为注册地在合肥行政区域（含四县一市）范围内的融资担保机构或经安徽省地方金融监督管理局备案的融资担保机构出具的无条件担保。</w:t>
            </w:r>
          </w:p>
          <w:p w14:paraId="5500726F">
            <w:pPr>
              <w:spacing w:line="360" w:lineRule="auto"/>
              <w:rPr>
                <w:rFonts w:hint="default" w:ascii="Times New Roman" w:hAnsi="Times New Roman" w:cs="Times New Roman"/>
                <w:snapToGrid w:val="0"/>
                <w:kern w:val="0"/>
                <w:szCs w:val="21"/>
                <w:highlight w:val="none"/>
              </w:rPr>
            </w:pPr>
            <w:r>
              <w:rPr>
                <w:rFonts w:hint="default" w:ascii="Times New Roman" w:hAnsi="Times New Roman" w:cs="Times New Roman"/>
                <w:bCs/>
                <w:color w:val="000000"/>
                <w:highlight w:val="none"/>
              </w:rPr>
              <w:t>8.以上各类机构出具的以担保函、保证保险承担责任的方式均须满足无条件见索即付条件。</w:t>
            </w:r>
          </w:p>
        </w:tc>
      </w:tr>
      <w:tr w14:paraId="7A853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35" w:type="dxa"/>
            <w:noWrap w:val="0"/>
            <w:vAlign w:val="center"/>
          </w:tcPr>
          <w:p w14:paraId="2FC2A26E">
            <w:pPr>
              <w:spacing w:line="500" w:lineRule="exact"/>
              <w:jc w:val="center"/>
              <w:rPr>
                <w:rFonts w:hint="default" w:ascii="Times New Roman" w:hAnsi="Times New Roman" w:eastAsia="宋体" w:cs="Times New Roman"/>
                <w:color w:val="000000"/>
                <w:highlight w:val="none"/>
                <w:lang w:val="en-US" w:eastAsia="zh-CN"/>
              </w:rPr>
            </w:pPr>
            <w:r>
              <w:rPr>
                <w:rFonts w:hint="default" w:ascii="Times New Roman" w:hAnsi="Times New Roman" w:cs="Times New Roman"/>
                <w:color w:val="000000"/>
                <w:highlight w:val="none"/>
                <w:lang w:val="en-US" w:eastAsia="zh-CN"/>
              </w:rPr>
              <w:t>15</w:t>
            </w:r>
          </w:p>
        </w:tc>
        <w:tc>
          <w:tcPr>
            <w:tcW w:w="1500" w:type="dxa"/>
            <w:noWrap w:val="0"/>
            <w:vAlign w:val="center"/>
          </w:tcPr>
          <w:p w14:paraId="05BDBCA0">
            <w:pPr>
              <w:spacing w:line="500" w:lineRule="exact"/>
              <w:jc w:val="center"/>
              <w:rPr>
                <w:rFonts w:hint="default" w:ascii="Times New Roman" w:hAnsi="Times New Roman" w:cs="Times New Roman"/>
                <w:color w:val="000000"/>
                <w:highlight w:val="none"/>
              </w:rPr>
            </w:pPr>
            <w:r>
              <w:rPr>
                <w:rFonts w:hint="default" w:ascii="Times New Roman" w:hAnsi="Times New Roman" w:cs="Times New Roman"/>
                <w:color w:val="000000"/>
                <w:highlight w:val="none"/>
              </w:rPr>
              <w:t>本地化服务</w:t>
            </w:r>
          </w:p>
        </w:tc>
        <w:tc>
          <w:tcPr>
            <w:tcW w:w="7110" w:type="dxa"/>
            <w:noWrap w:val="0"/>
            <w:vAlign w:val="center"/>
          </w:tcPr>
          <w:p w14:paraId="259C3526">
            <w:pPr>
              <w:spacing w:line="500" w:lineRule="exact"/>
              <w:rPr>
                <w:rFonts w:hint="default" w:ascii="Times New Roman" w:hAnsi="Times New Roman" w:cs="Times New Roman"/>
                <w:color w:val="000000"/>
                <w:highlight w:val="none"/>
              </w:rPr>
            </w:pPr>
            <w:r>
              <w:rPr>
                <w:rFonts w:hint="default" w:ascii="Times New Roman" w:hAnsi="Times New Roman" w:cs="Times New Roman"/>
                <w:color w:val="000000"/>
                <w:highlight w:val="none"/>
              </w:rPr>
              <w:t>本项目是否要求本地化服务能力：</w:t>
            </w:r>
            <w:r>
              <w:rPr>
                <w:rFonts w:hint="default" w:ascii="Times New Roman" w:hAnsi="Times New Roman" w:cs="Times New Roman"/>
                <w:b/>
                <w:bCs/>
                <w:color w:val="000000"/>
                <w:highlight w:val="none"/>
                <w:u w:val="single"/>
              </w:rPr>
              <w:sym w:font="Wingdings" w:char="00FE"/>
            </w:r>
            <w:r>
              <w:rPr>
                <w:rFonts w:hint="default" w:ascii="Times New Roman" w:hAnsi="Times New Roman" w:cs="Times New Roman"/>
                <w:color w:val="000000"/>
                <w:highlight w:val="none"/>
              </w:rPr>
              <w:t>要求</w:t>
            </w:r>
            <w:r>
              <w:rPr>
                <w:rFonts w:hint="default" w:ascii="Times New Roman" w:hAnsi="Times New Roman" w:cs="Times New Roman"/>
                <w:color w:val="000000"/>
                <w:sz w:val="30"/>
                <w:szCs w:val="30"/>
                <w:highlight w:val="none"/>
              </w:rPr>
              <w:t>□</w:t>
            </w:r>
            <w:r>
              <w:rPr>
                <w:rFonts w:hint="default" w:ascii="Times New Roman" w:hAnsi="Times New Roman" w:cs="Times New Roman"/>
                <w:color w:val="000000"/>
                <w:highlight w:val="none"/>
              </w:rPr>
              <w:t>不要求</w:t>
            </w:r>
          </w:p>
          <w:p w14:paraId="3D19498E">
            <w:pPr>
              <w:spacing w:line="500" w:lineRule="exact"/>
              <w:rPr>
                <w:rFonts w:hint="default" w:ascii="Times New Roman" w:hAnsi="Times New Roman" w:cs="Times New Roman"/>
                <w:color w:val="000000"/>
                <w:highlight w:val="none"/>
              </w:rPr>
            </w:pPr>
            <w:r>
              <w:rPr>
                <w:rFonts w:hint="default" w:ascii="Times New Roman" w:hAnsi="Times New Roman" w:cs="Times New Roman"/>
                <w:color w:val="000000"/>
                <w:highlight w:val="none"/>
              </w:rPr>
              <w:t>本地化服务的能力是指具有以下条件之一：</w:t>
            </w:r>
          </w:p>
          <w:p w14:paraId="2CE21A6D">
            <w:pPr>
              <w:spacing w:line="500" w:lineRule="exact"/>
              <w:rPr>
                <w:rFonts w:hint="default" w:ascii="Times New Roman" w:hAnsi="Times New Roman" w:cs="Times New Roman"/>
                <w:color w:val="000000"/>
                <w:highlight w:val="none"/>
              </w:rPr>
            </w:pPr>
            <w:r>
              <w:rPr>
                <w:rFonts w:hint="default" w:ascii="Times New Roman" w:hAnsi="Times New Roman" w:cs="Times New Roman"/>
                <w:color w:val="000000"/>
                <w:highlight w:val="none"/>
              </w:rPr>
              <w:t>1）在本地具有固定的办公场所及人员；</w:t>
            </w:r>
          </w:p>
          <w:p w14:paraId="0247C75F">
            <w:pPr>
              <w:spacing w:line="500" w:lineRule="exact"/>
              <w:rPr>
                <w:rFonts w:hint="default" w:ascii="Times New Roman" w:hAnsi="Times New Roman" w:cs="Times New Roman"/>
                <w:color w:val="000000"/>
                <w:highlight w:val="none"/>
              </w:rPr>
            </w:pPr>
            <w:r>
              <w:rPr>
                <w:rFonts w:hint="default" w:ascii="Times New Roman" w:hAnsi="Times New Roman" w:cs="Times New Roman"/>
                <w:color w:val="000000"/>
                <w:highlight w:val="none"/>
              </w:rPr>
              <w:t>2）在本地注册成立的；</w:t>
            </w:r>
          </w:p>
          <w:p w14:paraId="3200D1ED">
            <w:pPr>
              <w:spacing w:line="500" w:lineRule="exact"/>
              <w:rPr>
                <w:rFonts w:hint="default" w:ascii="Times New Roman" w:hAnsi="Times New Roman" w:cs="Times New Roman"/>
                <w:color w:val="000000"/>
                <w:highlight w:val="none"/>
              </w:rPr>
            </w:pPr>
            <w:r>
              <w:rPr>
                <w:rFonts w:hint="default" w:ascii="Times New Roman" w:hAnsi="Times New Roman" w:cs="Times New Roman"/>
                <w:color w:val="000000"/>
                <w:highlight w:val="none"/>
              </w:rPr>
              <w:t>3）承诺成交即设立本地化服务机构。</w:t>
            </w:r>
          </w:p>
          <w:p w14:paraId="7AA4DF9D">
            <w:pPr>
              <w:spacing w:line="500" w:lineRule="exact"/>
              <w:rPr>
                <w:rFonts w:hint="default" w:ascii="Times New Roman" w:hAnsi="Times New Roman" w:cs="Times New Roman"/>
                <w:b/>
                <w:color w:val="000000"/>
                <w:highlight w:val="none"/>
              </w:rPr>
            </w:pPr>
            <w:r>
              <w:rPr>
                <w:rFonts w:hint="default" w:ascii="Times New Roman" w:hAnsi="Times New Roman" w:cs="Times New Roman"/>
                <w:color w:val="000000"/>
                <w:highlight w:val="none"/>
              </w:rPr>
              <w:t>备注：</w:t>
            </w:r>
            <w:r>
              <w:rPr>
                <w:rFonts w:hint="eastAsia" w:ascii="Times New Roman" w:hAnsi="Times New Roman" w:cs="Times New Roman"/>
                <w:color w:val="000000"/>
                <w:highlight w:val="none"/>
                <w:lang w:eastAsia="zh-CN"/>
              </w:rPr>
              <w:t>“</w:t>
            </w:r>
            <w:r>
              <w:rPr>
                <w:rFonts w:hint="default" w:ascii="Times New Roman" w:hAnsi="Times New Roman" w:cs="Times New Roman"/>
                <w:color w:val="000000"/>
                <w:highlight w:val="none"/>
              </w:rPr>
              <w:t>本地</w:t>
            </w:r>
            <w:r>
              <w:rPr>
                <w:rFonts w:hint="eastAsia" w:ascii="Times New Roman" w:hAnsi="Times New Roman" w:cs="Times New Roman"/>
                <w:color w:val="000000"/>
                <w:highlight w:val="none"/>
                <w:lang w:eastAsia="zh-CN"/>
              </w:rPr>
              <w:t>”</w:t>
            </w:r>
            <w:r>
              <w:rPr>
                <w:rFonts w:hint="default" w:ascii="Times New Roman" w:hAnsi="Times New Roman" w:cs="Times New Roman"/>
                <w:color w:val="000000"/>
                <w:highlight w:val="none"/>
              </w:rPr>
              <w:t>系指： 合肥市</w:t>
            </w:r>
          </w:p>
        </w:tc>
      </w:tr>
      <w:tr w14:paraId="3208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35" w:type="dxa"/>
            <w:noWrap w:val="0"/>
            <w:vAlign w:val="center"/>
          </w:tcPr>
          <w:p w14:paraId="3261C562">
            <w:pPr>
              <w:spacing w:line="500" w:lineRule="exact"/>
              <w:jc w:val="center"/>
              <w:rPr>
                <w:rFonts w:hint="default" w:ascii="Times New Roman" w:hAnsi="Times New Roman" w:eastAsia="宋体" w:cs="Times New Roman"/>
                <w:color w:val="000000"/>
                <w:highlight w:val="none"/>
                <w:lang w:val="en-US" w:eastAsia="zh-CN"/>
              </w:rPr>
            </w:pPr>
            <w:r>
              <w:rPr>
                <w:rFonts w:hint="default" w:ascii="Times New Roman" w:hAnsi="Times New Roman" w:eastAsia="宋体" w:cs="Times New Roman"/>
                <w:color w:val="000000"/>
                <w:highlight w:val="none"/>
                <w:lang w:val="en-US" w:eastAsia="zh-CN"/>
              </w:rPr>
              <w:t>16</w:t>
            </w:r>
          </w:p>
        </w:tc>
        <w:tc>
          <w:tcPr>
            <w:tcW w:w="1500" w:type="dxa"/>
            <w:noWrap w:val="0"/>
            <w:vAlign w:val="center"/>
          </w:tcPr>
          <w:p w14:paraId="682510F4">
            <w:pPr>
              <w:ind w:firstLine="210" w:firstLineChars="100"/>
              <w:rPr>
                <w:rFonts w:hint="default" w:ascii="Times New Roman" w:hAnsi="Times New Roman" w:cs="Times New Roman"/>
                <w:color w:val="000000"/>
                <w:highlight w:val="none"/>
              </w:rPr>
            </w:pPr>
            <w:r>
              <w:rPr>
                <w:rFonts w:hint="default" w:ascii="Times New Roman" w:hAnsi="Times New Roman" w:cs="Times New Roman"/>
                <w:color w:val="000000"/>
                <w:highlight w:val="none"/>
              </w:rPr>
              <w:t>业绩</w:t>
            </w:r>
          </w:p>
        </w:tc>
        <w:tc>
          <w:tcPr>
            <w:tcW w:w="7110" w:type="dxa"/>
            <w:noWrap w:val="0"/>
            <w:vAlign w:val="center"/>
          </w:tcPr>
          <w:p w14:paraId="6F841046">
            <w:pPr>
              <w:spacing w:line="360" w:lineRule="auto"/>
              <w:rPr>
                <w:rFonts w:hint="default" w:ascii="Times New Roman" w:hAnsi="Times New Roman" w:eastAsia="宋体" w:cs="Times New Roman"/>
                <w:color w:val="000000"/>
                <w:highlight w:val="none"/>
                <w:lang w:eastAsia="zh-CN"/>
              </w:rPr>
            </w:pPr>
            <w:r>
              <w:rPr>
                <w:rFonts w:hint="default" w:ascii="Times New Roman" w:hAnsi="Times New Roman" w:cs="Times New Roman"/>
                <w:sz w:val="21"/>
                <w:szCs w:val="21"/>
                <w:highlight w:val="none"/>
                <w:lang w:val="en-US" w:eastAsia="zh-CN"/>
              </w:rPr>
              <w:t>/</w:t>
            </w:r>
          </w:p>
        </w:tc>
      </w:tr>
      <w:tr w14:paraId="65DE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35" w:type="dxa"/>
            <w:noWrap w:val="0"/>
            <w:vAlign w:val="center"/>
          </w:tcPr>
          <w:p w14:paraId="5E0256CF">
            <w:pPr>
              <w:spacing w:line="500" w:lineRule="exact"/>
              <w:jc w:val="center"/>
              <w:rPr>
                <w:rFonts w:hint="default" w:ascii="Times New Roman" w:hAnsi="Times New Roman" w:eastAsia="宋体" w:cs="Times New Roman"/>
                <w:color w:val="000000"/>
                <w:highlight w:val="none"/>
                <w:lang w:val="en-US" w:eastAsia="zh-CN"/>
              </w:rPr>
            </w:pPr>
            <w:r>
              <w:rPr>
                <w:rFonts w:hint="default" w:ascii="Times New Roman" w:hAnsi="Times New Roman" w:eastAsia="宋体" w:cs="Times New Roman"/>
                <w:color w:val="000000"/>
                <w:highlight w:val="none"/>
                <w:lang w:val="en-US" w:eastAsia="zh-CN"/>
              </w:rPr>
              <w:t>17</w:t>
            </w:r>
          </w:p>
        </w:tc>
        <w:tc>
          <w:tcPr>
            <w:tcW w:w="1500" w:type="dxa"/>
            <w:noWrap w:val="0"/>
            <w:vAlign w:val="center"/>
          </w:tcPr>
          <w:p w14:paraId="697A1589">
            <w:pPr>
              <w:ind w:firstLine="210" w:firstLineChars="100"/>
              <w:rPr>
                <w:rFonts w:hint="default" w:ascii="Times New Roman" w:hAnsi="Times New Roman" w:cs="Times New Roman"/>
                <w:color w:val="000000"/>
                <w:highlight w:val="none"/>
              </w:rPr>
            </w:pPr>
            <w:r>
              <w:rPr>
                <w:rFonts w:hint="default" w:ascii="Times New Roman" w:hAnsi="Times New Roman" w:cs="Times New Roman"/>
                <w:color w:val="000000"/>
                <w:highlight w:val="none"/>
              </w:rPr>
              <w:t>其他</w:t>
            </w:r>
          </w:p>
        </w:tc>
        <w:tc>
          <w:tcPr>
            <w:tcW w:w="7110" w:type="dxa"/>
            <w:noWrap w:val="0"/>
            <w:vAlign w:val="center"/>
          </w:tcPr>
          <w:p w14:paraId="74551678">
            <w:pPr>
              <w:rPr>
                <w:rFonts w:hint="default" w:ascii="Times New Roman" w:hAnsi="Times New Roman" w:eastAsia="宋体" w:cs="Times New Roman"/>
                <w:color w:val="000000"/>
                <w:highlight w:val="none"/>
                <w:lang w:val="en-US" w:eastAsia="zh-CN"/>
              </w:rPr>
            </w:pPr>
            <w:r>
              <w:rPr>
                <w:rFonts w:hint="default" w:ascii="Times New Roman" w:hAnsi="Times New Roman" w:eastAsia="宋体" w:cs="Times New Roman"/>
                <w:color w:val="000000"/>
                <w:highlight w:val="none"/>
                <w:lang w:val="en-US" w:eastAsia="zh-CN"/>
              </w:rPr>
              <w:t>/</w:t>
            </w:r>
          </w:p>
        </w:tc>
      </w:tr>
    </w:tbl>
    <w:p w14:paraId="33A0FDDA">
      <w:pPr>
        <w:rPr>
          <w:rFonts w:hint="default" w:ascii="Times New Roman" w:hAnsi="Times New Roman" w:cs="Times New Roman"/>
          <w:lang w:val="en-US" w:eastAsia="zh-CN"/>
        </w:rPr>
      </w:pPr>
    </w:p>
    <w:p w14:paraId="03BB1A03">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项目概况</w:t>
      </w:r>
    </w:p>
    <w:p w14:paraId="6904A26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为深入贯彻落实国资国企改革相关工作部署，适配企业高质量发展及规范化运营建设需求，实施本次管理体系升级项目</w:t>
      </w:r>
      <w:r>
        <w:rPr>
          <w:rFonts w:hint="eastAsia" w:ascii="Times New Roman" w:hAnsi="Times New Roman" w:cs="Times New Roman"/>
          <w:color w:val="000000"/>
          <w:sz w:val="24"/>
          <w:szCs w:val="24"/>
          <w:lang w:val="en-US" w:eastAsia="zh-CN"/>
        </w:rPr>
        <w:t>采购工作</w:t>
      </w:r>
      <w:r>
        <w:rPr>
          <w:rFonts w:hint="default" w:ascii="Times New Roman" w:hAnsi="Times New Roman" w:eastAsia="宋体" w:cs="Times New Roman"/>
          <w:color w:val="000000"/>
          <w:sz w:val="24"/>
          <w:szCs w:val="24"/>
        </w:rPr>
        <w:t>。</w:t>
      </w:r>
    </w:p>
    <w:p w14:paraId="3F30A5C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对照中央、省市深化国企改革政策规范及上级调研工作要求，当前公司在战略定位优化、组织架构与人员编制配置、薪酬绩效体系建设、合规管理体系运行四个关键领域存在体系短板，现有管理模式、运营机制已无法充分匹配新一轮改革任务要求及现代化国企经营发展需要。</w:t>
      </w:r>
    </w:p>
    <w:p w14:paraId="559D719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000000"/>
          <w:sz w:val="24"/>
          <w:szCs w:val="24"/>
          <w:lang w:val="en-US" w:eastAsia="zh-CN"/>
        </w:rPr>
      </w:pPr>
      <w:r>
        <w:rPr>
          <w:rFonts w:hint="default" w:ascii="Times New Roman" w:hAnsi="Times New Roman" w:eastAsia="宋体" w:cs="Times New Roman"/>
          <w:color w:val="000000"/>
          <w:sz w:val="24"/>
          <w:szCs w:val="24"/>
        </w:rPr>
        <w:t>基于上述现状，本</w:t>
      </w:r>
      <w:r>
        <w:rPr>
          <w:rFonts w:hint="default" w:ascii="Times New Roman" w:hAnsi="Times New Roman" w:cs="Times New Roman"/>
          <w:color w:val="000000"/>
          <w:sz w:val="24"/>
          <w:szCs w:val="24"/>
          <w:lang w:val="en-US" w:eastAsia="zh-CN"/>
        </w:rPr>
        <w:t>次</w:t>
      </w:r>
      <w:r>
        <w:rPr>
          <w:rFonts w:hint="default" w:ascii="Times New Roman" w:hAnsi="Times New Roman" w:eastAsia="宋体" w:cs="Times New Roman"/>
          <w:color w:val="000000"/>
          <w:sz w:val="24"/>
          <w:szCs w:val="24"/>
        </w:rPr>
        <w:t>项目</w:t>
      </w:r>
      <w:r>
        <w:rPr>
          <w:rFonts w:hint="default" w:ascii="Times New Roman" w:hAnsi="Times New Roman" w:cs="Times New Roman"/>
          <w:color w:val="000000"/>
          <w:sz w:val="24"/>
          <w:szCs w:val="24"/>
          <w:lang w:val="en-US" w:eastAsia="zh-CN"/>
        </w:rPr>
        <w:t>采购</w:t>
      </w:r>
      <w:r>
        <w:rPr>
          <w:rFonts w:hint="eastAsia" w:ascii="Times New Roman" w:hAnsi="Times New Roman" w:cs="Times New Roman"/>
          <w:color w:val="000000"/>
          <w:sz w:val="24"/>
          <w:szCs w:val="24"/>
          <w:lang w:val="en-US" w:eastAsia="zh-CN"/>
        </w:rPr>
        <w:t>服务</w:t>
      </w:r>
      <w:r>
        <w:rPr>
          <w:rFonts w:hint="default" w:ascii="Times New Roman" w:hAnsi="Times New Roman" w:eastAsia="宋体" w:cs="Times New Roman"/>
          <w:color w:val="000000"/>
          <w:sz w:val="24"/>
          <w:szCs w:val="24"/>
        </w:rPr>
        <w:t>聚焦四大核心管理板块体系升级建设，通过系统性完善企业治理与运营管理体系，补齐管理漏洞、激活经营机制、筑牢合规底线，切实落实</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rPr>
        <w:t>既活机制、又守底线</w:t>
      </w:r>
      <w:r>
        <w:rPr>
          <w:rFonts w:hint="eastAsia" w:ascii="Times New Roman" w:hAnsi="Times New Roman" w:cs="Times New Roman"/>
          <w:color w:val="000000"/>
          <w:sz w:val="24"/>
          <w:szCs w:val="24"/>
          <w:lang w:eastAsia="zh-CN"/>
        </w:rPr>
        <w:t>”</w:t>
      </w:r>
      <w:r>
        <w:rPr>
          <w:rFonts w:hint="default" w:ascii="Times New Roman" w:hAnsi="Times New Roman" w:eastAsia="宋体" w:cs="Times New Roman"/>
          <w:color w:val="000000"/>
          <w:sz w:val="24"/>
          <w:szCs w:val="24"/>
        </w:rPr>
        <w:t>的改革总体要求，全面提升公司专业化运营、规范化管理、智慧化服务能力，助力公司精准落地战略定位，高质量完成改革部署任务。</w:t>
      </w:r>
      <w:r>
        <w:rPr>
          <w:rFonts w:hint="eastAsia" w:ascii="Times New Roman" w:hAnsi="Times New Roman" w:cs="Times New Roman"/>
          <w:color w:val="000000"/>
          <w:sz w:val="24"/>
          <w:szCs w:val="24"/>
          <w:lang w:val="en-US" w:eastAsia="zh-CN"/>
        </w:rPr>
        <w:t xml:space="preserve"> </w:t>
      </w:r>
    </w:p>
    <w:p w14:paraId="3B15E158">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服务内容</w:t>
      </w:r>
    </w:p>
    <w:p w14:paraId="6439C1B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本次咨询</w:t>
      </w:r>
      <w:r>
        <w:rPr>
          <w:rFonts w:hint="eastAsia" w:ascii="Times New Roman" w:hAnsi="Times New Roman" w:cs="Times New Roman"/>
          <w:color w:val="000000"/>
          <w:sz w:val="24"/>
          <w:szCs w:val="24"/>
          <w:lang w:val="en-US" w:eastAsia="zh-CN"/>
        </w:rPr>
        <w:t>服务</w:t>
      </w:r>
      <w:r>
        <w:rPr>
          <w:rFonts w:hint="default" w:ascii="Times New Roman" w:hAnsi="Times New Roman" w:cs="Times New Roman"/>
          <w:color w:val="000000"/>
          <w:sz w:val="24"/>
          <w:szCs w:val="24"/>
          <w:lang w:val="en-US" w:eastAsia="zh-CN"/>
        </w:rPr>
        <w:t>围绕四个方面</w:t>
      </w:r>
      <w:r>
        <w:rPr>
          <w:rFonts w:hint="eastAsia" w:ascii="Times New Roman" w:hAnsi="Times New Roman" w:cs="Times New Roman"/>
          <w:color w:val="000000"/>
          <w:sz w:val="24"/>
          <w:szCs w:val="24"/>
          <w:lang w:val="en-US" w:eastAsia="zh-CN"/>
        </w:rPr>
        <w:t>开展</w:t>
      </w:r>
      <w:r>
        <w:rPr>
          <w:rFonts w:hint="default" w:ascii="Times New Roman" w:hAnsi="Times New Roman" w:cs="Times New Roman"/>
          <w:color w:val="000000"/>
          <w:sz w:val="24"/>
          <w:szCs w:val="24"/>
          <w:lang w:val="en-US" w:eastAsia="zh-CN"/>
        </w:rPr>
        <w:t>，主</w:t>
      </w:r>
      <w:r>
        <w:rPr>
          <w:rFonts w:hint="eastAsia" w:ascii="Times New Roman" w:hAnsi="Times New Roman" w:cs="Times New Roman"/>
          <w:color w:val="000000"/>
          <w:sz w:val="24"/>
          <w:szCs w:val="24"/>
          <w:lang w:val="en-US" w:eastAsia="zh-CN"/>
        </w:rPr>
        <w:t>要从</w:t>
      </w:r>
      <w:r>
        <w:rPr>
          <w:rFonts w:hint="default" w:ascii="Times New Roman" w:hAnsi="Times New Roman" w:cs="Times New Roman"/>
          <w:color w:val="000000"/>
          <w:sz w:val="24"/>
          <w:szCs w:val="24"/>
          <w:lang w:val="en-US" w:eastAsia="zh-CN"/>
        </w:rPr>
        <w:t>以下四个板块开展工作研究：</w:t>
      </w:r>
    </w:p>
    <w:p w14:paraId="03826C98">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firstLine="482" w:firstLineChars="2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b/>
          <w:bCs/>
          <w:color w:val="000000"/>
          <w:sz w:val="24"/>
          <w:szCs w:val="24"/>
          <w:lang w:val="en-US" w:eastAsia="zh-CN"/>
        </w:rPr>
        <w:t>战略规划。</w:t>
      </w:r>
      <w:r>
        <w:rPr>
          <w:rFonts w:hint="default" w:ascii="Times New Roman" w:hAnsi="Times New Roman" w:cs="Times New Roman"/>
          <w:color w:val="000000"/>
          <w:sz w:val="24"/>
          <w:szCs w:val="24"/>
          <w:lang w:val="en-US" w:eastAsia="zh-CN"/>
        </w:rPr>
        <w:t>开展全面管理诊断，编制公司发展规划和三年行动计划，建立战略解码机制。</w:t>
      </w:r>
    </w:p>
    <w:p w14:paraId="2D85DCC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服务成果：《公司管理诊断报告》《公司发展规划》（含业务增长与第二曲线培育方案）。</w:t>
      </w:r>
    </w:p>
    <w:p w14:paraId="5561C43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预期成效：形成定位清晰、可分解、可考核的战略体系，对接上级考核导向，支撑向上级汇报和争取政策资源。</w:t>
      </w:r>
      <w:bookmarkStart w:id="8" w:name="_GoBack"/>
      <w:bookmarkEnd w:id="8"/>
    </w:p>
    <w:p w14:paraId="2E10330B">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482" w:firstLineChars="2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b/>
          <w:bCs/>
          <w:color w:val="000000"/>
          <w:sz w:val="24"/>
          <w:szCs w:val="24"/>
          <w:lang w:val="en-US" w:eastAsia="zh-CN"/>
        </w:rPr>
        <w:t>组织</w:t>
      </w:r>
      <w:r>
        <w:rPr>
          <w:rFonts w:hint="eastAsia" w:ascii="Times New Roman" w:hAnsi="Times New Roman" w:cs="Times New Roman"/>
          <w:b/>
          <w:bCs/>
          <w:color w:val="000000"/>
          <w:sz w:val="24"/>
          <w:szCs w:val="24"/>
          <w:lang w:val="en-US" w:eastAsia="zh-CN"/>
        </w:rPr>
        <w:t>架构</w:t>
      </w:r>
      <w:r>
        <w:rPr>
          <w:rFonts w:hint="default" w:ascii="Times New Roman" w:hAnsi="Times New Roman" w:cs="Times New Roman"/>
          <w:b/>
          <w:bCs/>
          <w:color w:val="000000"/>
          <w:sz w:val="24"/>
          <w:szCs w:val="24"/>
          <w:lang w:val="en-US" w:eastAsia="zh-CN"/>
        </w:rPr>
        <w:t>设计。</w:t>
      </w:r>
      <w:r>
        <w:rPr>
          <w:rFonts w:hint="default" w:ascii="Times New Roman" w:hAnsi="Times New Roman" w:cs="Times New Roman"/>
          <w:color w:val="000000"/>
          <w:sz w:val="24"/>
          <w:szCs w:val="24"/>
          <w:lang w:val="en-US" w:eastAsia="zh-CN"/>
        </w:rPr>
        <w:t>编制</w:t>
      </w:r>
      <w:r>
        <w:rPr>
          <w:rFonts w:hint="eastAsia" w:ascii="Times New Roman" w:hAnsi="Times New Roman" w:cs="Times New Roman"/>
          <w:color w:val="000000"/>
          <w:sz w:val="24"/>
          <w:szCs w:val="24"/>
          <w:lang w:val="en-US" w:eastAsia="zh-CN"/>
        </w:rPr>
        <w:t>“</w:t>
      </w:r>
      <w:r>
        <w:rPr>
          <w:rFonts w:hint="default" w:ascii="Times New Roman" w:hAnsi="Times New Roman" w:cs="Times New Roman"/>
          <w:color w:val="000000"/>
          <w:sz w:val="24"/>
          <w:szCs w:val="24"/>
          <w:lang w:val="en-US" w:eastAsia="zh-CN"/>
        </w:rPr>
        <w:t>三定</w:t>
      </w:r>
      <w:r>
        <w:rPr>
          <w:rFonts w:hint="eastAsia" w:ascii="Times New Roman" w:hAnsi="Times New Roman" w:cs="Times New Roman"/>
          <w:color w:val="000000"/>
          <w:sz w:val="24"/>
          <w:szCs w:val="24"/>
          <w:lang w:val="en-US" w:eastAsia="zh-CN"/>
        </w:rPr>
        <w:t>”</w:t>
      </w:r>
      <w:r>
        <w:rPr>
          <w:rFonts w:hint="default" w:ascii="Times New Roman" w:hAnsi="Times New Roman" w:cs="Times New Roman"/>
          <w:color w:val="000000"/>
          <w:sz w:val="24"/>
          <w:szCs w:val="24"/>
          <w:lang w:val="en-US" w:eastAsia="zh-CN"/>
        </w:rPr>
        <w:t>方案，科学设置内设机构和岗位编制，规范参控股企业法人治理结构与管控机制。</w:t>
      </w:r>
    </w:p>
    <w:p w14:paraId="313A100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服务成果：《公司</w:t>
      </w:r>
      <w:r>
        <w:rPr>
          <w:rFonts w:hint="eastAsia" w:ascii="Times New Roman" w:hAnsi="Times New Roman" w:cs="Times New Roman"/>
          <w:color w:val="000000"/>
          <w:sz w:val="24"/>
          <w:szCs w:val="24"/>
          <w:lang w:val="en-US" w:eastAsia="zh-CN"/>
        </w:rPr>
        <w:t>“</w:t>
      </w:r>
      <w:r>
        <w:rPr>
          <w:rFonts w:hint="default" w:ascii="Times New Roman" w:hAnsi="Times New Roman" w:cs="Times New Roman"/>
          <w:color w:val="000000"/>
          <w:sz w:val="24"/>
          <w:szCs w:val="24"/>
          <w:lang w:val="en-US" w:eastAsia="zh-CN"/>
        </w:rPr>
        <w:t>三定</w:t>
      </w:r>
      <w:r>
        <w:rPr>
          <w:rFonts w:hint="eastAsia" w:ascii="Times New Roman" w:hAnsi="Times New Roman" w:cs="Times New Roman"/>
          <w:color w:val="000000"/>
          <w:sz w:val="24"/>
          <w:szCs w:val="24"/>
          <w:lang w:val="en-US" w:eastAsia="zh-CN"/>
        </w:rPr>
        <w:t>”</w:t>
      </w:r>
      <w:r>
        <w:rPr>
          <w:rFonts w:hint="default" w:ascii="Times New Roman" w:hAnsi="Times New Roman" w:cs="Times New Roman"/>
          <w:color w:val="000000"/>
          <w:sz w:val="24"/>
          <w:szCs w:val="24"/>
          <w:lang w:val="en-US" w:eastAsia="zh-CN"/>
        </w:rPr>
        <w:t>方案》《部门与子公司岗位说明书》《子公司法人治理体系》《子公司管控手册》（含权责清单与授权手册）。</w:t>
      </w:r>
    </w:p>
    <w:p w14:paraId="644CF37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预期成效：形成职责界面清晰、运行高效的组织体系，管理层级和审批环节明显压减。</w:t>
      </w:r>
    </w:p>
    <w:p w14:paraId="7B8ABC52">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482" w:firstLineChars="2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b/>
          <w:bCs/>
          <w:color w:val="000000"/>
          <w:sz w:val="24"/>
          <w:szCs w:val="24"/>
          <w:lang w:val="en-US" w:eastAsia="zh-CN"/>
        </w:rPr>
        <w:t>薪酬绩效</w:t>
      </w:r>
      <w:r>
        <w:rPr>
          <w:rFonts w:hint="eastAsia" w:ascii="Times New Roman" w:hAnsi="Times New Roman" w:cs="Times New Roman"/>
          <w:b/>
          <w:bCs/>
          <w:color w:val="000000"/>
          <w:sz w:val="24"/>
          <w:szCs w:val="24"/>
          <w:lang w:val="en-US" w:eastAsia="zh-CN"/>
        </w:rPr>
        <w:t>考核体系</w:t>
      </w:r>
      <w:r>
        <w:rPr>
          <w:rFonts w:hint="default" w:ascii="Times New Roman" w:hAnsi="Times New Roman" w:cs="Times New Roman"/>
          <w:b/>
          <w:bCs/>
          <w:color w:val="000000"/>
          <w:sz w:val="24"/>
          <w:szCs w:val="24"/>
          <w:lang w:val="en-US" w:eastAsia="zh-CN"/>
        </w:rPr>
        <w:t>。</w:t>
      </w:r>
      <w:r>
        <w:rPr>
          <w:rFonts w:hint="default" w:ascii="Times New Roman" w:hAnsi="Times New Roman" w:cs="Times New Roman"/>
          <w:color w:val="000000"/>
          <w:sz w:val="24"/>
          <w:szCs w:val="24"/>
          <w:lang w:val="en-US" w:eastAsia="zh-CN"/>
        </w:rPr>
        <w:t>对标上级薪酬参考标准，设计岗位绩效工资制，构建全员绩效考核体系，探索利润分享等增量激励，推行以项目为牵引的项目制预算管理与分配机制。</w:t>
      </w:r>
    </w:p>
    <w:p w14:paraId="3BAA7E5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服务成果：《薪酬绩效体系设计方案》（含薪酬管理办法、绩效考核管理办法、项目增量业绩激励实施细则）。</w:t>
      </w:r>
    </w:p>
    <w:p w14:paraId="28AD151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预期成效：形成</w:t>
      </w:r>
      <w:r>
        <w:rPr>
          <w:rFonts w:hint="eastAsia" w:ascii="Times New Roman" w:hAnsi="Times New Roman" w:cs="Times New Roman"/>
          <w:color w:val="000000"/>
          <w:sz w:val="24"/>
          <w:szCs w:val="24"/>
          <w:lang w:val="en-US" w:eastAsia="zh-CN"/>
        </w:rPr>
        <w:t>“</w:t>
      </w:r>
      <w:r>
        <w:rPr>
          <w:rFonts w:hint="default" w:ascii="Times New Roman" w:hAnsi="Times New Roman" w:cs="Times New Roman"/>
          <w:color w:val="000000"/>
          <w:sz w:val="24"/>
          <w:szCs w:val="24"/>
          <w:lang w:val="en-US" w:eastAsia="zh-CN"/>
        </w:rPr>
        <w:t>收入能增能减、员工能进能出、岗位能上能下</w:t>
      </w:r>
      <w:r>
        <w:rPr>
          <w:rFonts w:hint="eastAsia" w:ascii="Times New Roman" w:hAnsi="Times New Roman" w:cs="Times New Roman"/>
          <w:color w:val="000000"/>
          <w:sz w:val="24"/>
          <w:szCs w:val="24"/>
          <w:lang w:val="en-US" w:eastAsia="zh-CN"/>
        </w:rPr>
        <w:t>”</w:t>
      </w:r>
      <w:r>
        <w:rPr>
          <w:rFonts w:hint="default" w:ascii="Times New Roman" w:hAnsi="Times New Roman" w:cs="Times New Roman"/>
          <w:color w:val="000000"/>
          <w:sz w:val="24"/>
          <w:szCs w:val="24"/>
          <w:lang w:val="en-US" w:eastAsia="zh-CN"/>
        </w:rPr>
        <w:t>的市场化机制，实现</w:t>
      </w:r>
      <w:r>
        <w:rPr>
          <w:rFonts w:hint="eastAsia" w:ascii="Times New Roman" w:hAnsi="Times New Roman" w:cs="Times New Roman"/>
          <w:color w:val="000000"/>
          <w:sz w:val="24"/>
          <w:szCs w:val="24"/>
          <w:lang w:val="en-US" w:eastAsia="zh-CN"/>
        </w:rPr>
        <w:t>“</w:t>
      </w:r>
      <w:r>
        <w:rPr>
          <w:rFonts w:hint="default" w:ascii="Times New Roman" w:hAnsi="Times New Roman" w:cs="Times New Roman"/>
          <w:color w:val="000000"/>
          <w:sz w:val="24"/>
          <w:szCs w:val="24"/>
          <w:lang w:val="en-US" w:eastAsia="zh-CN"/>
        </w:rPr>
        <w:t>存量不动、增量调整</w:t>
      </w:r>
      <w:r>
        <w:rPr>
          <w:rFonts w:hint="eastAsia" w:ascii="Times New Roman" w:hAnsi="Times New Roman" w:cs="Times New Roman"/>
          <w:color w:val="000000"/>
          <w:sz w:val="24"/>
          <w:szCs w:val="24"/>
          <w:lang w:val="en-US" w:eastAsia="zh-CN"/>
        </w:rPr>
        <w:t>”</w:t>
      </w:r>
      <w:r>
        <w:rPr>
          <w:rFonts w:hint="default" w:ascii="Times New Roman" w:hAnsi="Times New Roman" w:cs="Times New Roman"/>
          <w:color w:val="000000"/>
          <w:sz w:val="24"/>
          <w:szCs w:val="24"/>
          <w:lang w:val="en-US" w:eastAsia="zh-CN"/>
        </w:rPr>
        <w:t>，多劳多得。</w:t>
      </w:r>
    </w:p>
    <w:p w14:paraId="4D6B90BE">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0" w:leftChars="0" w:firstLine="482" w:firstLineChars="2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b/>
          <w:bCs/>
          <w:color w:val="000000"/>
          <w:sz w:val="24"/>
          <w:szCs w:val="24"/>
          <w:lang w:val="en-US" w:eastAsia="zh-CN"/>
        </w:rPr>
        <w:t>合规管理。</w:t>
      </w:r>
      <w:r>
        <w:rPr>
          <w:rFonts w:hint="default" w:ascii="Times New Roman" w:hAnsi="Times New Roman" w:cs="Times New Roman"/>
          <w:color w:val="000000"/>
          <w:sz w:val="24"/>
          <w:szCs w:val="24"/>
          <w:lang w:val="en-US" w:eastAsia="zh-CN"/>
        </w:rPr>
        <w:t>搭建合规管理组织架构，聚焦招标采购、合同管理、劳动用工、安全环保、财务税务、资产管理等重点领域，将合规审查嵌入重大决策全流程。</w:t>
      </w:r>
    </w:p>
    <w:p w14:paraId="36DD59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服务成果：《合规管理组织架构与职责清单》《重点领域合规管理指引与合规风险清单》《公司管理制度汇编》。</w:t>
      </w:r>
    </w:p>
    <w:p w14:paraId="2BF6780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720" w:firstLineChars="300"/>
        <w:textAlignment w:val="auto"/>
        <w:rPr>
          <w:rFonts w:hint="default" w:ascii="Times New Roman" w:hAnsi="Times New Roman" w:cs="Times New Roman"/>
          <w:b/>
          <w:bCs/>
          <w:sz w:val="24"/>
          <w:szCs w:val="24"/>
          <w:lang w:val="en-US" w:eastAsia="zh-CN"/>
        </w:rPr>
      </w:pPr>
      <w:r>
        <w:rPr>
          <w:rFonts w:hint="default" w:ascii="Times New Roman" w:hAnsi="Times New Roman" w:cs="Times New Roman"/>
          <w:color w:val="000000"/>
          <w:sz w:val="24"/>
          <w:szCs w:val="24"/>
          <w:lang w:val="en-US" w:eastAsia="zh-CN"/>
        </w:rPr>
        <w:t>预期成效：形成</w:t>
      </w:r>
      <w:r>
        <w:rPr>
          <w:rFonts w:hint="eastAsia" w:ascii="Times New Roman" w:hAnsi="Times New Roman" w:cs="Times New Roman"/>
          <w:color w:val="000000"/>
          <w:sz w:val="24"/>
          <w:szCs w:val="24"/>
          <w:lang w:val="en-US" w:eastAsia="zh-CN"/>
        </w:rPr>
        <w:t>“</w:t>
      </w:r>
      <w:r>
        <w:rPr>
          <w:rFonts w:hint="default" w:ascii="Times New Roman" w:hAnsi="Times New Roman" w:cs="Times New Roman"/>
          <w:color w:val="000000"/>
          <w:sz w:val="24"/>
          <w:szCs w:val="24"/>
          <w:lang w:val="en-US" w:eastAsia="zh-CN"/>
        </w:rPr>
        <w:t>制度完备、责任明晰、流程嵌入、监督有效</w:t>
      </w:r>
      <w:r>
        <w:rPr>
          <w:rFonts w:hint="eastAsia" w:ascii="Times New Roman" w:hAnsi="Times New Roman" w:cs="Times New Roman"/>
          <w:color w:val="000000"/>
          <w:sz w:val="24"/>
          <w:szCs w:val="24"/>
          <w:lang w:val="en-US" w:eastAsia="zh-CN"/>
        </w:rPr>
        <w:t>”</w:t>
      </w:r>
      <w:r>
        <w:rPr>
          <w:rFonts w:hint="default" w:ascii="Times New Roman" w:hAnsi="Times New Roman" w:cs="Times New Roman"/>
          <w:color w:val="000000"/>
          <w:sz w:val="24"/>
          <w:szCs w:val="24"/>
          <w:lang w:val="en-US" w:eastAsia="zh-CN"/>
        </w:rPr>
        <w:t xml:space="preserve">的合规管理体系，实现重大决策合规审查全覆盖，守牢安全生产、合规经营、廉洁自律三条红线。 </w:t>
      </w:r>
    </w:p>
    <w:p w14:paraId="5552A87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2" w:firstLineChars="200"/>
        <w:textAlignment w:val="auto"/>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 xml:space="preserve"> 四、服务要求</w:t>
      </w:r>
    </w:p>
    <w:p w14:paraId="3209B9B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（一）《战略规划》文本应内容全面、数据真实、文字准确简练、表格简洁直观等。20</w:t>
      </w:r>
      <w:r>
        <w:rPr>
          <w:rFonts w:hint="default" w:ascii="Times New Roman" w:hAnsi="Times New Roman" w:cs="Times New Roman"/>
          <w:sz w:val="24"/>
          <w:szCs w:val="24"/>
          <w:highlight w:val="none"/>
          <w:lang w:val="en-US" w:eastAsia="zh-CN"/>
        </w:rPr>
        <w:t>26</w:t>
      </w:r>
      <w:r>
        <w:rPr>
          <w:rFonts w:hint="default" w:ascii="Times New Roman" w:hAnsi="Times New Roman" w:eastAsia="宋体" w:cs="Times New Roman"/>
          <w:sz w:val="24"/>
          <w:szCs w:val="24"/>
          <w:highlight w:val="none"/>
        </w:rPr>
        <w:t>年</w:t>
      </w:r>
      <w:r>
        <w:rPr>
          <w:rFonts w:hint="eastAsia" w:ascii="Times New Roman" w:hAnsi="Times New Roman" w:cs="Times New Roman"/>
          <w:sz w:val="24"/>
          <w:szCs w:val="24"/>
          <w:highlight w:val="none"/>
          <w:lang w:val="en-US" w:eastAsia="zh-CN"/>
        </w:rPr>
        <w:t>11</w:t>
      </w:r>
      <w:r>
        <w:rPr>
          <w:rFonts w:hint="default" w:ascii="Times New Roman" w:hAnsi="Times New Roman" w:eastAsia="宋体" w:cs="Times New Roman"/>
          <w:sz w:val="24"/>
          <w:szCs w:val="24"/>
          <w:highlight w:val="none"/>
        </w:rPr>
        <w:t>月</w:t>
      </w:r>
      <w:r>
        <w:rPr>
          <w:rFonts w:hint="eastAsia" w:ascii="Times New Roman" w:hAnsi="Times New Roman" w:cs="Times New Roman"/>
          <w:sz w:val="24"/>
          <w:szCs w:val="24"/>
          <w:highlight w:val="none"/>
          <w:lang w:val="en-US" w:eastAsia="zh-CN"/>
        </w:rPr>
        <w:t>底前</w:t>
      </w:r>
      <w:r>
        <w:rPr>
          <w:rFonts w:hint="default" w:ascii="Times New Roman" w:hAnsi="Times New Roman" w:eastAsia="宋体" w:cs="Times New Roman"/>
          <w:sz w:val="24"/>
          <w:szCs w:val="24"/>
          <w:highlight w:val="none"/>
        </w:rPr>
        <w:t>完成《规划纲要》初稿，20</w:t>
      </w:r>
      <w:r>
        <w:rPr>
          <w:rFonts w:hint="default" w:ascii="Times New Roman" w:hAnsi="Times New Roman" w:cs="Times New Roman"/>
          <w:sz w:val="24"/>
          <w:szCs w:val="24"/>
          <w:highlight w:val="none"/>
          <w:lang w:val="en-US" w:eastAsia="zh-CN"/>
        </w:rPr>
        <w:t>26</w:t>
      </w:r>
      <w:r>
        <w:rPr>
          <w:rFonts w:hint="default" w:ascii="Times New Roman" w:hAnsi="Times New Roman" w:eastAsia="宋体" w:cs="Times New Roman"/>
          <w:sz w:val="24"/>
          <w:szCs w:val="24"/>
          <w:highlight w:val="none"/>
        </w:rPr>
        <w:t>年12月</w:t>
      </w:r>
      <w:r>
        <w:rPr>
          <w:rFonts w:hint="eastAsia" w:ascii="Times New Roman" w:hAnsi="Times New Roman" w:cs="Times New Roman"/>
          <w:sz w:val="24"/>
          <w:szCs w:val="24"/>
          <w:highlight w:val="none"/>
          <w:lang w:val="en-US" w:eastAsia="zh-CN"/>
        </w:rPr>
        <w:t>20</w:t>
      </w:r>
      <w:r>
        <w:rPr>
          <w:rFonts w:hint="default" w:ascii="Times New Roman" w:hAnsi="Times New Roman" w:eastAsia="宋体" w:cs="Times New Roman"/>
          <w:sz w:val="24"/>
          <w:szCs w:val="24"/>
          <w:highlight w:val="none"/>
        </w:rPr>
        <w:t>日前完成修改并通过公司管理层、经开区管委会（含国资委）等评审，20</w:t>
      </w:r>
      <w:r>
        <w:rPr>
          <w:rFonts w:hint="default" w:ascii="Times New Roman" w:hAnsi="Times New Roman" w:cs="Times New Roman"/>
          <w:sz w:val="24"/>
          <w:szCs w:val="24"/>
          <w:highlight w:val="none"/>
          <w:lang w:val="en-US" w:eastAsia="zh-CN"/>
        </w:rPr>
        <w:t>26</w:t>
      </w:r>
      <w:r>
        <w:rPr>
          <w:rFonts w:hint="default" w:ascii="Times New Roman" w:hAnsi="Times New Roman" w:eastAsia="宋体" w:cs="Times New Roman"/>
          <w:sz w:val="24"/>
          <w:szCs w:val="24"/>
          <w:highlight w:val="none"/>
        </w:rPr>
        <w:t>年12月31日前完成《战略规划》正式文本定稿发布，汇编成册印制50本，提供电子文档</w:t>
      </w:r>
      <w:r>
        <w:rPr>
          <w:rFonts w:hint="eastAsia" w:ascii="Times New Roman" w:hAnsi="Times New Roman" w:cs="Times New Roman"/>
          <w:sz w:val="24"/>
          <w:szCs w:val="24"/>
          <w:highlight w:val="none"/>
          <w:lang w:val="en-US" w:eastAsia="zh-CN"/>
        </w:rPr>
        <w:t>1</w:t>
      </w:r>
      <w:r>
        <w:rPr>
          <w:rFonts w:hint="default" w:ascii="Times New Roman" w:hAnsi="Times New Roman" w:eastAsia="宋体" w:cs="Times New Roman"/>
          <w:sz w:val="24"/>
          <w:szCs w:val="24"/>
          <w:highlight w:val="none"/>
        </w:rPr>
        <w:t>份。编制完成后免费指导和服务期限为</w:t>
      </w:r>
      <w:r>
        <w:rPr>
          <w:rFonts w:hint="default" w:ascii="Times New Roman" w:hAnsi="Times New Roman" w:cs="Times New Roman"/>
          <w:sz w:val="24"/>
          <w:szCs w:val="24"/>
          <w:highlight w:val="none"/>
          <w:lang w:val="en-US" w:eastAsia="zh-CN"/>
        </w:rPr>
        <w:t>1</w:t>
      </w:r>
      <w:r>
        <w:rPr>
          <w:rFonts w:hint="default" w:ascii="Times New Roman" w:hAnsi="Times New Roman" w:eastAsia="宋体" w:cs="Times New Roman"/>
          <w:sz w:val="24"/>
          <w:szCs w:val="24"/>
          <w:highlight w:val="none"/>
        </w:rPr>
        <w:t>年。</w:t>
      </w:r>
    </w:p>
    <w:p w14:paraId="56BEF75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（二）项目团队应充分了解合肥市和合肥经开区经济社会发展现状，充分调研相关政府机构、高校、科研院所、企业等单位</w:t>
      </w:r>
      <w:r>
        <w:rPr>
          <w:rFonts w:hint="eastAsia" w:ascii="Times New Roman" w:hAnsi="Times New Roman" w:cs="Times New Roman"/>
          <w:sz w:val="24"/>
          <w:szCs w:val="24"/>
          <w:highlight w:val="none"/>
          <w:lang w:eastAsia="zh-CN"/>
        </w:rPr>
        <w:t>，在</w:t>
      </w:r>
      <w:r>
        <w:rPr>
          <w:rFonts w:hint="default" w:ascii="Times New Roman" w:hAnsi="Times New Roman" w:eastAsia="宋体" w:cs="Times New Roman"/>
          <w:sz w:val="24"/>
          <w:szCs w:val="24"/>
          <w:highlight w:val="none"/>
        </w:rPr>
        <w:t>充分听取项目委托单位意见及建议的基础上编制</w:t>
      </w:r>
      <w:r>
        <w:rPr>
          <w:rFonts w:hint="eastAsia" w:ascii="Times New Roman" w:hAnsi="Times New Roman" w:cs="Times New Roman"/>
          <w:sz w:val="24"/>
          <w:szCs w:val="24"/>
          <w:highlight w:val="none"/>
          <w:lang w:eastAsia="zh-CN"/>
        </w:rPr>
        <w:t>，</w:t>
      </w:r>
      <w:r>
        <w:rPr>
          <w:rFonts w:hint="default" w:ascii="Times New Roman" w:hAnsi="Times New Roman" w:eastAsia="宋体" w:cs="Times New Roman"/>
          <w:sz w:val="24"/>
          <w:szCs w:val="24"/>
          <w:highlight w:val="none"/>
        </w:rPr>
        <w:t>编制内容涵盖公司总体业务战略。</w:t>
      </w:r>
    </w:p>
    <w:p w14:paraId="62B33F1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（三）组建不少于5人的项目团队，其中1名项目负责人，项目负责人</w:t>
      </w:r>
      <w:r>
        <w:rPr>
          <w:rFonts w:hint="eastAsia" w:ascii="Times New Roman" w:hAnsi="Times New Roman" w:cs="Times New Roman"/>
          <w:sz w:val="24"/>
          <w:szCs w:val="24"/>
          <w:highlight w:val="none"/>
          <w:lang w:eastAsia="zh-CN"/>
        </w:rPr>
        <w:t>须具备</w:t>
      </w:r>
      <w:r>
        <w:rPr>
          <w:rFonts w:hint="default" w:ascii="Times New Roman" w:hAnsi="Times New Roman" w:eastAsia="宋体" w:cs="Times New Roman"/>
          <w:sz w:val="24"/>
          <w:szCs w:val="24"/>
          <w:highlight w:val="none"/>
        </w:rPr>
        <w:t>丰富的咨询工作经验。未经项目委托单位同意，不得更换项目负责人；正式文本定稿前，团队成员不得更换。</w:t>
      </w:r>
    </w:p>
    <w:p w14:paraId="2E07F65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（四）战略规划发布后，免费至少进行3次宣讲和培训，并辅导各有关部门拟订战略实施计划。</w:t>
      </w:r>
    </w:p>
    <w:p w14:paraId="6427908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（五）及时解答战略实施过程中所遇问题的答疑。</w:t>
      </w:r>
    </w:p>
    <w:p w14:paraId="66BA62C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（六）协助战略规划实施过程的跟踪和检查、年度战略实施情况评审，指导战略规划部滚动修订战略规划。</w:t>
      </w:r>
    </w:p>
    <w:p w14:paraId="4B0B4AB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sz w:val="24"/>
          <w:szCs w:val="24"/>
          <w:highlight w:val="none"/>
        </w:rPr>
        <w:t>（七）因规划编制调研获得的数据、相关部门提供的素材和规划文本的知识产权均归</w:t>
      </w:r>
      <w:r>
        <w:rPr>
          <w:rFonts w:hint="default" w:ascii="Times New Roman" w:hAnsi="Times New Roman" w:eastAsia="宋体" w:cs="Times New Roman"/>
          <w:sz w:val="24"/>
          <w:szCs w:val="24"/>
          <w:highlight w:val="none"/>
          <w:lang w:val="en-US" w:eastAsia="zh-CN"/>
        </w:rPr>
        <w:t>合肥经济技术开发区公用事业发展有限公司</w:t>
      </w:r>
      <w:r>
        <w:rPr>
          <w:rFonts w:hint="default" w:ascii="Times New Roman" w:hAnsi="Times New Roman" w:eastAsia="宋体" w:cs="Times New Roman"/>
          <w:sz w:val="24"/>
          <w:szCs w:val="24"/>
          <w:highlight w:val="none"/>
        </w:rPr>
        <w:t>所有，对规划编制过程中获得的各项信息有保守秘密的义务，未经</w:t>
      </w:r>
      <w:r>
        <w:rPr>
          <w:rFonts w:hint="default" w:ascii="Times New Roman" w:hAnsi="Times New Roman" w:eastAsia="宋体" w:cs="Times New Roman"/>
          <w:sz w:val="24"/>
          <w:szCs w:val="24"/>
          <w:highlight w:val="none"/>
          <w:lang w:val="en-US" w:eastAsia="zh-CN"/>
        </w:rPr>
        <w:t>合肥经济技术开发区公用事业发展有限公司</w:t>
      </w:r>
      <w:r>
        <w:rPr>
          <w:rFonts w:hint="default" w:ascii="Times New Roman" w:hAnsi="Times New Roman" w:eastAsia="宋体" w:cs="Times New Roman"/>
          <w:sz w:val="24"/>
          <w:szCs w:val="24"/>
          <w:highlight w:val="none"/>
        </w:rPr>
        <w:t>事先书面允许不得对外发布或使用，此保密义务长期有效。</w:t>
      </w:r>
    </w:p>
    <w:p w14:paraId="5FC0F21B">
      <w:pPr>
        <w:keepNext w:val="0"/>
        <w:keepLines w:val="0"/>
        <w:pageBreakBefore w:val="0"/>
        <w:widowControl w:val="0"/>
        <w:kinsoku/>
        <w:wordWrap/>
        <w:overflowPunct/>
        <w:topLinePunct w:val="0"/>
        <w:autoSpaceDE/>
        <w:autoSpaceDN/>
        <w:bidi w:val="0"/>
        <w:adjustRightInd/>
        <w:spacing w:line="400" w:lineRule="exact"/>
        <w:ind w:firstLine="437"/>
        <w:textAlignment w:val="auto"/>
        <w:rPr>
          <w:rFonts w:hint="default" w:ascii="Times New Roman" w:hAnsi="Times New Roman" w:eastAsia="宋体" w:cs="Times New Roman"/>
          <w:b/>
          <w:sz w:val="24"/>
          <w:szCs w:val="24"/>
        </w:rPr>
      </w:pPr>
    </w:p>
    <w:p w14:paraId="0C3C08F4">
      <w:pPr>
        <w:keepNext w:val="0"/>
        <w:keepLines w:val="0"/>
        <w:pageBreakBefore w:val="0"/>
        <w:widowControl w:val="0"/>
        <w:kinsoku/>
        <w:wordWrap/>
        <w:overflowPunct/>
        <w:topLinePunct w:val="0"/>
        <w:autoSpaceDE/>
        <w:autoSpaceDN/>
        <w:bidi w:val="0"/>
        <w:adjustRightInd/>
        <w:spacing w:line="400" w:lineRule="exact"/>
        <w:ind w:firstLine="437"/>
        <w:textAlignment w:val="auto"/>
        <w:rPr>
          <w:rFonts w:hint="default" w:ascii="Times New Roman" w:hAnsi="Times New Roman" w:eastAsia="宋体" w:cs="Times New Roman"/>
          <w:b/>
          <w:sz w:val="24"/>
          <w:szCs w:val="24"/>
        </w:rPr>
      </w:pPr>
      <w:r>
        <w:rPr>
          <w:rFonts w:hint="default" w:ascii="Times New Roman" w:hAnsi="Times New Roman" w:cs="Times New Roman"/>
          <w:b/>
          <w:sz w:val="24"/>
          <w:szCs w:val="24"/>
          <w:lang w:val="en-US" w:eastAsia="zh-CN"/>
        </w:rPr>
        <w:t>五</w:t>
      </w:r>
      <w:r>
        <w:rPr>
          <w:rFonts w:hint="default" w:ascii="Times New Roman" w:hAnsi="Times New Roman" w:eastAsia="宋体" w:cs="Times New Roman"/>
          <w:b/>
          <w:sz w:val="24"/>
          <w:szCs w:val="24"/>
        </w:rPr>
        <w:t>、报价要求</w:t>
      </w:r>
    </w:p>
    <w:p w14:paraId="03922E0A">
      <w:pPr>
        <w:keepNext w:val="0"/>
        <w:keepLines w:val="0"/>
        <w:pageBreakBefore w:val="0"/>
        <w:widowControl w:val="0"/>
        <w:kinsoku/>
        <w:wordWrap/>
        <w:overflowPunct/>
        <w:topLinePunct w:val="0"/>
        <w:autoSpaceDE/>
        <w:autoSpaceDN/>
        <w:bidi w:val="0"/>
        <w:adjustRightInd/>
        <w:spacing w:line="400" w:lineRule="exact"/>
        <w:ind w:firstLine="437"/>
        <w:textAlignment w:val="auto"/>
        <w:rPr>
          <w:rFonts w:hint="default" w:ascii="Times New Roman" w:hAnsi="Times New Roman" w:cs="Times New Roman"/>
          <w:sz w:val="24"/>
          <w:szCs w:val="24"/>
          <w:lang w:val="en-US" w:eastAsia="zh-CN"/>
        </w:rPr>
      </w:pPr>
      <w:r>
        <w:rPr>
          <w:rFonts w:hint="default" w:ascii="Times New Roman" w:hAnsi="Times New Roman" w:eastAsia="宋体" w:cs="Times New Roman"/>
          <w:sz w:val="24"/>
          <w:szCs w:val="24"/>
        </w:rPr>
        <w:t>本项目报价不超过</w:t>
      </w:r>
      <w:r>
        <w:rPr>
          <w:rFonts w:hint="eastAsia" w:ascii="Times New Roman" w:hAnsi="Times New Roman" w:cs="Times New Roman"/>
          <w:sz w:val="24"/>
          <w:szCs w:val="24"/>
          <w:highlight w:val="none"/>
          <w:lang w:val="en-US" w:eastAsia="zh-CN"/>
        </w:rPr>
        <w:t>45</w:t>
      </w:r>
      <w:r>
        <w:rPr>
          <w:rFonts w:hint="default" w:ascii="Times New Roman" w:hAnsi="Times New Roman" w:eastAsia="宋体" w:cs="Times New Roman"/>
          <w:sz w:val="24"/>
          <w:szCs w:val="24"/>
          <w:highlight w:val="none"/>
        </w:rPr>
        <w:t>万元</w:t>
      </w:r>
      <w:r>
        <w:rPr>
          <w:rFonts w:hint="default" w:ascii="Times New Roman" w:hAnsi="Times New Roman" w:eastAsia="宋体" w:cs="Times New Roman"/>
          <w:sz w:val="24"/>
          <w:szCs w:val="24"/>
        </w:rPr>
        <w:t>，为完成本项目的全部费用，包含并不限于完成本项目的走访调研、信息采集、交通差旅以及资料、标准、信息收集，方案调研、组织专家评审费用、编制、修改、汇报、食宿、对成果的修改、税金及实施过程中不可预见费等一切涉及到本项目的费用，中标后不再增加费用。</w:t>
      </w:r>
    </w:p>
    <w:p w14:paraId="6E88B9ED">
      <w:pPr>
        <w:keepNext w:val="0"/>
        <w:keepLines w:val="0"/>
        <w:pageBreakBefore w:val="0"/>
        <w:widowControl w:val="0"/>
        <w:kinsoku/>
        <w:wordWrap/>
        <w:overflowPunct/>
        <w:topLinePunct w:val="0"/>
        <w:autoSpaceDE/>
        <w:autoSpaceDN/>
        <w:bidi w:val="0"/>
        <w:adjustRightInd/>
        <w:spacing w:line="400" w:lineRule="exact"/>
        <w:ind w:firstLine="482" w:firstLineChars="200"/>
        <w:textAlignment w:val="auto"/>
        <w:rPr>
          <w:rFonts w:hint="default" w:ascii="Times New Roman" w:hAnsi="Times New Roman" w:eastAsia="宋体" w:cs="Times New Roman"/>
          <w:b/>
          <w:bCs/>
          <w:sz w:val="24"/>
          <w:szCs w:val="24"/>
          <w:highlight w:val="none"/>
          <w:lang w:val="en-US" w:eastAsia="zh-CN"/>
        </w:rPr>
      </w:pPr>
    </w:p>
    <w:p w14:paraId="4D87407B">
      <w:pPr>
        <w:keepNext w:val="0"/>
        <w:keepLines w:val="0"/>
        <w:pageBreakBefore w:val="0"/>
        <w:widowControl w:val="0"/>
        <w:kinsoku/>
        <w:wordWrap/>
        <w:overflowPunct/>
        <w:topLinePunct w:val="0"/>
        <w:autoSpaceDE/>
        <w:autoSpaceDN/>
        <w:bidi w:val="0"/>
        <w:adjustRightInd/>
        <w:spacing w:line="400" w:lineRule="exact"/>
        <w:ind w:firstLine="482" w:firstLineChars="200"/>
        <w:textAlignment w:val="auto"/>
        <w:rPr>
          <w:rFonts w:hint="default"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六、评分方法</w:t>
      </w:r>
    </w:p>
    <w:p w14:paraId="3F0A429D">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本项目综合评分满分为100分，其中：技术资信分值占总分值的权重为</w:t>
      </w:r>
      <w:r>
        <w:rPr>
          <w:rFonts w:hint="default" w:ascii="Times New Roman" w:hAnsi="Times New Roman" w:cs="Times New Roman"/>
          <w:sz w:val="24"/>
          <w:szCs w:val="24"/>
          <w:highlight w:val="none"/>
          <w:lang w:val="en-US" w:eastAsia="zh-CN"/>
        </w:rPr>
        <w:t>90</w:t>
      </w:r>
      <w:r>
        <w:rPr>
          <w:rFonts w:hint="default" w:ascii="Times New Roman" w:hAnsi="Times New Roman" w:eastAsia="宋体" w:cs="Times New Roman"/>
          <w:sz w:val="24"/>
          <w:szCs w:val="24"/>
          <w:highlight w:val="none"/>
          <w:lang w:val="en-US" w:eastAsia="zh-CN"/>
        </w:rPr>
        <w:t>%，价格分值占总分值的权重为</w:t>
      </w:r>
      <w:r>
        <w:rPr>
          <w:rFonts w:hint="default" w:ascii="Times New Roman" w:hAnsi="Times New Roman" w:cs="Times New Roman"/>
          <w:sz w:val="24"/>
          <w:szCs w:val="24"/>
          <w:highlight w:val="none"/>
          <w:lang w:val="en-US" w:eastAsia="zh-CN"/>
        </w:rPr>
        <w:t>10</w:t>
      </w:r>
      <w:r>
        <w:rPr>
          <w:rFonts w:hint="default" w:ascii="Times New Roman" w:hAnsi="Times New Roman" w:eastAsia="宋体" w:cs="Times New Roman"/>
          <w:sz w:val="24"/>
          <w:szCs w:val="24"/>
          <w:highlight w:val="none"/>
          <w:lang w:val="en-US" w:eastAsia="zh-CN"/>
        </w:rPr>
        <w:t>%。具体评分细则如下：</w:t>
      </w:r>
    </w:p>
    <w:p w14:paraId="0ACAF032">
      <w:pPr>
        <w:pStyle w:val="9"/>
        <w:rPr>
          <w:rFonts w:hint="default" w:ascii="Times New Roman" w:hAnsi="Times New Roman" w:eastAsia="宋体" w:cs="Times New Roman"/>
          <w:sz w:val="24"/>
          <w:szCs w:val="24"/>
          <w:highlight w:val="none"/>
          <w:lang w:val="en-US" w:eastAsia="zh-CN"/>
        </w:rPr>
      </w:pPr>
    </w:p>
    <w:p w14:paraId="21FD2C80">
      <w:pPr>
        <w:pStyle w:val="10"/>
        <w:jc w:val="center"/>
        <w:rPr>
          <w:rFonts w:hint="default" w:ascii="Times New Roman" w:hAnsi="Times New Roman" w:eastAsia="宋体" w:cs="Times New Roman"/>
          <w:b/>
          <w:bCs/>
          <w:sz w:val="36"/>
          <w:szCs w:val="36"/>
          <w:highlight w:val="none"/>
          <w:lang w:val="en-US" w:eastAsia="zh-CN"/>
        </w:rPr>
      </w:pPr>
    </w:p>
    <w:p w14:paraId="39E3D858">
      <w:pPr>
        <w:pStyle w:val="10"/>
        <w:jc w:val="center"/>
        <w:rPr>
          <w:rFonts w:hint="default" w:ascii="Times New Roman" w:hAnsi="Times New Roman" w:eastAsia="宋体" w:cs="Times New Roman"/>
          <w:b/>
          <w:bCs/>
          <w:sz w:val="36"/>
          <w:szCs w:val="36"/>
          <w:highlight w:val="none"/>
          <w:lang w:val="en-US" w:eastAsia="zh-CN"/>
        </w:rPr>
      </w:pPr>
    </w:p>
    <w:p w14:paraId="52874081">
      <w:pPr>
        <w:pStyle w:val="10"/>
        <w:jc w:val="center"/>
        <w:rPr>
          <w:rFonts w:hint="default" w:ascii="Times New Roman" w:hAnsi="Times New Roman" w:cs="Times New Roman"/>
          <w:b/>
          <w:bCs/>
          <w:sz w:val="36"/>
          <w:szCs w:val="36"/>
          <w:lang w:val="en-US" w:eastAsia="zh-CN"/>
        </w:rPr>
      </w:pPr>
      <w:r>
        <w:rPr>
          <w:rFonts w:hint="default" w:ascii="Times New Roman" w:hAnsi="Times New Roman" w:eastAsia="宋体" w:cs="Times New Roman"/>
          <w:b/>
          <w:bCs/>
          <w:sz w:val="36"/>
          <w:szCs w:val="36"/>
          <w:highlight w:val="none"/>
          <w:lang w:val="en-US" w:eastAsia="zh-CN"/>
        </w:rPr>
        <w:t>综合评分表</w:t>
      </w:r>
    </w:p>
    <w:tbl>
      <w:tblPr>
        <w:tblStyle w:val="21"/>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804"/>
        <w:gridCol w:w="1260"/>
        <w:gridCol w:w="5144"/>
      </w:tblGrid>
      <w:tr w14:paraId="6C0D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37" w:type="dxa"/>
            <w:noWrap w:val="0"/>
            <w:vAlign w:val="center"/>
          </w:tcPr>
          <w:p w14:paraId="2033117B">
            <w:pPr>
              <w:jc w:val="center"/>
              <w:rPr>
                <w:rFonts w:hint="default" w:ascii="Times New Roman" w:hAnsi="Times New Roman" w:eastAsia="宋体"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指标</w:t>
            </w:r>
          </w:p>
        </w:tc>
        <w:tc>
          <w:tcPr>
            <w:tcW w:w="1804" w:type="dxa"/>
            <w:noWrap w:val="0"/>
            <w:vAlign w:val="center"/>
          </w:tcPr>
          <w:p w14:paraId="50DEE107">
            <w:pPr>
              <w:jc w:val="center"/>
              <w:rPr>
                <w:rFonts w:hint="default" w:ascii="Times New Roman" w:hAnsi="Times New Roman" w:eastAsia="宋体"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评分内容</w:t>
            </w:r>
          </w:p>
        </w:tc>
        <w:tc>
          <w:tcPr>
            <w:tcW w:w="1260" w:type="dxa"/>
            <w:noWrap w:val="0"/>
            <w:vAlign w:val="center"/>
          </w:tcPr>
          <w:p w14:paraId="08822270">
            <w:pPr>
              <w:jc w:val="center"/>
              <w:rPr>
                <w:rFonts w:hint="default" w:ascii="Times New Roman" w:hAnsi="Times New Roman" w:eastAsia="宋体"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分值范围</w:t>
            </w:r>
          </w:p>
        </w:tc>
        <w:tc>
          <w:tcPr>
            <w:tcW w:w="5144" w:type="dxa"/>
            <w:noWrap w:val="0"/>
            <w:vAlign w:val="center"/>
          </w:tcPr>
          <w:p w14:paraId="2CF3F536">
            <w:pPr>
              <w:jc w:val="center"/>
              <w:rPr>
                <w:rFonts w:hint="default" w:ascii="Times New Roman" w:hAnsi="Times New Roman" w:eastAsia="宋体"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评审标准</w:t>
            </w:r>
          </w:p>
        </w:tc>
      </w:tr>
      <w:tr w14:paraId="27A2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6" w:hRule="atLeast"/>
        </w:trPr>
        <w:tc>
          <w:tcPr>
            <w:tcW w:w="1037" w:type="dxa"/>
            <w:vMerge w:val="restart"/>
            <w:noWrap w:val="0"/>
            <w:vAlign w:val="center"/>
          </w:tcPr>
          <w:p w14:paraId="1CD591B6">
            <w:pPr>
              <w:tabs>
                <w:tab w:val="left" w:pos="593"/>
              </w:tabs>
              <w:jc w:val="cente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技</w:t>
            </w:r>
          </w:p>
          <w:p w14:paraId="330A98B5">
            <w:pPr>
              <w:tabs>
                <w:tab w:val="left" w:pos="593"/>
              </w:tabs>
              <w:jc w:val="cente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术</w:t>
            </w:r>
          </w:p>
          <w:p w14:paraId="3B2D2E23">
            <w:pPr>
              <w:tabs>
                <w:tab w:val="left" w:pos="593"/>
              </w:tabs>
              <w:jc w:val="cente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标</w:t>
            </w:r>
          </w:p>
          <w:p w14:paraId="57846A06">
            <w:pPr>
              <w:tabs>
                <w:tab w:val="left" w:pos="593"/>
              </w:tabs>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准</w:t>
            </w:r>
          </w:p>
        </w:tc>
        <w:tc>
          <w:tcPr>
            <w:tcW w:w="1804" w:type="dxa"/>
            <w:noWrap w:val="0"/>
            <w:vAlign w:val="center"/>
          </w:tcPr>
          <w:p w14:paraId="6186460A">
            <w:pPr>
              <w:pStyle w:val="34"/>
              <w:widowControl/>
              <w:kinsoku w:val="0"/>
              <w:autoSpaceDE w:val="0"/>
              <w:autoSpaceDN w:val="0"/>
              <w:adjustRightInd w:val="0"/>
              <w:snapToGrid w:val="0"/>
              <w:spacing w:before="78" w:line="340" w:lineRule="auto"/>
              <w:ind w:left="373" w:right="123" w:hanging="238"/>
              <w:jc w:val="center"/>
              <w:textAlignment w:val="baseline"/>
              <w:rPr>
                <w:rFonts w:hint="default" w:ascii="Times New Roman" w:hAnsi="Times New Roman" w:eastAsia="宋体" w:cs="Times New Roman"/>
                <w:kern w:val="2"/>
                <w:sz w:val="24"/>
                <w:szCs w:val="24"/>
                <w:vertAlign w:val="baseline"/>
                <w:lang w:val="en-US" w:eastAsia="zh-CN" w:bidi="ar-SA"/>
              </w:rPr>
            </w:pPr>
            <w:r>
              <w:rPr>
                <w:rFonts w:hint="default" w:ascii="Times New Roman" w:hAnsi="Times New Roman" w:cs="Times New Roman"/>
                <w:snapToGrid w:val="0"/>
                <w:color w:val="000000"/>
                <w:spacing w:val="-3"/>
                <w:kern w:val="0"/>
                <w:sz w:val="24"/>
                <w:szCs w:val="24"/>
                <w:lang w:val="en-US" w:eastAsia="zh-CN"/>
              </w:rPr>
              <w:t>企</w:t>
            </w:r>
            <w:r>
              <w:rPr>
                <w:rFonts w:hint="default" w:ascii="Times New Roman" w:hAnsi="Times New Roman" w:eastAsia="宋体" w:cs="Times New Roman"/>
                <w:kern w:val="2"/>
                <w:sz w:val="24"/>
                <w:szCs w:val="24"/>
                <w:vertAlign w:val="baseline"/>
                <w:lang w:val="en-US" w:eastAsia="zh-CN" w:bidi="ar-SA"/>
              </w:rPr>
              <w:t>业市场</w:t>
            </w:r>
          </w:p>
          <w:p w14:paraId="734B1591">
            <w:pPr>
              <w:pStyle w:val="34"/>
              <w:widowControl/>
              <w:kinsoku w:val="0"/>
              <w:autoSpaceDE w:val="0"/>
              <w:autoSpaceDN w:val="0"/>
              <w:adjustRightInd w:val="0"/>
              <w:snapToGrid w:val="0"/>
              <w:spacing w:before="78" w:line="340" w:lineRule="auto"/>
              <w:ind w:left="373" w:right="123" w:hanging="238"/>
              <w:jc w:val="center"/>
              <w:textAlignment w:val="baseline"/>
              <w:rPr>
                <w:rFonts w:hint="default" w:ascii="Times New Roman" w:hAnsi="Times New Roman" w:cs="Times New Roman"/>
                <w:sz w:val="24"/>
                <w:szCs w:val="24"/>
                <w:vertAlign w:val="baseline"/>
                <w:lang w:val="en-US"/>
              </w:rPr>
            </w:pPr>
            <w:r>
              <w:rPr>
                <w:rFonts w:hint="default" w:ascii="Times New Roman" w:hAnsi="Times New Roman" w:eastAsia="宋体" w:cs="Times New Roman"/>
                <w:kern w:val="2"/>
                <w:sz w:val="24"/>
                <w:szCs w:val="24"/>
                <w:vertAlign w:val="baseline"/>
                <w:lang w:val="en-US" w:eastAsia="zh-CN" w:bidi="ar-SA"/>
              </w:rPr>
              <w:t>服务情况</w:t>
            </w:r>
          </w:p>
        </w:tc>
        <w:tc>
          <w:tcPr>
            <w:tcW w:w="1260" w:type="dxa"/>
            <w:noWrap w:val="0"/>
            <w:vAlign w:val="center"/>
          </w:tcPr>
          <w:p w14:paraId="7A4BC72C">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0-10分</w:t>
            </w:r>
          </w:p>
        </w:tc>
        <w:tc>
          <w:tcPr>
            <w:tcW w:w="5144" w:type="dxa"/>
            <w:noWrap w:val="0"/>
            <w:vAlign w:val="center"/>
          </w:tcPr>
          <w:p w14:paraId="5786F8D2">
            <w:pPr>
              <w:jc w:val="left"/>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评标委员会根据投标人市场服务情况及行业认可度等进行综合评分，可根据投标人在全国范围内承接的战略规划或绩效薪酬的匹配情况、业主评价情况进行综合打分：</w:t>
            </w:r>
          </w:p>
          <w:p w14:paraId="31716579">
            <w:pPr>
              <w:jc w:val="left"/>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优秀的，10分≥F≥8分；</w:t>
            </w:r>
          </w:p>
          <w:p w14:paraId="02409283">
            <w:pPr>
              <w:jc w:val="left"/>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良好的，7分≥F≥5分；</w:t>
            </w:r>
          </w:p>
          <w:p w14:paraId="093286B4">
            <w:pPr>
              <w:jc w:val="left"/>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一般的，4分≥F≥1分；</w:t>
            </w:r>
          </w:p>
          <w:p w14:paraId="52DDAA50">
            <w:pPr>
              <w:jc w:val="left"/>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未提供或不符合要求的得0分。</w:t>
            </w:r>
          </w:p>
        </w:tc>
      </w:tr>
      <w:tr w14:paraId="0C81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8" w:hRule="atLeast"/>
        </w:trPr>
        <w:tc>
          <w:tcPr>
            <w:tcW w:w="1037" w:type="dxa"/>
            <w:vMerge w:val="continue"/>
            <w:noWrap w:val="0"/>
            <w:vAlign w:val="center"/>
          </w:tcPr>
          <w:p w14:paraId="0D7E6990">
            <w:pPr>
              <w:jc w:val="center"/>
              <w:rPr>
                <w:rFonts w:hint="default" w:ascii="Times New Roman" w:hAnsi="Times New Roman" w:cs="Times New Roman"/>
                <w:sz w:val="24"/>
                <w:szCs w:val="24"/>
                <w:vertAlign w:val="baseline"/>
              </w:rPr>
            </w:pPr>
          </w:p>
        </w:tc>
        <w:tc>
          <w:tcPr>
            <w:tcW w:w="1804" w:type="dxa"/>
            <w:noWrap w:val="0"/>
            <w:vAlign w:val="center"/>
          </w:tcPr>
          <w:p w14:paraId="46E6A54D">
            <w:pPr>
              <w:jc w:val="center"/>
              <w:rPr>
                <w:rFonts w:hint="default" w:ascii="Times New Roman" w:hAnsi="Times New Roman" w:cs="Times New Roman"/>
                <w:sz w:val="24"/>
                <w:szCs w:val="24"/>
                <w:vertAlign w:val="baseline"/>
              </w:rPr>
            </w:pPr>
            <w:r>
              <w:rPr>
                <w:rFonts w:hint="default" w:ascii="Times New Roman" w:hAnsi="Times New Roman" w:cs="Times New Roman"/>
                <w:spacing w:val="-4"/>
                <w:sz w:val="24"/>
                <w:szCs w:val="24"/>
              </w:rPr>
              <w:t>总体响应</w:t>
            </w:r>
          </w:p>
        </w:tc>
        <w:tc>
          <w:tcPr>
            <w:tcW w:w="1260" w:type="dxa"/>
            <w:noWrap w:val="0"/>
            <w:vAlign w:val="center"/>
          </w:tcPr>
          <w:p w14:paraId="5871DB36">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0-10分</w:t>
            </w:r>
          </w:p>
        </w:tc>
        <w:tc>
          <w:tcPr>
            <w:tcW w:w="5144" w:type="dxa"/>
            <w:noWrap w:val="0"/>
            <w:vAlign w:val="center"/>
          </w:tcPr>
          <w:p w14:paraId="332FF512">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投标人针对本招标项目服务内容的工作范围与深度研究内容，阐述主要研究内容，包含本采购项目的研究大纲，同时提出具体研究思路，能够充分满足采购人需求。评标委员会进行综合打分：</w:t>
            </w:r>
          </w:p>
          <w:p w14:paraId="23144A3C">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优秀的，10分≥F≥8分；</w:t>
            </w:r>
          </w:p>
          <w:p w14:paraId="390BD754">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良好的，7分≥F≥5分；</w:t>
            </w:r>
          </w:p>
          <w:p w14:paraId="7CC1192B">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一般的，4分≥F≥1分；</w:t>
            </w:r>
          </w:p>
          <w:p w14:paraId="5AC02922">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未提供或不符合要求的得0分。</w:t>
            </w:r>
          </w:p>
        </w:tc>
      </w:tr>
      <w:tr w14:paraId="567D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8" w:hRule="atLeast"/>
        </w:trPr>
        <w:tc>
          <w:tcPr>
            <w:tcW w:w="1037" w:type="dxa"/>
            <w:vMerge w:val="continue"/>
            <w:noWrap w:val="0"/>
            <w:vAlign w:val="center"/>
          </w:tcPr>
          <w:p w14:paraId="1478B437">
            <w:pPr>
              <w:jc w:val="center"/>
              <w:rPr>
                <w:rFonts w:hint="default" w:ascii="Times New Roman" w:hAnsi="Times New Roman" w:cs="Times New Roman"/>
                <w:sz w:val="24"/>
                <w:szCs w:val="24"/>
                <w:vertAlign w:val="baseline"/>
              </w:rPr>
            </w:pPr>
          </w:p>
        </w:tc>
        <w:tc>
          <w:tcPr>
            <w:tcW w:w="1804" w:type="dxa"/>
            <w:noWrap w:val="0"/>
            <w:vAlign w:val="center"/>
          </w:tcPr>
          <w:p w14:paraId="75809C84">
            <w:pPr>
              <w:jc w:val="center"/>
              <w:rPr>
                <w:rFonts w:hint="default" w:ascii="Times New Roman" w:hAnsi="Times New Roman" w:cs="Times New Roman"/>
                <w:sz w:val="24"/>
                <w:szCs w:val="24"/>
                <w:vertAlign w:val="baseline"/>
              </w:rPr>
            </w:pPr>
            <w:r>
              <w:rPr>
                <w:rFonts w:hint="default" w:ascii="Times New Roman" w:hAnsi="Times New Roman" w:cs="Times New Roman"/>
                <w:spacing w:val="-3"/>
                <w:sz w:val="24"/>
                <w:szCs w:val="24"/>
              </w:rPr>
              <w:t>方案设计</w:t>
            </w:r>
          </w:p>
        </w:tc>
        <w:tc>
          <w:tcPr>
            <w:tcW w:w="1260" w:type="dxa"/>
            <w:noWrap w:val="0"/>
            <w:vAlign w:val="center"/>
          </w:tcPr>
          <w:p w14:paraId="798FE75E">
            <w:pPr>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0-10分</w:t>
            </w:r>
          </w:p>
        </w:tc>
        <w:tc>
          <w:tcPr>
            <w:tcW w:w="5144" w:type="dxa"/>
            <w:noWrap w:val="0"/>
            <w:vAlign w:val="center"/>
          </w:tcPr>
          <w:p w14:paraId="6D265995">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根据投标人的方案设计（包括但不限于进度计划、目标设定、举措等）情况来进行打分：科学、合理、细致、全面，针对性强，容易实施的，10分≥F≥8分；</w:t>
            </w:r>
          </w:p>
          <w:p w14:paraId="50F9ACD4">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较为合理、全面，针对性较强，较易实施，个别细节需要完善的，7分≥F≥5分；</w:t>
            </w:r>
          </w:p>
          <w:p w14:paraId="1D17A1FD">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不够全面，针对性不强，较难实施，较多方面需要进一步完善的，4分≥F≥1分；</w:t>
            </w:r>
          </w:p>
          <w:p w14:paraId="1E8EE4DA">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未提供或不符合要求的得0分。</w:t>
            </w:r>
          </w:p>
        </w:tc>
      </w:tr>
      <w:tr w14:paraId="5F13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trPr>
        <w:tc>
          <w:tcPr>
            <w:tcW w:w="1037" w:type="dxa"/>
            <w:vMerge w:val="continue"/>
            <w:noWrap w:val="0"/>
            <w:vAlign w:val="center"/>
          </w:tcPr>
          <w:p w14:paraId="3A419704">
            <w:pPr>
              <w:jc w:val="center"/>
              <w:rPr>
                <w:rFonts w:hint="default" w:ascii="Times New Roman" w:hAnsi="Times New Roman" w:cs="Times New Roman"/>
                <w:sz w:val="24"/>
                <w:szCs w:val="24"/>
                <w:vertAlign w:val="baseline"/>
              </w:rPr>
            </w:pPr>
          </w:p>
        </w:tc>
        <w:tc>
          <w:tcPr>
            <w:tcW w:w="1804" w:type="dxa"/>
            <w:noWrap w:val="0"/>
            <w:vAlign w:val="center"/>
          </w:tcPr>
          <w:p w14:paraId="611CC395">
            <w:pPr>
              <w:jc w:val="center"/>
              <w:rPr>
                <w:rFonts w:hint="default" w:ascii="Times New Roman" w:hAnsi="Times New Roman" w:cs="Times New Roman"/>
                <w:sz w:val="24"/>
                <w:szCs w:val="24"/>
                <w:vertAlign w:val="baseline"/>
              </w:rPr>
            </w:pPr>
            <w:r>
              <w:rPr>
                <w:rFonts w:hint="default" w:ascii="Times New Roman" w:hAnsi="Times New Roman" w:cs="Times New Roman"/>
                <w:spacing w:val="-3"/>
                <w:sz w:val="24"/>
                <w:szCs w:val="24"/>
              </w:rPr>
              <w:t>质量保证</w:t>
            </w:r>
          </w:p>
        </w:tc>
        <w:tc>
          <w:tcPr>
            <w:tcW w:w="1260" w:type="dxa"/>
            <w:noWrap w:val="0"/>
            <w:vAlign w:val="center"/>
          </w:tcPr>
          <w:p w14:paraId="6F139F37">
            <w:pPr>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0-10分</w:t>
            </w:r>
          </w:p>
        </w:tc>
        <w:tc>
          <w:tcPr>
            <w:tcW w:w="5144" w:type="dxa"/>
            <w:noWrap w:val="0"/>
            <w:vAlign w:val="center"/>
          </w:tcPr>
          <w:p w14:paraId="79D5B95C">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质量保证0-10分根据投标人的质量保证方案进行打分：</w:t>
            </w:r>
          </w:p>
          <w:p w14:paraId="5CBD46B5">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质量保证措施科学、全面、合理、可操作性强，符合本招标项目要求的，10分≥F≥8分；</w:t>
            </w:r>
          </w:p>
          <w:p w14:paraId="325B8A3C">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质量保证措施较全面、合理、具备一定可操作性，基本符合本招标项目要求的，7分≥F≥4分；</w:t>
            </w:r>
          </w:p>
          <w:p w14:paraId="605100E8">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不够全面、可操作性较弱的，3分≥F≥1分；未提供或不符合要求的不得分。</w:t>
            </w:r>
          </w:p>
        </w:tc>
      </w:tr>
      <w:tr w14:paraId="7356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037" w:type="dxa"/>
            <w:vMerge w:val="continue"/>
            <w:noWrap w:val="0"/>
            <w:vAlign w:val="center"/>
          </w:tcPr>
          <w:p w14:paraId="19D71CC6">
            <w:pPr>
              <w:jc w:val="center"/>
              <w:rPr>
                <w:rFonts w:hint="default" w:ascii="Times New Roman" w:hAnsi="Times New Roman" w:cs="Times New Roman"/>
                <w:sz w:val="24"/>
                <w:szCs w:val="24"/>
                <w:vertAlign w:val="baseline"/>
              </w:rPr>
            </w:pPr>
          </w:p>
        </w:tc>
        <w:tc>
          <w:tcPr>
            <w:tcW w:w="1804" w:type="dxa"/>
            <w:noWrap w:val="0"/>
            <w:vAlign w:val="center"/>
          </w:tcPr>
          <w:p w14:paraId="339D1036">
            <w:pPr>
              <w:jc w:val="center"/>
              <w:rPr>
                <w:rFonts w:hint="default" w:ascii="Times New Roman" w:hAnsi="Times New Roman" w:cs="Times New Roman"/>
                <w:sz w:val="24"/>
                <w:szCs w:val="24"/>
                <w:vertAlign w:val="baseline"/>
              </w:rPr>
            </w:pPr>
            <w:r>
              <w:rPr>
                <w:rFonts w:hint="default" w:ascii="Times New Roman" w:hAnsi="Times New Roman" w:cs="Times New Roman"/>
                <w:spacing w:val="-3"/>
                <w:sz w:val="24"/>
                <w:szCs w:val="24"/>
              </w:rPr>
              <w:t>服务承诺</w:t>
            </w:r>
          </w:p>
        </w:tc>
        <w:tc>
          <w:tcPr>
            <w:tcW w:w="1260" w:type="dxa"/>
            <w:noWrap w:val="0"/>
            <w:vAlign w:val="center"/>
          </w:tcPr>
          <w:p w14:paraId="2DE81007">
            <w:pPr>
              <w:jc w:val="center"/>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zh-CN"/>
              </w:rPr>
              <w:t>0-3分</w:t>
            </w:r>
          </w:p>
        </w:tc>
        <w:tc>
          <w:tcPr>
            <w:tcW w:w="5144" w:type="dxa"/>
            <w:noWrap w:val="0"/>
            <w:vAlign w:val="center"/>
          </w:tcPr>
          <w:p w14:paraId="7D25EFA2">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根据投标人的服务承诺情况进行打分：</w:t>
            </w:r>
          </w:p>
          <w:p w14:paraId="09857C02">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服务周期长，服务内容全面，合理且具有针对性，符合本采购项目要求的，3分≥F≥2分；</w:t>
            </w:r>
          </w:p>
          <w:p w14:paraId="3B425AD2">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服务周期较长，服务内容较全面，针对性较好的，2分≥F≥1分；</w:t>
            </w:r>
          </w:p>
          <w:p w14:paraId="4F188840">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服务周期较短，服务内容不全面，针对性较弱的，1分≥F≥0分；</w:t>
            </w:r>
          </w:p>
          <w:p w14:paraId="5A441FD2">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未提供或不符合要求的不得分。</w:t>
            </w:r>
          </w:p>
        </w:tc>
      </w:tr>
      <w:tr w14:paraId="1E56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trPr>
        <w:tc>
          <w:tcPr>
            <w:tcW w:w="1037" w:type="dxa"/>
            <w:vMerge w:val="restart"/>
            <w:noWrap w:val="0"/>
            <w:vAlign w:val="center"/>
          </w:tcPr>
          <w:p w14:paraId="7C1ABCB9">
            <w:pPr>
              <w:jc w:val="cente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资</w:t>
            </w:r>
          </w:p>
          <w:p w14:paraId="675C28E4">
            <w:pPr>
              <w:jc w:val="cente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信</w:t>
            </w:r>
          </w:p>
          <w:p w14:paraId="7667CE5A">
            <w:pPr>
              <w:jc w:val="cente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标</w:t>
            </w:r>
          </w:p>
          <w:p w14:paraId="770E2A3B">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准</w:t>
            </w:r>
          </w:p>
        </w:tc>
        <w:tc>
          <w:tcPr>
            <w:tcW w:w="1804" w:type="dxa"/>
            <w:noWrap w:val="0"/>
            <w:vAlign w:val="center"/>
          </w:tcPr>
          <w:p w14:paraId="2587A7D4">
            <w:pPr>
              <w:pStyle w:val="34"/>
              <w:spacing w:before="78" w:line="219" w:lineRule="auto"/>
              <w:ind w:left="135"/>
              <w:jc w:val="center"/>
              <w:rPr>
                <w:rFonts w:hint="default" w:ascii="Times New Roman" w:hAnsi="Times New Roman" w:eastAsia="宋体" w:cs="Times New Roman"/>
                <w:sz w:val="24"/>
                <w:szCs w:val="24"/>
                <w:lang w:val="en-US" w:eastAsia="zh-CN"/>
              </w:rPr>
            </w:pPr>
            <w:r>
              <w:rPr>
                <w:rFonts w:hint="default" w:ascii="Times New Roman" w:hAnsi="Times New Roman" w:eastAsia="宋体" w:cs="Times New Roman"/>
                <w:spacing w:val="-3"/>
                <w:sz w:val="24"/>
                <w:szCs w:val="24"/>
              </w:rPr>
              <w:t>项目负责人</w:t>
            </w:r>
            <w:r>
              <w:rPr>
                <w:rFonts w:hint="default" w:ascii="Times New Roman" w:hAnsi="Times New Roman" w:eastAsia="宋体" w:cs="Times New Roman"/>
                <w:spacing w:val="-3"/>
                <w:sz w:val="24"/>
                <w:szCs w:val="24"/>
                <w:lang w:val="en-US" w:eastAsia="zh-CN"/>
              </w:rPr>
              <w:t>及项目成员配备</w:t>
            </w:r>
          </w:p>
          <w:p w14:paraId="2F040625">
            <w:pPr>
              <w:jc w:val="center"/>
              <w:rPr>
                <w:rFonts w:hint="default" w:ascii="Times New Roman" w:hAnsi="Times New Roman" w:cs="Times New Roman"/>
                <w:sz w:val="24"/>
                <w:szCs w:val="24"/>
                <w:vertAlign w:val="baseline"/>
              </w:rPr>
            </w:pPr>
          </w:p>
        </w:tc>
        <w:tc>
          <w:tcPr>
            <w:tcW w:w="1260" w:type="dxa"/>
            <w:noWrap w:val="0"/>
            <w:vAlign w:val="center"/>
          </w:tcPr>
          <w:p w14:paraId="6B5CD863">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0-</w:t>
            </w:r>
            <w:r>
              <w:rPr>
                <w:rFonts w:hint="eastAsia" w:ascii="Times New Roman" w:hAnsi="Times New Roman" w:cs="Times New Roman"/>
                <w:sz w:val="24"/>
                <w:szCs w:val="24"/>
                <w:vertAlign w:val="baseline"/>
                <w:lang w:val="en-US" w:eastAsia="zh-CN"/>
              </w:rPr>
              <w:t>21</w:t>
            </w:r>
            <w:r>
              <w:rPr>
                <w:rFonts w:hint="default" w:ascii="Times New Roman" w:hAnsi="Times New Roman" w:cs="Times New Roman"/>
                <w:sz w:val="24"/>
                <w:szCs w:val="24"/>
                <w:vertAlign w:val="baseline"/>
                <w:lang w:val="en-US" w:eastAsia="zh-CN"/>
              </w:rPr>
              <w:t>分</w:t>
            </w:r>
          </w:p>
        </w:tc>
        <w:tc>
          <w:tcPr>
            <w:tcW w:w="5144" w:type="dxa"/>
            <w:noWrap w:val="0"/>
            <w:vAlign w:val="center"/>
          </w:tcPr>
          <w:p w14:paraId="47A754D4">
            <w:pPr>
              <w:jc w:val="both"/>
              <w:rPr>
                <w:rFonts w:hint="default" w:ascii="Times New Roman" w:hAnsi="Times New Roman" w:cs="Times New Roman"/>
                <w:b/>
                <w:bCs/>
                <w:sz w:val="24"/>
                <w:szCs w:val="24"/>
                <w:vertAlign w:val="baseline"/>
              </w:rPr>
            </w:pPr>
            <w:r>
              <w:rPr>
                <w:rFonts w:hint="default" w:ascii="Times New Roman" w:hAnsi="Times New Roman" w:cs="Times New Roman"/>
                <w:b/>
                <w:bCs/>
                <w:sz w:val="24"/>
                <w:szCs w:val="24"/>
                <w:vertAlign w:val="baseline"/>
              </w:rPr>
              <w:t>1.项目负责人（1人）</w:t>
            </w:r>
          </w:p>
          <w:p w14:paraId="5B141742">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（1）具有高级及以上人力资源管理师职称的，得3分。</w:t>
            </w:r>
          </w:p>
          <w:p w14:paraId="20E01404">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（2）具有注册咨询工程师证书的，得2分。</w:t>
            </w:r>
          </w:p>
          <w:p w14:paraId="640F8297">
            <w:pPr>
              <w:jc w:val="both"/>
              <w:rPr>
                <w:rFonts w:hint="default" w:ascii="Times New Roman" w:hAnsi="Times New Roman" w:cs="Times New Roman"/>
                <w:sz w:val="24"/>
                <w:szCs w:val="24"/>
                <w:highlight w:val="none"/>
                <w:vertAlign w:val="baseline"/>
              </w:rPr>
            </w:pPr>
            <w:r>
              <w:rPr>
                <w:rFonts w:hint="eastAsia" w:ascii="Times New Roman" w:hAnsi="Times New Roman" w:cs="Times New Roman"/>
                <w:sz w:val="24"/>
                <w:szCs w:val="24"/>
                <w:vertAlign w:val="baseline"/>
                <w:lang w:eastAsia="zh-CN"/>
              </w:rPr>
              <w:t>（</w:t>
            </w:r>
            <w:r>
              <w:rPr>
                <w:rFonts w:hint="eastAsia" w:ascii="Times New Roman" w:hAnsi="Times New Roman" w:cs="Times New Roman"/>
                <w:sz w:val="24"/>
                <w:szCs w:val="24"/>
                <w:vertAlign w:val="baseline"/>
                <w:lang w:val="en-US" w:eastAsia="zh-CN"/>
              </w:rPr>
              <w:t>3</w:t>
            </w:r>
            <w:r>
              <w:rPr>
                <w:rFonts w:hint="eastAsia" w:ascii="Times New Roman" w:hAnsi="Times New Roman" w:cs="Times New Roman"/>
                <w:sz w:val="24"/>
                <w:szCs w:val="24"/>
                <w:vertAlign w:val="baseline"/>
                <w:lang w:eastAsia="zh-CN"/>
              </w:rPr>
              <w:t>）</w:t>
            </w:r>
            <w:r>
              <w:rPr>
                <w:rFonts w:hint="default" w:ascii="Times New Roman" w:hAnsi="Times New Roman" w:cs="Times New Roman"/>
                <w:sz w:val="24"/>
                <w:szCs w:val="24"/>
                <w:vertAlign w:val="baseline"/>
              </w:rPr>
              <w:t>作为项目负责人主持过国有企业（或国有控股企业）战略咨询或人力资源项目，</w:t>
            </w:r>
            <w:r>
              <w:rPr>
                <w:rFonts w:hint="default" w:ascii="Times New Roman" w:hAnsi="Times New Roman" w:cs="Times New Roman"/>
                <w:sz w:val="24"/>
                <w:szCs w:val="24"/>
                <w:highlight w:val="none"/>
                <w:vertAlign w:val="baseline"/>
              </w:rPr>
              <w:t>且项目金额不低于50万元，得</w:t>
            </w:r>
            <w:r>
              <w:rPr>
                <w:rFonts w:hint="eastAsia" w:ascii="Times New Roman" w:hAnsi="Times New Roman" w:cs="Times New Roman"/>
                <w:sz w:val="24"/>
                <w:szCs w:val="24"/>
                <w:highlight w:val="none"/>
                <w:vertAlign w:val="baseline"/>
                <w:lang w:val="en-US" w:eastAsia="zh-CN"/>
              </w:rPr>
              <w:t>6</w:t>
            </w:r>
            <w:r>
              <w:rPr>
                <w:rFonts w:hint="default" w:ascii="Times New Roman" w:hAnsi="Times New Roman" w:cs="Times New Roman"/>
                <w:sz w:val="24"/>
                <w:szCs w:val="24"/>
                <w:highlight w:val="none"/>
                <w:vertAlign w:val="baseline"/>
              </w:rPr>
              <w:t>分。</w:t>
            </w:r>
          </w:p>
          <w:p w14:paraId="064AD126">
            <w:pPr>
              <w:jc w:val="both"/>
              <w:rPr>
                <w:rFonts w:hint="default" w:ascii="Times New Roman" w:hAnsi="Times New Roman" w:cs="Times New Roman"/>
                <w:b/>
                <w:bCs/>
                <w:sz w:val="24"/>
                <w:szCs w:val="24"/>
                <w:vertAlign w:val="baseline"/>
              </w:rPr>
            </w:pPr>
            <w:r>
              <w:rPr>
                <w:rFonts w:hint="default" w:ascii="Times New Roman" w:hAnsi="Times New Roman" w:cs="Times New Roman"/>
                <w:b/>
                <w:bCs/>
                <w:sz w:val="24"/>
                <w:szCs w:val="24"/>
                <w:vertAlign w:val="baseline"/>
              </w:rPr>
              <w:t>2.项目成员（不含项目负责人</w:t>
            </w:r>
            <w:r>
              <w:rPr>
                <w:rFonts w:hint="eastAsia" w:ascii="Times New Roman" w:hAnsi="Times New Roman" w:cs="Times New Roman"/>
                <w:b/>
                <w:bCs/>
                <w:sz w:val="24"/>
                <w:szCs w:val="24"/>
                <w:vertAlign w:val="baseline"/>
                <w:lang w:eastAsia="zh-CN"/>
              </w:rPr>
              <w:t>，</w:t>
            </w:r>
            <w:r>
              <w:rPr>
                <w:rFonts w:hint="eastAsia" w:ascii="Times New Roman" w:hAnsi="Times New Roman" w:cs="Times New Roman"/>
                <w:b/>
                <w:bCs/>
                <w:sz w:val="24"/>
                <w:szCs w:val="24"/>
                <w:vertAlign w:val="baseline"/>
                <w:lang w:val="en-US" w:eastAsia="zh-CN"/>
              </w:rPr>
              <w:t>同一人员不得重复记分。</w:t>
            </w:r>
            <w:r>
              <w:rPr>
                <w:rFonts w:hint="default" w:ascii="Times New Roman" w:hAnsi="Times New Roman" w:cs="Times New Roman"/>
                <w:b/>
                <w:bCs/>
                <w:sz w:val="24"/>
                <w:szCs w:val="24"/>
                <w:vertAlign w:val="baseline"/>
              </w:rPr>
              <w:t>）</w:t>
            </w:r>
          </w:p>
          <w:p w14:paraId="4CCF4079">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（1）具有中级人力资源管理师及以上职称，且具有在咨询行业3年以上工作经验的，每有1人得2分。本项满分6分。</w:t>
            </w:r>
          </w:p>
          <w:p w14:paraId="378C7058">
            <w:pPr>
              <w:jc w:val="both"/>
              <w:rPr>
                <w:rFonts w:hint="default" w:ascii="Times New Roman" w:hAnsi="Times New Roman" w:cs="Times New Roman" w:eastAsiaTheme="minorEastAsia"/>
                <w:b/>
                <w:bCs/>
                <w:sz w:val="24"/>
                <w:szCs w:val="24"/>
                <w:vertAlign w:val="baseline"/>
                <w:lang w:val="en-US" w:eastAsia="zh-CN"/>
              </w:rPr>
            </w:pPr>
            <w:r>
              <w:rPr>
                <w:rFonts w:hint="default" w:ascii="Times New Roman" w:hAnsi="Times New Roman" w:cs="Times New Roman"/>
                <w:sz w:val="24"/>
                <w:szCs w:val="24"/>
                <w:vertAlign w:val="baseline"/>
              </w:rPr>
              <w:t>（2）具有注册咨询工程师证书的，且具有在咨询行业3年以上工作经验的，每有1人得2分。本项满分4分。</w:t>
            </w:r>
          </w:p>
          <w:p w14:paraId="32EEE968">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 xml:space="preserve">注：（1）提供人员清单、职称证书扫描件及开标前半年内供应商为上述人员缴纳的近半年内连续3个月的社保证明。（2）工作经验证明提供工作单位为其缴纳的社保证明材料。 </w:t>
            </w:r>
          </w:p>
        </w:tc>
      </w:tr>
      <w:tr w14:paraId="0BCA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trPr>
        <w:tc>
          <w:tcPr>
            <w:tcW w:w="1037" w:type="dxa"/>
            <w:vMerge w:val="continue"/>
            <w:noWrap w:val="0"/>
            <w:vAlign w:val="center"/>
          </w:tcPr>
          <w:p w14:paraId="4E871822">
            <w:pPr>
              <w:jc w:val="center"/>
              <w:rPr>
                <w:rFonts w:hint="default" w:ascii="Times New Roman" w:hAnsi="Times New Roman" w:cs="Times New Roman"/>
                <w:sz w:val="24"/>
                <w:szCs w:val="24"/>
                <w:vertAlign w:val="baseline"/>
              </w:rPr>
            </w:pPr>
          </w:p>
        </w:tc>
        <w:tc>
          <w:tcPr>
            <w:tcW w:w="1804" w:type="dxa"/>
            <w:noWrap w:val="0"/>
            <w:vAlign w:val="center"/>
          </w:tcPr>
          <w:p w14:paraId="2191A6E5">
            <w:pPr>
              <w:jc w:val="center"/>
              <w:rPr>
                <w:rFonts w:hint="default" w:ascii="Times New Roman" w:hAnsi="Times New Roman" w:cs="Times New Roman"/>
                <w:sz w:val="24"/>
                <w:szCs w:val="24"/>
                <w:vertAlign w:val="baseline"/>
              </w:rPr>
            </w:pPr>
            <w:r>
              <w:rPr>
                <w:rFonts w:hint="default" w:ascii="Times New Roman" w:hAnsi="Times New Roman" w:eastAsia="宋体" w:cs="Times New Roman"/>
                <w:spacing w:val="-3"/>
                <w:sz w:val="24"/>
                <w:szCs w:val="24"/>
              </w:rPr>
              <w:t>投标人业绩</w:t>
            </w:r>
          </w:p>
        </w:tc>
        <w:tc>
          <w:tcPr>
            <w:tcW w:w="1260" w:type="dxa"/>
            <w:noWrap w:val="0"/>
            <w:vAlign w:val="center"/>
          </w:tcPr>
          <w:p w14:paraId="75DC12A3">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0-20分</w:t>
            </w:r>
          </w:p>
        </w:tc>
        <w:tc>
          <w:tcPr>
            <w:tcW w:w="5144" w:type="dxa"/>
            <w:noWrap w:val="0"/>
            <w:vAlign w:val="center"/>
          </w:tcPr>
          <w:p w14:paraId="169FF501">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自2024年1月1日以来（以合同签订时间为准），投标人具有国有企业战略规划或绩效薪酬类项目，且单个合同金额不低于 25万元人民币，每提供1个业绩得 5分，最多得 20分。</w:t>
            </w:r>
          </w:p>
          <w:p w14:paraId="7F25ECF1">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 xml:space="preserve">注：提供合同扫描件，已完结项目和正在履行的业绩均予以认可。 </w:t>
            </w:r>
          </w:p>
        </w:tc>
      </w:tr>
      <w:tr w14:paraId="1B44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trPr>
        <w:tc>
          <w:tcPr>
            <w:tcW w:w="1037" w:type="dxa"/>
            <w:vMerge w:val="continue"/>
            <w:noWrap w:val="0"/>
            <w:vAlign w:val="center"/>
          </w:tcPr>
          <w:p w14:paraId="1CD719EA">
            <w:pPr>
              <w:jc w:val="center"/>
              <w:rPr>
                <w:rFonts w:hint="default" w:ascii="Times New Roman" w:hAnsi="Times New Roman" w:cs="Times New Roman"/>
                <w:sz w:val="24"/>
                <w:szCs w:val="24"/>
                <w:vertAlign w:val="baseline"/>
              </w:rPr>
            </w:pPr>
          </w:p>
        </w:tc>
        <w:tc>
          <w:tcPr>
            <w:tcW w:w="1804" w:type="dxa"/>
            <w:noWrap w:val="0"/>
            <w:vAlign w:val="center"/>
          </w:tcPr>
          <w:p w14:paraId="2F318C7A">
            <w:pPr>
              <w:jc w:val="center"/>
              <w:rPr>
                <w:rFonts w:hint="default" w:ascii="Times New Roman" w:hAnsi="Times New Roman" w:cs="Times New Roman"/>
                <w:sz w:val="24"/>
                <w:szCs w:val="24"/>
                <w:vertAlign w:val="baseline"/>
              </w:rPr>
            </w:pPr>
            <w:r>
              <w:rPr>
                <w:rFonts w:hint="default" w:ascii="Times New Roman" w:hAnsi="Times New Roman" w:eastAsia="宋体" w:cs="Times New Roman"/>
                <w:spacing w:val="-3"/>
                <w:sz w:val="24"/>
                <w:szCs w:val="24"/>
                <w:lang w:val="en-US" w:eastAsia="zh-CN"/>
              </w:rPr>
              <w:t>荣誉资质</w:t>
            </w:r>
          </w:p>
        </w:tc>
        <w:tc>
          <w:tcPr>
            <w:tcW w:w="1260" w:type="dxa"/>
            <w:noWrap w:val="0"/>
            <w:vAlign w:val="center"/>
          </w:tcPr>
          <w:p w14:paraId="26A510E6">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0-4分</w:t>
            </w:r>
          </w:p>
        </w:tc>
        <w:tc>
          <w:tcPr>
            <w:tcW w:w="5144" w:type="dxa"/>
            <w:noWrap w:val="0"/>
            <w:vAlign w:val="center"/>
          </w:tcPr>
          <w:p w14:paraId="73CD0E61">
            <w:pPr>
              <w:numPr>
                <w:ilvl w:val="0"/>
                <w:numId w:val="4"/>
              </w:num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供应商承担的项目成果获得国家级党政机关（或事业单位）表彰荣誉的，得2分，本小项满分2分。</w:t>
            </w:r>
          </w:p>
          <w:p w14:paraId="19562058">
            <w:pPr>
              <w:numPr>
                <w:ilvl w:val="0"/>
                <w:numId w:val="4"/>
              </w:num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供应商承担的项目成果获得省级党政机关（或事业单位）表彰荣誉的，得1分，本小项满分2分。</w:t>
            </w:r>
          </w:p>
          <w:p w14:paraId="0CB68ADC">
            <w:pPr>
              <w:numPr>
                <w:ilvl w:val="0"/>
                <w:numId w:val="0"/>
              </w:num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注：（1）须提供获奖证书、批复、颁奖单位颁奖文件、网上公示截图（提供其中之一即可）等证明材料和获奖项目业绩扫描件；材料须能体现供应商，如无法体现，须另附颁奖单位的相关证明材料，未提供或提供不全的不得分；（2）表彰荣誉级别按国家行政区划界定，如：地级市、自治州、地区、盟党政机关（或事业单位）颁发的视为地市级，以此类推；（3）党政机关包括党的机关、人大机关、行政机关、政协机关、审判机关、检察机关，及各级党政机关派出机构、直属事业单位及工会、共青团、妇联等。</w:t>
            </w:r>
          </w:p>
        </w:tc>
      </w:tr>
      <w:tr w14:paraId="3CC22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trPr>
        <w:tc>
          <w:tcPr>
            <w:tcW w:w="1037" w:type="dxa"/>
            <w:vMerge w:val="continue"/>
            <w:noWrap w:val="0"/>
            <w:vAlign w:val="center"/>
          </w:tcPr>
          <w:p w14:paraId="48DBE989">
            <w:pPr>
              <w:jc w:val="center"/>
              <w:rPr>
                <w:rFonts w:hint="default" w:ascii="Times New Roman" w:hAnsi="Times New Roman" w:cs="Times New Roman"/>
                <w:sz w:val="24"/>
                <w:szCs w:val="24"/>
                <w:vertAlign w:val="baseline"/>
              </w:rPr>
            </w:pPr>
          </w:p>
        </w:tc>
        <w:tc>
          <w:tcPr>
            <w:tcW w:w="1804" w:type="dxa"/>
            <w:noWrap w:val="0"/>
            <w:vAlign w:val="center"/>
          </w:tcPr>
          <w:p w14:paraId="1FCE69DE">
            <w:pPr>
              <w:jc w:val="center"/>
              <w:rPr>
                <w:rFonts w:hint="default" w:ascii="Times New Roman" w:hAnsi="Times New Roman" w:eastAsia="宋体" w:cs="Times New Roman"/>
                <w:spacing w:val="-3"/>
                <w:sz w:val="24"/>
                <w:szCs w:val="24"/>
              </w:rPr>
            </w:pPr>
            <w:r>
              <w:rPr>
                <w:rFonts w:hint="default" w:ascii="Times New Roman" w:hAnsi="Times New Roman" w:eastAsia="宋体" w:cs="Times New Roman"/>
                <w:spacing w:val="-4"/>
                <w:sz w:val="24"/>
                <w:szCs w:val="24"/>
              </w:rPr>
              <w:t>投标人资</w:t>
            </w:r>
            <w:r>
              <w:rPr>
                <w:rFonts w:hint="default" w:ascii="Times New Roman" w:hAnsi="Times New Roman" w:eastAsia="宋体" w:cs="Times New Roman"/>
                <w:spacing w:val="-3"/>
                <w:sz w:val="24"/>
                <w:szCs w:val="24"/>
              </w:rPr>
              <w:t>信、</w:t>
            </w:r>
          </w:p>
          <w:p w14:paraId="7C87F0A7">
            <w:pPr>
              <w:jc w:val="center"/>
              <w:rPr>
                <w:rFonts w:hint="default" w:ascii="Times New Roman" w:hAnsi="Times New Roman" w:cs="Times New Roman"/>
                <w:sz w:val="24"/>
                <w:szCs w:val="24"/>
                <w:vertAlign w:val="baseline"/>
              </w:rPr>
            </w:pPr>
            <w:r>
              <w:rPr>
                <w:rFonts w:hint="default" w:ascii="Times New Roman" w:hAnsi="Times New Roman" w:eastAsia="宋体" w:cs="Times New Roman"/>
                <w:spacing w:val="-3"/>
                <w:sz w:val="24"/>
                <w:szCs w:val="24"/>
              </w:rPr>
              <w:t>认证</w:t>
            </w:r>
          </w:p>
        </w:tc>
        <w:tc>
          <w:tcPr>
            <w:tcW w:w="1260" w:type="dxa"/>
            <w:noWrap w:val="0"/>
            <w:vAlign w:val="center"/>
          </w:tcPr>
          <w:p w14:paraId="1C88788F">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0-2分</w:t>
            </w:r>
          </w:p>
        </w:tc>
        <w:tc>
          <w:tcPr>
            <w:tcW w:w="5144" w:type="dxa"/>
            <w:noWrap w:val="0"/>
            <w:vAlign w:val="center"/>
          </w:tcPr>
          <w:p w14:paraId="20ED4AC7">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rPr>
              <w:t>投标人持有在有效期内的质量管理体系、环境管理体系、职业健康安全管理体系、商品售后服务评价体系、信息安全管理体系认证证书的，每提供1个得0.5分，本小项满分2分。注：投标文件中须同时提供证书扫描件（证书须在有效期内）作为评审依据。</w:t>
            </w:r>
          </w:p>
        </w:tc>
      </w:tr>
      <w:tr w14:paraId="4F34F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2" w:hRule="atLeast"/>
        </w:trPr>
        <w:tc>
          <w:tcPr>
            <w:tcW w:w="1037" w:type="dxa"/>
            <w:noWrap w:val="0"/>
            <w:vAlign w:val="center"/>
          </w:tcPr>
          <w:p w14:paraId="135977BF">
            <w:pPr>
              <w:jc w:val="center"/>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价格</w:t>
            </w:r>
          </w:p>
          <w:p w14:paraId="1DDC93F8">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标准</w:t>
            </w:r>
          </w:p>
        </w:tc>
        <w:tc>
          <w:tcPr>
            <w:tcW w:w="1804" w:type="dxa"/>
            <w:noWrap w:val="0"/>
            <w:vAlign w:val="center"/>
          </w:tcPr>
          <w:p w14:paraId="57E08AED">
            <w:pPr>
              <w:jc w:val="center"/>
              <w:rPr>
                <w:rFonts w:hint="default" w:ascii="Times New Roman" w:hAnsi="Times New Roman" w:cs="Times New Roman"/>
                <w:sz w:val="24"/>
                <w:szCs w:val="24"/>
                <w:vertAlign w:val="baseline"/>
              </w:rPr>
            </w:pPr>
            <w:r>
              <w:rPr>
                <w:rFonts w:hint="default" w:ascii="Times New Roman" w:hAnsi="Times New Roman" w:eastAsia="宋体" w:cs="Times New Roman"/>
                <w:b w:val="0"/>
                <w:bCs/>
                <w:color w:val="auto"/>
                <w:sz w:val="24"/>
                <w:szCs w:val="24"/>
                <w:highlight w:val="none"/>
                <w:lang w:eastAsia="zh-CN"/>
              </w:rPr>
              <w:t>响应报价</w:t>
            </w:r>
          </w:p>
        </w:tc>
        <w:tc>
          <w:tcPr>
            <w:tcW w:w="1260" w:type="dxa"/>
            <w:noWrap w:val="0"/>
            <w:vAlign w:val="center"/>
          </w:tcPr>
          <w:p w14:paraId="66FF3C78">
            <w:pPr>
              <w:jc w:val="center"/>
              <w:rPr>
                <w:rFonts w:hint="default" w:ascii="Times New Roman" w:hAnsi="Times New Roman" w:eastAsia="宋体"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0-10分</w:t>
            </w:r>
          </w:p>
        </w:tc>
        <w:tc>
          <w:tcPr>
            <w:tcW w:w="5144" w:type="dxa"/>
            <w:noWrap w:val="0"/>
            <w:vAlign w:val="center"/>
          </w:tcPr>
          <w:p w14:paraId="50F7FEC7">
            <w:pPr>
              <w:jc w:val="both"/>
              <w:rPr>
                <w:rFonts w:hint="default" w:ascii="Times New Roman" w:hAnsi="Times New Roman" w:cs="Times New Roman"/>
                <w:sz w:val="24"/>
                <w:szCs w:val="24"/>
                <w:vertAlign w:val="baseline"/>
                <w:lang w:val="en-US" w:eastAsia="en-US"/>
              </w:rPr>
            </w:pPr>
            <w:r>
              <w:rPr>
                <w:rFonts w:hint="default" w:ascii="Times New Roman" w:hAnsi="Times New Roman" w:cs="Times New Roman"/>
                <w:sz w:val="24"/>
                <w:szCs w:val="24"/>
                <w:vertAlign w:val="baseline"/>
                <w:lang w:val="en-US" w:eastAsia="en-US"/>
              </w:rPr>
              <w:t>经初步评审合格的有效供应商数量为C，基准价为F。</w:t>
            </w:r>
          </w:p>
          <w:p w14:paraId="632A1580">
            <w:pPr>
              <w:jc w:val="both"/>
              <w:rPr>
                <w:rFonts w:hint="default" w:ascii="Times New Roman" w:hAnsi="Times New Roman" w:cs="Times New Roman"/>
                <w:sz w:val="24"/>
                <w:szCs w:val="24"/>
                <w:vertAlign w:val="baseline"/>
                <w:lang w:val="en-US" w:eastAsia="en-US"/>
              </w:rPr>
            </w:pPr>
            <w:r>
              <w:rPr>
                <w:rFonts w:hint="default" w:ascii="Times New Roman" w:hAnsi="Times New Roman" w:cs="Times New Roman"/>
                <w:sz w:val="24"/>
                <w:szCs w:val="24"/>
                <w:vertAlign w:val="baseline"/>
                <w:lang w:val="en-US" w:eastAsia="en-US"/>
              </w:rPr>
              <w:t>（1）F值计算</w:t>
            </w:r>
          </w:p>
          <w:p w14:paraId="6A9DA46D">
            <w:pPr>
              <w:jc w:val="both"/>
              <w:rPr>
                <w:rFonts w:hint="default" w:ascii="Times New Roman" w:hAnsi="Times New Roman" w:cs="Times New Roman"/>
                <w:sz w:val="24"/>
                <w:szCs w:val="24"/>
                <w:vertAlign w:val="baseline"/>
                <w:lang w:val="en-US" w:eastAsia="en-US"/>
              </w:rPr>
            </w:pPr>
            <w:r>
              <w:rPr>
                <w:rFonts w:hint="default" w:ascii="Times New Roman" w:hAnsi="Times New Roman" w:cs="Times New Roman"/>
                <w:sz w:val="24"/>
                <w:szCs w:val="24"/>
                <w:vertAlign w:val="baseline"/>
                <w:lang w:val="en-US" w:eastAsia="en-US"/>
              </w:rPr>
              <w:t>①当C≤5时，经初步评审合格的有效供应商所有响应报价进行算术平均，所得的算术平均值即为F；</w:t>
            </w:r>
          </w:p>
          <w:p w14:paraId="46D41A7A">
            <w:pPr>
              <w:jc w:val="both"/>
              <w:rPr>
                <w:rFonts w:hint="default" w:ascii="Times New Roman" w:hAnsi="Times New Roman" w:cs="Times New Roman"/>
                <w:sz w:val="24"/>
                <w:szCs w:val="24"/>
                <w:vertAlign w:val="baseline"/>
                <w:lang w:val="en-US" w:eastAsia="en-US"/>
              </w:rPr>
            </w:pPr>
            <w:r>
              <w:rPr>
                <w:rFonts w:hint="default" w:ascii="Times New Roman" w:hAnsi="Times New Roman" w:cs="Times New Roman"/>
                <w:sz w:val="24"/>
                <w:szCs w:val="24"/>
                <w:vertAlign w:val="baseline"/>
                <w:lang w:val="en-US" w:eastAsia="en-US"/>
              </w:rPr>
              <w:t>②当C＞5时，去掉经初步评审合格的有效供应商响应报价中的最高值和最低值，剩余响应报价进行算术平均，所得的算术平均值即为F。</w:t>
            </w:r>
          </w:p>
          <w:p w14:paraId="7B11330A">
            <w:pPr>
              <w:jc w:val="both"/>
              <w:rPr>
                <w:rFonts w:hint="default" w:ascii="Times New Roman" w:hAnsi="Times New Roman" w:cs="Times New Roman"/>
                <w:sz w:val="24"/>
                <w:szCs w:val="24"/>
                <w:vertAlign w:val="baseline"/>
                <w:lang w:val="en-US" w:eastAsia="en-US"/>
              </w:rPr>
            </w:pPr>
            <w:r>
              <w:rPr>
                <w:rFonts w:hint="default" w:ascii="Times New Roman" w:hAnsi="Times New Roman" w:cs="Times New Roman"/>
                <w:sz w:val="24"/>
                <w:szCs w:val="24"/>
                <w:vertAlign w:val="baseline"/>
                <w:lang w:val="en-US" w:eastAsia="en-US"/>
              </w:rPr>
              <w:t>（2）偏差率计算</w:t>
            </w:r>
          </w:p>
          <w:p w14:paraId="799A0E34">
            <w:pPr>
              <w:jc w:val="both"/>
              <w:rPr>
                <w:rFonts w:hint="default" w:ascii="Times New Roman" w:hAnsi="Times New Roman" w:cs="Times New Roman"/>
                <w:sz w:val="24"/>
                <w:szCs w:val="24"/>
                <w:vertAlign w:val="baseline"/>
                <w:lang w:val="en-US" w:eastAsia="en-US"/>
              </w:rPr>
            </w:pPr>
            <w:r>
              <w:rPr>
                <w:rFonts w:hint="default" w:ascii="Times New Roman" w:hAnsi="Times New Roman" w:cs="Times New Roman"/>
                <w:sz w:val="24"/>
                <w:szCs w:val="24"/>
                <w:vertAlign w:val="baseline"/>
                <w:lang w:val="en-US" w:eastAsia="en-US"/>
              </w:rPr>
              <w:t>偏差率=（响应报价-F）/F*100%</w:t>
            </w:r>
          </w:p>
          <w:p w14:paraId="43760F11">
            <w:pPr>
              <w:jc w:val="both"/>
              <w:rPr>
                <w:rFonts w:hint="default" w:ascii="Times New Roman" w:hAnsi="Times New Roman" w:cs="Times New Roman"/>
                <w:sz w:val="24"/>
                <w:szCs w:val="24"/>
                <w:vertAlign w:val="baseline"/>
                <w:lang w:val="en-US" w:eastAsia="en-US"/>
              </w:rPr>
            </w:pPr>
            <w:r>
              <w:rPr>
                <w:rFonts w:hint="default" w:ascii="Times New Roman" w:hAnsi="Times New Roman" w:cs="Times New Roman"/>
                <w:sz w:val="24"/>
                <w:szCs w:val="24"/>
                <w:vertAlign w:val="baseline"/>
                <w:lang w:val="en-US" w:eastAsia="en-US"/>
              </w:rPr>
              <w:t>（3）报价得分计算</w:t>
            </w:r>
          </w:p>
          <w:p w14:paraId="107F6FF3">
            <w:pPr>
              <w:jc w:val="both"/>
              <w:rPr>
                <w:rFonts w:hint="default" w:ascii="Times New Roman" w:hAnsi="Times New Roman" w:cs="Times New Roman"/>
                <w:sz w:val="24"/>
                <w:szCs w:val="24"/>
                <w:vertAlign w:val="baseline"/>
                <w:lang w:val="en-US" w:eastAsia="en-US"/>
              </w:rPr>
            </w:pPr>
            <w:r>
              <w:rPr>
                <w:rFonts w:hint="default" w:ascii="Times New Roman" w:hAnsi="Times New Roman" w:cs="Times New Roman"/>
                <w:sz w:val="24"/>
                <w:szCs w:val="24"/>
                <w:vertAlign w:val="baseline"/>
                <w:lang w:val="en-US" w:eastAsia="en-US"/>
              </w:rPr>
              <w:t>①当最终响应报价=F，报价得分=</w:t>
            </w:r>
            <w:r>
              <w:rPr>
                <w:rFonts w:hint="default" w:ascii="Times New Roman" w:hAnsi="Times New Roman" w:cs="Times New Roman"/>
                <w:sz w:val="24"/>
                <w:szCs w:val="24"/>
                <w:vertAlign w:val="baseline"/>
                <w:lang w:val="en-US" w:eastAsia="zh-CN"/>
              </w:rPr>
              <w:t>1</w:t>
            </w:r>
            <w:r>
              <w:rPr>
                <w:rFonts w:hint="default" w:ascii="Times New Roman" w:hAnsi="Times New Roman" w:cs="Times New Roman"/>
                <w:sz w:val="24"/>
                <w:szCs w:val="24"/>
                <w:vertAlign w:val="baseline"/>
                <w:lang w:val="en-US" w:eastAsia="en-US"/>
              </w:rPr>
              <w:t>0；</w:t>
            </w:r>
          </w:p>
          <w:p w14:paraId="5410E4A8">
            <w:pPr>
              <w:jc w:val="both"/>
              <w:rPr>
                <w:rFonts w:hint="default" w:ascii="Times New Roman" w:hAnsi="Times New Roman" w:cs="Times New Roman"/>
                <w:sz w:val="24"/>
                <w:szCs w:val="24"/>
                <w:vertAlign w:val="baseline"/>
                <w:lang w:val="en-US" w:eastAsia="en-US"/>
              </w:rPr>
            </w:pPr>
            <w:r>
              <w:rPr>
                <w:rFonts w:hint="default" w:ascii="Times New Roman" w:hAnsi="Times New Roman" w:cs="Times New Roman"/>
                <w:sz w:val="24"/>
                <w:szCs w:val="24"/>
                <w:vertAlign w:val="baseline"/>
                <w:lang w:val="en-US" w:eastAsia="en-US"/>
              </w:rPr>
              <w:t>②当最终响应报价＞F，报价得分=</w:t>
            </w:r>
            <w:r>
              <w:rPr>
                <w:rFonts w:hint="default" w:ascii="Times New Roman" w:hAnsi="Times New Roman" w:cs="Times New Roman"/>
                <w:sz w:val="24"/>
                <w:szCs w:val="24"/>
                <w:vertAlign w:val="baseline"/>
                <w:lang w:val="en-US" w:eastAsia="zh-CN"/>
              </w:rPr>
              <w:t>1</w:t>
            </w:r>
            <w:r>
              <w:rPr>
                <w:rFonts w:hint="default" w:ascii="Times New Roman" w:hAnsi="Times New Roman" w:cs="Times New Roman"/>
                <w:sz w:val="24"/>
                <w:szCs w:val="24"/>
                <w:vertAlign w:val="baseline"/>
                <w:lang w:val="en-US" w:eastAsia="en-US"/>
              </w:rPr>
              <w:t>0-偏差率*100*0.4；</w:t>
            </w:r>
          </w:p>
          <w:p w14:paraId="2918557D">
            <w:pPr>
              <w:jc w:val="both"/>
              <w:rPr>
                <w:rFonts w:hint="default" w:ascii="Times New Roman" w:hAnsi="Times New Roman" w:cs="Times New Roman"/>
                <w:sz w:val="24"/>
                <w:szCs w:val="24"/>
                <w:vertAlign w:val="baseline"/>
                <w:lang w:val="en-US" w:eastAsia="en-US"/>
              </w:rPr>
            </w:pPr>
            <w:r>
              <w:rPr>
                <w:rFonts w:hint="default" w:ascii="Times New Roman" w:hAnsi="Times New Roman" w:cs="Times New Roman"/>
                <w:sz w:val="24"/>
                <w:szCs w:val="24"/>
                <w:vertAlign w:val="baseline"/>
                <w:lang w:val="en-US" w:eastAsia="en-US"/>
              </w:rPr>
              <w:t>③当最终响应报价＜F，报价得分=</w:t>
            </w:r>
            <w:r>
              <w:rPr>
                <w:rFonts w:hint="default" w:ascii="Times New Roman" w:hAnsi="Times New Roman" w:cs="Times New Roman"/>
                <w:sz w:val="24"/>
                <w:szCs w:val="24"/>
                <w:vertAlign w:val="baseline"/>
                <w:lang w:val="en-US" w:eastAsia="zh-CN"/>
              </w:rPr>
              <w:t>1</w:t>
            </w:r>
            <w:r>
              <w:rPr>
                <w:rFonts w:hint="default" w:ascii="Times New Roman" w:hAnsi="Times New Roman" w:cs="Times New Roman"/>
                <w:sz w:val="24"/>
                <w:szCs w:val="24"/>
                <w:vertAlign w:val="baseline"/>
                <w:lang w:val="en-US" w:eastAsia="en-US"/>
              </w:rPr>
              <w:t>0+偏差率*100*0.2；</w:t>
            </w:r>
          </w:p>
          <w:p w14:paraId="3A565BA2">
            <w:pPr>
              <w:jc w:val="both"/>
              <w:rPr>
                <w:rFonts w:hint="default" w:ascii="Times New Roman" w:hAnsi="Times New Roman" w:cs="Times New Roman"/>
                <w:sz w:val="24"/>
                <w:szCs w:val="24"/>
                <w:vertAlign w:val="baseline"/>
                <w:lang w:val="en-US" w:eastAsia="en-US"/>
              </w:rPr>
            </w:pPr>
            <w:r>
              <w:rPr>
                <w:rFonts w:hint="default" w:ascii="Times New Roman" w:hAnsi="Times New Roman" w:cs="Times New Roman"/>
                <w:sz w:val="24"/>
                <w:szCs w:val="24"/>
                <w:vertAlign w:val="baseline"/>
                <w:lang w:val="en-US" w:eastAsia="en-US"/>
              </w:rPr>
              <w:t>④当报价得分计算出为负值时，报价得分=0。</w:t>
            </w:r>
          </w:p>
          <w:p w14:paraId="1A72FF85">
            <w:pPr>
              <w:jc w:val="both"/>
              <w:rPr>
                <w:rFonts w:hint="default" w:ascii="Times New Roman" w:hAnsi="Times New Roman" w:cs="Times New Roman"/>
                <w:sz w:val="24"/>
                <w:szCs w:val="24"/>
                <w:vertAlign w:val="baseline"/>
              </w:rPr>
            </w:pPr>
            <w:r>
              <w:rPr>
                <w:rFonts w:hint="default" w:ascii="Times New Roman" w:hAnsi="Times New Roman" w:cs="Times New Roman"/>
                <w:sz w:val="24"/>
                <w:szCs w:val="24"/>
                <w:vertAlign w:val="baseline"/>
                <w:lang w:val="en-US" w:eastAsia="en-US"/>
              </w:rPr>
              <w:t>注：以上所有计算取小数点后两位，第三位四舍五入。</w:t>
            </w:r>
          </w:p>
        </w:tc>
      </w:tr>
    </w:tbl>
    <w:p w14:paraId="1BF4B160">
      <w:pPr>
        <w:rPr>
          <w:rFonts w:hint="eastAsia"/>
          <w:color w:val="auto"/>
          <w:highlight w:val="none"/>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687F3">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FE810">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F5C00"/>
    <w:multiLevelType w:val="singleLevel"/>
    <w:tmpl w:val="9C6F5C00"/>
    <w:lvl w:ilvl="0" w:tentative="0">
      <w:start w:val="1"/>
      <w:numFmt w:val="decimal"/>
      <w:lvlText w:val="%1."/>
      <w:lvlJc w:val="left"/>
      <w:pPr>
        <w:tabs>
          <w:tab w:val="left" w:pos="312"/>
        </w:tabs>
      </w:pPr>
    </w:lvl>
  </w:abstractNum>
  <w:abstractNum w:abstractNumId="1">
    <w:nsid w:val="15666AF9"/>
    <w:multiLevelType w:val="singleLevel"/>
    <w:tmpl w:val="15666AF9"/>
    <w:lvl w:ilvl="0" w:tentative="0">
      <w:start w:val="1"/>
      <w:numFmt w:val="chineseCounting"/>
      <w:suff w:val="nothing"/>
      <w:lvlText w:val="（%1）"/>
      <w:lvlJc w:val="left"/>
      <w:rPr>
        <w:rFonts w:hint="eastAsia"/>
      </w:rPr>
    </w:lvl>
  </w:abstractNum>
  <w:abstractNum w:abstractNumId="2">
    <w:nsid w:val="5562D11F"/>
    <w:multiLevelType w:val="singleLevel"/>
    <w:tmpl w:val="5562D11F"/>
    <w:lvl w:ilvl="0" w:tentative="0">
      <w:start w:val="1"/>
      <w:numFmt w:val="decimal"/>
      <w:suff w:val="nothing"/>
      <w:lvlText w:val="（%1）"/>
      <w:lvlJc w:val="left"/>
    </w:lvl>
  </w:abstractNum>
  <w:abstractNum w:abstractNumId="3">
    <w:nsid w:val="686F55D6"/>
    <w:multiLevelType w:val="singleLevel"/>
    <w:tmpl w:val="686F55D6"/>
    <w:lvl w:ilvl="0" w:tentative="0">
      <w:start w:val="2"/>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5MDc2OTk3MzY4YjM5YjY4NGFhYzhmNWE1MTYzYzUifQ=="/>
  </w:docVars>
  <w:rsids>
    <w:rsidRoot w:val="005F6573"/>
    <w:rsid w:val="00093792"/>
    <w:rsid w:val="0010749A"/>
    <w:rsid w:val="0017586F"/>
    <w:rsid w:val="00213597"/>
    <w:rsid w:val="003E2A41"/>
    <w:rsid w:val="004714A7"/>
    <w:rsid w:val="004C5791"/>
    <w:rsid w:val="00556502"/>
    <w:rsid w:val="005F6573"/>
    <w:rsid w:val="00644815"/>
    <w:rsid w:val="007415BF"/>
    <w:rsid w:val="007927F5"/>
    <w:rsid w:val="007C06E7"/>
    <w:rsid w:val="007F55CC"/>
    <w:rsid w:val="00A00969"/>
    <w:rsid w:val="00C47BC1"/>
    <w:rsid w:val="00D754E5"/>
    <w:rsid w:val="00E51C2C"/>
    <w:rsid w:val="00E61441"/>
    <w:rsid w:val="00EA6EAB"/>
    <w:rsid w:val="00EF462D"/>
    <w:rsid w:val="00EF6C45"/>
    <w:rsid w:val="00F7247B"/>
    <w:rsid w:val="03164B46"/>
    <w:rsid w:val="035D6A62"/>
    <w:rsid w:val="03C238C1"/>
    <w:rsid w:val="03D63F35"/>
    <w:rsid w:val="046D02C9"/>
    <w:rsid w:val="04AC7907"/>
    <w:rsid w:val="04B108D4"/>
    <w:rsid w:val="07D61CBB"/>
    <w:rsid w:val="08187346"/>
    <w:rsid w:val="08C218CD"/>
    <w:rsid w:val="09357310"/>
    <w:rsid w:val="09431CDD"/>
    <w:rsid w:val="09D85925"/>
    <w:rsid w:val="0B16599D"/>
    <w:rsid w:val="0B4E0F31"/>
    <w:rsid w:val="0B5F2C55"/>
    <w:rsid w:val="0CC51CA1"/>
    <w:rsid w:val="12375F75"/>
    <w:rsid w:val="12E66D1C"/>
    <w:rsid w:val="132E7BF0"/>
    <w:rsid w:val="1474453F"/>
    <w:rsid w:val="147A6B5F"/>
    <w:rsid w:val="171676FC"/>
    <w:rsid w:val="174F3E72"/>
    <w:rsid w:val="19371A3D"/>
    <w:rsid w:val="1B562B38"/>
    <w:rsid w:val="1BBE6F12"/>
    <w:rsid w:val="1BE340FE"/>
    <w:rsid w:val="1CD51C99"/>
    <w:rsid w:val="1EA9518B"/>
    <w:rsid w:val="1EF02DBA"/>
    <w:rsid w:val="229D0F23"/>
    <w:rsid w:val="243B6972"/>
    <w:rsid w:val="2560638D"/>
    <w:rsid w:val="2888575B"/>
    <w:rsid w:val="288C7083"/>
    <w:rsid w:val="297B7857"/>
    <w:rsid w:val="2A060596"/>
    <w:rsid w:val="2BCB60A1"/>
    <w:rsid w:val="2DC35BE2"/>
    <w:rsid w:val="2DDA05D0"/>
    <w:rsid w:val="2DFD6DA8"/>
    <w:rsid w:val="2F5C3B54"/>
    <w:rsid w:val="326170B4"/>
    <w:rsid w:val="3401034F"/>
    <w:rsid w:val="365F5108"/>
    <w:rsid w:val="38451629"/>
    <w:rsid w:val="39202096"/>
    <w:rsid w:val="3956631D"/>
    <w:rsid w:val="3977637C"/>
    <w:rsid w:val="39A323C9"/>
    <w:rsid w:val="3A5A6F41"/>
    <w:rsid w:val="3D0656AD"/>
    <w:rsid w:val="3D995F73"/>
    <w:rsid w:val="3DD40ACC"/>
    <w:rsid w:val="3E7A3FF6"/>
    <w:rsid w:val="3F7C42B6"/>
    <w:rsid w:val="40821E95"/>
    <w:rsid w:val="417A40B0"/>
    <w:rsid w:val="42331D89"/>
    <w:rsid w:val="425A3632"/>
    <w:rsid w:val="425C413F"/>
    <w:rsid w:val="42654155"/>
    <w:rsid w:val="44AA4756"/>
    <w:rsid w:val="44AD421E"/>
    <w:rsid w:val="475C491A"/>
    <w:rsid w:val="49521D16"/>
    <w:rsid w:val="4A180A44"/>
    <w:rsid w:val="4A630034"/>
    <w:rsid w:val="4D752558"/>
    <w:rsid w:val="4D841426"/>
    <w:rsid w:val="4D926C66"/>
    <w:rsid w:val="4E235B10"/>
    <w:rsid w:val="4E4A0A8E"/>
    <w:rsid w:val="4EFF657E"/>
    <w:rsid w:val="4F224E72"/>
    <w:rsid w:val="50116703"/>
    <w:rsid w:val="51EB53DF"/>
    <w:rsid w:val="53603F65"/>
    <w:rsid w:val="53DD68C3"/>
    <w:rsid w:val="551C3A0B"/>
    <w:rsid w:val="555C59B4"/>
    <w:rsid w:val="56FB20EC"/>
    <w:rsid w:val="5839386D"/>
    <w:rsid w:val="58B2099D"/>
    <w:rsid w:val="58DC61B7"/>
    <w:rsid w:val="59F6057D"/>
    <w:rsid w:val="5A8121BA"/>
    <w:rsid w:val="5ABF0539"/>
    <w:rsid w:val="5B4434DF"/>
    <w:rsid w:val="5B8670E0"/>
    <w:rsid w:val="65374BCA"/>
    <w:rsid w:val="6562740E"/>
    <w:rsid w:val="65FC1861"/>
    <w:rsid w:val="662E5966"/>
    <w:rsid w:val="668838E6"/>
    <w:rsid w:val="6747066A"/>
    <w:rsid w:val="699F737A"/>
    <w:rsid w:val="6B1A1662"/>
    <w:rsid w:val="6DEB7675"/>
    <w:rsid w:val="6EAC5D22"/>
    <w:rsid w:val="6F1E00AA"/>
    <w:rsid w:val="6FE07D2F"/>
    <w:rsid w:val="70724959"/>
    <w:rsid w:val="71DF2C74"/>
    <w:rsid w:val="72527C68"/>
    <w:rsid w:val="73136DD6"/>
    <w:rsid w:val="73231BEA"/>
    <w:rsid w:val="73922BF0"/>
    <w:rsid w:val="73B72B30"/>
    <w:rsid w:val="744F5002"/>
    <w:rsid w:val="76271B88"/>
    <w:rsid w:val="76C41664"/>
    <w:rsid w:val="77AD62C7"/>
    <w:rsid w:val="792768C4"/>
    <w:rsid w:val="79E52DB8"/>
    <w:rsid w:val="7B2E5971"/>
    <w:rsid w:val="7C2E1DAD"/>
    <w:rsid w:val="7C8E0C72"/>
    <w:rsid w:val="7CE168AC"/>
    <w:rsid w:val="7D8C2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rFonts w:ascii="Times New Roman"/>
      <w:b/>
      <w:bCs/>
      <w:kern w:val="44"/>
      <w:sz w:val="30"/>
      <w:szCs w:val="44"/>
    </w:rPr>
  </w:style>
  <w:style w:type="paragraph" w:styleId="3">
    <w:name w:val="heading 2"/>
    <w:basedOn w:val="1"/>
    <w:next w:val="1"/>
    <w:autoRedefine/>
    <w:qFormat/>
    <w:uiPriority w:val="9"/>
    <w:pPr>
      <w:keepNext/>
      <w:keepLines/>
      <w:spacing w:before="260" w:after="260" w:line="415" w:lineRule="auto"/>
      <w:ind w:firstLine="628"/>
      <w:jc w:val="center"/>
      <w:outlineLvl w:val="1"/>
    </w:pPr>
    <w:rPr>
      <w:rFonts w:ascii="Arial" w:hAnsi="Arial" w:eastAsia="黑体"/>
      <w:b/>
      <w:bCs/>
      <w:kern w:val="2"/>
      <w:sz w:val="32"/>
      <w:szCs w:val="32"/>
    </w:rPr>
  </w:style>
  <w:style w:type="paragraph" w:styleId="4">
    <w:name w:val="heading 4"/>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7"/>
    <w:basedOn w:val="1"/>
    <w:autoRedefine/>
    <w:qFormat/>
    <w:uiPriority w:val="1"/>
    <w:pPr>
      <w:ind w:left="577"/>
      <w:outlineLvl w:val="6"/>
    </w:pPr>
    <w:rPr>
      <w:rFonts w:ascii="宋体" w:hAnsi="宋体"/>
      <w:b/>
      <w:bCs/>
      <w:sz w:val="21"/>
      <w:szCs w:val="21"/>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link w:val="30"/>
    <w:autoRedefine/>
    <w:semiHidden/>
    <w:unhideWhenUsed/>
    <w:qFormat/>
    <w:uiPriority w:val="99"/>
    <w:pPr>
      <w:jc w:val="left"/>
    </w:pPr>
  </w:style>
  <w:style w:type="paragraph" w:styleId="7">
    <w:name w:val="Body Text"/>
    <w:basedOn w:val="1"/>
    <w:next w:val="8"/>
    <w:autoRedefine/>
    <w:qFormat/>
    <w:uiPriority w:val="1"/>
    <w:pPr>
      <w:ind w:left="140"/>
    </w:pPr>
    <w:rPr>
      <w:rFonts w:ascii="宋体" w:hAnsi="宋体"/>
      <w:sz w:val="21"/>
      <w:szCs w:val="21"/>
    </w:rPr>
  </w:style>
  <w:style w:type="paragraph" w:styleId="8">
    <w:name w:val="Date"/>
    <w:basedOn w:val="1"/>
    <w:next w:val="1"/>
    <w:qFormat/>
    <w:uiPriority w:val="0"/>
    <w:rPr>
      <w:rFonts w:ascii="Times New Roman"/>
      <w:b/>
      <w:kern w:val="2"/>
      <w:sz w:val="28"/>
    </w:rPr>
  </w:style>
  <w:style w:type="paragraph" w:styleId="9">
    <w:name w:val="Body Text Indent"/>
    <w:basedOn w:val="1"/>
    <w:next w:val="10"/>
    <w:autoRedefine/>
    <w:qFormat/>
    <w:uiPriority w:val="0"/>
    <w:pPr>
      <w:ind w:firstLine="645"/>
    </w:pPr>
    <w:rPr>
      <w:rFonts w:ascii="楷体_GB2312" w:eastAsia="楷体_GB2312"/>
      <w:kern w:val="2"/>
      <w:sz w:val="32"/>
    </w:rPr>
  </w:style>
  <w:style w:type="paragraph" w:styleId="10">
    <w:name w:val="envelope return"/>
    <w:basedOn w:val="1"/>
    <w:qFormat/>
    <w:uiPriority w:val="0"/>
    <w:pPr>
      <w:snapToGrid w:val="0"/>
    </w:pPr>
    <w:rPr>
      <w:rFonts w:ascii="Arial" w:hAnsi="Arial" w:cs="Arial"/>
      <w:szCs w:val="24"/>
    </w:rPr>
  </w:style>
  <w:style w:type="paragraph" w:styleId="11">
    <w:name w:val="Plain Text"/>
    <w:basedOn w:val="1"/>
    <w:autoRedefine/>
    <w:qFormat/>
    <w:uiPriority w:val="0"/>
    <w:rPr>
      <w:rFonts w:hAnsi="Courier New"/>
      <w:kern w:val="2"/>
      <w:sz w:val="21"/>
    </w:rPr>
  </w:style>
  <w:style w:type="paragraph" w:styleId="12">
    <w:name w:val="Balloon Text"/>
    <w:basedOn w:val="1"/>
    <w:link w:val="32"/>
    <w:autoRedefine/>
    <w:semiHidden/>
    <w:unhideWhenUsed/>
    <w:qFormat/>
    <w:uiPriority w:val="99"/>
    <w:rPr>
      <w:sz w:val="18"/>
      <w:szCs w:val="18"/>
    </w:rPr>
  </w:style>
  <w:style w:type="paragraph" w:styleId="13">
    <w:name w:val="footer"/>
    <w:basedOn w:val="1"/>
    <w:link w:val="28"/>
    <w:autoRedefine/>
    <w:unhideWhenUsed/>
    <w:qFormat/>
    <w:uiPriority w:val="99"/>
    <w:pPr>
      <w:tabs>
        <w:tab w:val="center" w:pos="4153"/>
        <w:tab w:val="right" w:pos="8306"/>
      </w:tabs>
      <w:snapToGrid w:val="0"/>
      <w:jc w:val="left"/>
    </w:pPr>
    <w:rPr>
      <w:sz w:val="18"/>
      <w:szCs w:val="18"/>
    </w:rPr>
  </w:style>
  <w:style w:type="paragraph" w:styleId="14">
    <w:name w:val="header"/>
    <w:basedOn w:val="1"/>
    <w:link w:val="2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autoRedefine/>
    <w:qFormat/>
    <w:uiPriority w:val="0"/>
    <w:pPr>
      <w:ind w:firstLine="645"/>
    </w:pPr>
    <w:rPr>
      <w:rFonts w:ascii="仿宋_GB2312" w:hAnsi="Arial" w:eastAsia="仿宋_GB2312"/>
      <w:color w:val="000000"/>
      <w:sz w:val="30"/>
    </w:rPr>
  </w:style>
  <w:style w:type="paragraph" w:styleId="16">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autoRedefine/>
    <w:unhideWhenUsed/>
    <w:qFormat/>
    <w:uiPriority w:val="99"/>
    <w:pPr>
      <w:spacing w:before="100" w:beforeAutospacing="1" w:after="100" w:afterAutospacing="1"/>
      <w:jc w:val="left"/>
    </w:pPr>
    <w:rPr>
      <w:kern w:val="0"/>
      <w:sz w:val="24"/>
      <w:szCs w:val="22"/>
    </w:rPr>
  </w:style>
  <w:style w:type="paragraph" w:styleId="18">
    <w:name w:val="annotation subject"/>
    <w:basedOn w:val="6"/>
    <w:next w:val="6"/>
    <w:link w:val="31"/>
    <w:autoRedefine/>
    <w:semiHidden/>
    <w:unhideWhenUsed/>
    <w:qFormat/>
    <w:uiPriority w:val="99"/>
    <w:rPr>
      <w:b/>
      <w:bCs/>
    </w:rPr>
  </w:style>
  <w:style w:type="paragraph" w:styleId="19">
    <w:name w:val="Body Text First Indent 2"/>
    <w:basedOn w:val="9"/>
    <w:autoRedefine/>
    <w:qFormat/>
    <w:uiPriority w:val="0"/>
    <w:pPr>
      <w:ind w:left="420" w:leftChars="200" w:firstLine="420" w:firstLineChars="200"/>
    </w:pPr>
  </w:style>
  <w:style w:type="table" w:styleId="21">
    <w:name w:val="Table Grid"/>
    <w:basedOn w:val="20"/>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3">
    <w:name w:val="Strong"/>
    <w:basedOn w:val="22"/>
    <w:autoRedefine/>
    <w:qFormat/>
    <w:uiPriority w:val="22"/>
    <w:rPr>
      <w:b/>
    </w:rPr>
  </w:style>
  <w:style w:type="character" w:styleId="24">
    <w:name w:val="page number"/>
    <w:basedOn w:val="22"/>
    <w:autoRedefine/>
    <w:qFormat/>
    <w:uiPriority w:val="0"/>
  </w:style>
  <w:style w:type="character" w:styleId="25">
    <w:name w:val="annotation reference"/>
    <w:basedOn w:val="22"/>
    <w:autoRedefine/>
    <w:semiHidden/>
    <w:unhideWhenUsed/>
    <w:qFormat/>
    <w:uiPriority w:val="99"/>
    <w:rPr>
      <w:sz w:val="21"/>
      <w:szCs w:val="21"/>
    </w:rPr>
  </w:style>
  <w:style w:type="paragraph" w:customStyle="1" w:styleId="2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27">
    <w:name w:val="页眉 Char"/>
    <w:basedOn w:val="22"/>
    <w:link w:val="14"/>
    <w:autoRedefine/>
    <w:qFormat/>
    <w:uiPriority w:val="99"/>
    <w:rPr>
      <w:sz w:val="18"/>
      <w:szCs w:val="18"/>
    </w:rPr>
  </w:style>
  <w:style w:type="character" w:customStyle="1" w:styleId="28">
    <w:name w:val="页脚 Char"/>
    <w:basedOn w:val="22"/>
    <w:link w:val="13"/>
    <w:autoRedefine/>
    <w:qFormat/>
    <w:uiPriority w:val="99"/>
    <w:rPr>
      <w:sz w:val="18"/>
      <w:szCs w:val="18"/>
    </w:rPr>
  </w:style>
  <w:style w:type="paragraph" w:customStyle="1" w:styleId="29">
    <w:name w:val="Char Char Char Char Char Char Char Char Char Char"/>
    <w:basedOn w:val="1"/>
    <w:autoRedefine/>
    <w:qFormat/>
    <w:uiPriority w:val="0"/>
    <w:rPr>
      <w:rFonts w:ascii="Tahoma" w:hAnsi="Tahoma" w:eastAsia="宋体" w:cs="仿宋_GB2312"/>
      <w:sz w:val="24"/>
      <w:szCs w:val="20"/>
    </w:rPr>
  </w:style>
  <w:style w:type="character" w:customStyle="1" w:styleId="30">
    <w:name w:val="批注文字 Char"/>
    <w:basedOn w:val="22"/>
    <w:link w:val="6"/>
    <w:autoRedefine/>
    <w:semiHidden/>
    <w:qFormat/>
    <w:uiPriority w:val="99"/>
  </w:style>
  <w:style w:type="character" w:customStyle="1" w:styleId="31">
    <w:name w:val="批注主题 Char"/>
    <w:basedOn w:val="30"/>
    <w:link w:val="18"/>
    <w:autoRedefine/>
    <w:semiHidden/>
    <w:qFormat/>
    <w:uiPriority w:val="99"/>
    <w:rPr>
      <w:b/>
      <w:bCs/>
    </w:rPr>
  </w:style>
  <w:style w:type="character" w:customStyle="1" w:styleId="32">
    <w:name w:val="批注框文本 Char"/>
    <w:basedOn w:val="22"/>
    <w:link w:val="12"/>
    <w:autoRedefine/>
    <w:semiHidden/>
    <w:qFormat/>
    <w:uiPriority w:val="99"/>
    <w:rPr>
      <w:sz w:val="18"/>
      <w:szCs w:val="18"/>
    </w:rPr>
  </w:style>
  <w:style w:type="paragraph" w:styleId="33">
    <w:name w:val="List Paragraph"/>
    <w:basedOn w:val="1"/>
    <w:autoRedefine/>
    <w:unhideWhenUsed/>
    <w:qFormat/>
    <w:uiPriority w:val="99"/>
    <w:pPr>
      <w:ind w:firstLine="420" w:firstLineChars="200"/>
    </w:pPr>
  </w:style>
  <w:style w:type="paragraph" w:customStyle="1" w:styleId="34">
    <w:name w:val="Table Text"/>
    <w:basedOn w:val="1"/>
    <w:autoRedefine/>
    <w:qFormat/>
    <w:uiPriority w:val="0"/>
    <w:pPr>
      <w:widowControl/>
      <w:kinsoku w:val="0"/>
      <w:autoSpaceDE w:val="0"/>
      <w:autoSpaceDN w:val="0"/>
      <w:adjustRightInd w:val="0"/>
      <w:snapToGrid w:val="0"/>
      <w:textAlignment w:val="baseline"/>
    </w:pPr>
    <w:rPr>
      <w:rFonts w:ascii="宋体" w:hAnsi="宋体"/>
      <w:snapToGrid w:val="0"/>
      <w:color w:val="000000"/>
      <w:sz w:val="26"/>
      <w:szCs w:val="26"/>
    </w:rPr>
  </w:style>
  <w:style w:type="table" w:customStyle="1" w:styleId="35">
    <w:name w:val="Table Normal"/>
    <w:autoRedefine/>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36">
    <w:name w:val="Char Char Char Char Char Char Char1 Char"/>
    <w:basedOn w:val="1"/>
    <w:autoRedefine/>
    <w:qFormat/>
    <w:uiPriority w:val="0"/>
    <w:rPr>
      <w:rFonts w:ascii="Tahoma" w:hAnsi="Tahoma"/>
      <w:sz w:val="24"/>
    </w:rPr>
  </w:style>
  <w:style w:type="character" w:customStyle="1" w:styleId="37">
    <w:name w:val="font21"/>
    <w:basedOn w:val="22"/>
    <w:autoRedefine/>
    <w:qFormat/>
    <w:uiPriority w:val="0"/>
    <w:rPr>
      <w:rFonts w:hint="eastAsia" w:ascii="宋体" w:hAnsi="宋体" w:eastAsia="宋体" w:cs="宋体"/>
      <w:b/>
      <w:bCs/>
      <w:color w:val="000000"/>
      <w:sz w:val="40"/>
      <w:szCs w:val="40"/>
      <w:u w:val="none"/>
    </w:rPr>
  </w:style>
  <w:style w:type="character" w:customStyle="1" w:styleId="38">
    <w:name w:val="font71"/>
    <w:basedOn w:val="22"/>
    <w:autoRedefine/>
    <w:qFormat/>
    <w:uiPriority w:val="0"/>
    <w:rPr>
      <w:rFonts w:hint="eastAsia" w:ascii="宋体" w:hAnsi="宋体" w:eastAsia="宋体" w:cs="宋体"/>
      <w:b/>
      <w:bCs/>
      <w:color w:val="000000"/>
      <w:sz w:val="40"/>
      <w:szCs w:val="40"/>
      <w:u w:val="single"/>
    </w:rPr>
  </w:style>
  <w:style w:type="character" w:customStyle="1" w:styleId="39">
    <w:name w:val="font91"/>
    <w:basedOn w:val="22"/>
    <w:autoRedefine/>
    <w:qFormat/>
    <w:uiPriority w:val="0"/>
    <w:rPr>
      <w:rFonts w:hint="default" w:ascii="方正小标宋简体" w:hAnsi="方正小标宋简体" w:eastAsia="方正小标宋简体" w:cs="方正小标宋简体"/>
      <w:color w:val="000000"/>
      <w:sz w:val="40"/>
      <w:szCs w:val="40"/>
      <w:u w:val="single"/>
    </w:rPr>
  </w:style>
  <w:style w:type="character" w:customStyle="1" w:styleId="40">
    <w:name w:val="font111"/>
    <w:basedOn w:val="22"/>
    <w:autoRedefine/>
    <w:qFormat/>
    <w:uiPriority w:val="0"/>
    <w:rPr>
      <w:rFonts w:hint="eastAsia" w:ascii="宋体" w:hAnsi="宋体" w:eastAsia="宋体" w:cs="宋体"/>
      <w:color w:val="000000"/>
      <w:sz w:val="40"/>
      <w:szCs w:val="40"/>
      <w:u w:val="single"/>
    </w:rPr>
  </w:style>
  <w:style w:type="character" w:customStyle="1" w:styleId="41">
    <w:name w:val="font141"/>
    <w:basedOn w:val="22"/>
    <w:autoRedefine/>
    <w:qFormat/>
    <w:uiPriority w:val="0"/>
    <w:rPr>
      <w:rFonts w:hint="eastAsia" w:ascii="宋体" w:hAnsi="宋体" w:eastAsia="宋体" w:cs="宋体"/>
      <w:color w:val="000000"/>
      <w:sz w:val="20"/>
      <w:szCs w:val="20"/>
      <w:u w:val="single"/>
    </w:rPr>
  </w:style>
  <w:style w:type="character" w:customStyle="1" w:styleId="42">
    <w:name w:val="font151"/>
    <w:basedOn w:val="22"/>
    <w:autoRedefine/>
    <w:qFormat/>
    <w:uiPriority w:val="0"/>
    <w:rPr>
      <w:rFonts w:hint="eastAsia" w:ascii="宋体" w:hAnsi="宋体" w:eastAsia="宋体" w:cs="宋体"/>
      <w:color w:val="000000"/>
      <w:sz w:val="20"/>
      <w:szCs w:val="20"/>
      <w:u w:val="single"/>
    </w:rPr>
  </w:style>
  <w:style w:type="paragraph" w:customStyle="1" w:styleId="43">
    <w:name w:val="xl31"/>
    <w:basedOn w:val="1"/>
    <w:autoRedefine/>
    <w:qFormat/>
    <w:uiPriority w:val="0"/>
    <w:pPr>
      <w:widowControl/>
      <w:spacing w:before="100" w:beforeAutospacing="1" w:after="100" w:afterAutospacing="1"/>
      <w:jc w:val="center"/>
    </w:pPr>
    <w:rPr>
      <w:rFonts w:hAnsi="宋体"/>
      <w:b/>
      <w:bCs/>
      <w:sz w:val="28"/>
      <w:szCs w:val="28"/>
    </w:rPr>
  </w:style>
  <w:style w:type="paragraph" w:customStyle="1" w:styleId="44">
    <w:name w:val="Table Paragraph"/>
    <w:basedOn w:val="1"/>
    <w:autoRedefine/>
    <w:qFormat/>
    <w:uiPriority w:val="1"/>
    <w:pPr>
      <w:autoSpaceDE w:val="0"/>
      <w:autoSpaceDN w:val="0"/>
      <w:jc w:val="left"/>
    </w:pPr>
    <w:rPr>
      <w:rFonts w:ascii="仿宋_GB2312" w:hAnsi="仿宋_GB2312" w:eastAsia="仿宋_GB2312" w:cs="仿宋_GB2312"/>
      <w:kern w:val="0"/>
      <w:sz w:val="22"/>
      <w:szCs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18</Pages>
  <Words>3342</Words>
  <Characters>3380</Characters>
  <Lines>5</Lines>
  <Paragraphs>1</Paragraphs>
  <TotalTime>33</TotalTime>
  <ScaleCrop>false</ScaleCrop>
  <LinksUpToDate>false</LinksUpToDate>
  <CharactersWithSpaces>3601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2022-02-22T02:05:00Z</dcterms:created>
  <dc:creator>wangcheng</dc:creator>
  <cp:lastModifiedBy>贾春燕</cp:lastModifiedBy>
  <cp:lastPrinted>2025-06-03T01:19:00Z</cp:lastPrinted>
  <dcterms:modified xsi:type="dcterms:W3CDTF">2026-09-18T08:46:38Z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7488DFEC4CED446C8B360F87974074DD_13</vt:lpwstr>
  </property>
  <property fmtid="{D5CDD505-2E9C-101B-9397-08002B2CF9AE}" pid="4" name="KSOTemplateDocerSaveRecord">
    <vt:lpwstr>eyJoZGlkIjoiN2Q3MTdkNjg2OTczZjUxZjQ2ZWE4NGI1YjY4YWMxMTkiLCJ1c2VySWQiOiIxNjY3NzU4MTgzIn0=</vt:lpwstr>
  </property>
</Properties>
</file>