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5"/>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5"/>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19"/>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6"/>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2774249"/>
      <w:bookmarkStart w:id="2" w:name="_Toc461053086"/>
      <w:bookmarkStart w:id="3" w:name="_Toc461056631"/>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524C5984">
            <w:pPr>
              <w:snapToGrid w:val="0"/>
              <w:spacing w:line="360" w:lineRule="auto"/>
              <w:ind w:firstLine="826" w:firstLineChars="392"/>
              <w:rPr>
                <w:rFonts w:hint="default" w:hAnsi="宋体"/>
                <w:b/>
                <w:color w:val="000000"/>
                <w:highlight w:val="yellow"/>
                <w:u w:val="single"/>
                <w:lang w:val="en-US" w:eastAsia="zh-CN"/>
              </w:rPr>
            </w:pPr>
            <w:r>
              <w:rPr>
                <w:rFonts w:hint="default" w:hAnsi="宋体"/>
                <w:b/>
                <w:color w:val="000000"/>
                <w:highlight w:val="yellow"/>
                <w:u w:val="single"/>
                <w:lang w:val="en-US" w:eastAsia="zh-CN"/>
              </w:rPr>
              <w:t>费率           %</w:t>
            </w:r>
          </w:p>
          <w:p w14:paraId="050347F9">
            <w:pPr>
              <w:snapToGrid w:val="0"/>
              <w:spacing w:line="360" w:lineRule="auto"/>
              <w:ind w:firstLine="826" w:firstLineChars="392"/>
              <w:rPr>
                <w:rFonts w:hint="default" w:hAnsi="宋体"/>
                <w:b/>
                <w:color w:val="000000"/>
                <w:highlight w:val="yellow"/>
                <w:u w:val="single"/>
                <w:lang w:val="en-US" w:eastAsia="zh-CN"/>
              </w:rPr>
            </w:pP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Ansi="宋体"/>
                <w:b/>
                <w:color w:val="000000"/>
              </w:rPr>
            </w:pP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2"/>
        <w:ind w:left="438" w:firstLine="600"/>
        <w:rPr>
          <w:rFonts w:hAnsi="宋体"/>
          <w:b/>
          <w:bCs/>
          <w:color w:val="000000"/>
          <w:szCs w:val="28"/>
        </w:rPr>
      </w:pPr>
    </w:p>
    <w:p w14:paraId="71CF0248">
      <w:pPr>
        <w:pStyle w:val="2"/>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3"/>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1"/>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1"/>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1"/>
        <w:snapToGrid w:val="0"/>
        <w:spacing w:line="360" w:lineRule="auto"/>
        <w:ind w:firstLine="480" w:firstLineChars="200"/>
        <w:jc w:val="left"/>
        <w:rPr>
          <w:rFonts w:hAnsi="宋体"/>
          <w:color w:val="000000"/>
          <w:sz w:val="24"/>
        </w:rPr>
      </w:pPr>
    </w:p>
    <w:p w14:paraId="5C543F25">
      <w:pPr>
        <w:pStyle w:val="11"/>
        <w:snapToGrid w:val="0"/>
        <w:spacing w:line="360" w:lineRule="auto"/>
        <w:ind w:firstLine="480" w:firstLineChars="200"/>
        <w:jc w:val="left"/>
        <w:rPr>
          <w:rFonts w:hAnsi="宋体"/>
          <w:color w:val="000000"/>
          <w:sz w:val="24"/>
        </w:rPr>
      </w:pPr>
    </w:p>
    <w:p w14:paraId="6BD64A3D">
      <w:pPr>
        <w:pStyle w:val="11"/>
        <w:snapToGrid w:val="0"/>
        <w:spacing w:line="360" w:lineRule="auto"/>
        <w:ind w:firstLine="480" w:firstLineChars="200"/>
        <w:jc w:val="left"/>
        <w:rPr>
          <w:rFonts w:hAnsi="宋体"/>
          <w:color w:val="000000"/>
          <w:sz w:val="24"/>
        </w:rPr>
      </w:pPr>
    </w:p>
    <w:p w14:paraId="3A2F8966">
      <w:pPr>
        <w:pStyle w:val="11"/>
        <w:snapToGrid w:val="0"/>
        <w:spacing w:line="360" w:lineRule="auto"/>
        <w:ind w:firstLine="480" w:firstLineChars="200"/>
        <w:jc w:val="left"/>
        <w:rPr>
          <w:rFonts w:hAnsi="宋体"/>
          <w:color w:val="000000"/>
          <w:sz w:val="24"/>
        </w:rPr>
      </w:pPr>
    </w:p>
    <w:p w14:paraId="4BE2B662">
      <w:pPr>
        <w:pStyle w:val="11"/>
        <w:snapToGrid w:val="0"/>
        <w:spacing w:line="360" w:lineRule="auto"/>
        <w:ind w:firstLine="480" w:firstLineChars="200"/>
        <w:jc w:val="left"/>
        <w:rPr>
          <w:rFonts w:hAnsi="宋体"/>
          <w:color w:val="000000"/>
          <w:sz w:val="24"/>
        </w:rPr>
      </w:pPr>
    </w:p>
    <w:p w14:paraId="7AA63C25">
      <w:pPr>
        <w:pStyle w:val="11"/>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1"/>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1"/>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3835936"/>
      <w:bookmarkStart w:id="7" w:name="_Toc438648630"/>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1D8F454C">
      <w:pPr>
        <w:jc w:val="center"/>
        <w:rPr>
          <w:rFonts w:hint="eastAsia" w:hAnsi="宋体"/>
          <w:b/>
          <w:color w:val="000000"/>
          <w:sz w:val="32"/>
          <w:szCs w:val="32"/>
          <w:lang w:val="en-US" w:eastAsia="zh-CN"/>
        </w:rPr>
      </w:pPr>
      <w:bookmarkStart w:id="8" w:name="OLE_LINK3"/>
      <w:r>
        <w:rPr>
          <w:rFonts w:hint="eastAsia" w:hAnsi="宋体"/>
          <w:b/>
          <w:color w:val="000000"/>
          <w:sz w:val="32"/>
          <w:szCs w:val="32"/>
          <w:lang w:val="en-US" w:eastAsia="zh-CN"/>
        </w:rPr>
        <w:t>采购项目需求表</w:t>
      </w:r>
    </w:p>
    <w:bookmarkEnd w:id="8"/>
    <w:tbl>
      <w:tblPr>
        <w:tblStyle w:val="19"/>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47"/>
        <w:gridCol w:w="6638"/>
      </w:tblGrid>
      <w:tr w14:paraId="35E6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73ED4803">
            <w:pPr>
              <w:jc w:val="center"/>
              <w:rPr>
                <w:rFonts w:hAnsi="宋体"/>
                <w:b/>
                <w:color w:val="000000"/>
              </w:rPr>
            </w:pPr>
            <w:r>
              <w:rPr>
                <w:rFonts w:hint="eastAsia" w:hAnsi="宋体"/>
                <w:b/>
                <w:color w:val="000000"/>
              </w:rPr>
              <w:t>序号</w:t>
            </w:r>
          </w:p>
        </w:tc>
        <w:tc>
          <w:tcPr>
            <w:tcW w:w="1447" w:type="dxa"/>
            <w:vAlign w:val="center"/>
          </w:tcPr>
          <w:p w14:paraId="2F21F3BE">
            <w:pPr>
              <w:jc w:val="center"/>
              <w:rPr>
                <w:rFonts w:hAnsi="宋体"/>
                <w:b/>
                <w:color w:val="000000"/>
              </w:rPr>
            </w:pPr>
            <w:r>
              <w:rPr>
                <w:rFonts w:hint="eastAsia" w:hAnsi="宋体"/>
                <w:b/>
                <w:color w:val="000000"/>
              </w:rPr>
              <w:t>内容</w:t>
            </w:r>
          </w:p>
        </w:tc>
        <w:tc>
          <w:tcPr>
            <w:tcW w:w="6638" w:type="dxa"/>
            <w:vAlign w:val="center"/>
          </w:tcPr>
          <w:p w14:paraId="6FC0F3A1">
            <w:pPr>
              <w:pStyle w:val="42"/>
              <w:widowControl w:val="0"/>
              <w:spacing w:before="0" w:beforeAutospacing="0" w:after="0" w:afterAutospacing="0"/>
              <w:rPr>
                <w:bCs w:val="0"/>
                <w:color w:val="000000"/>
                <w:kern w:val="2"/>
                <w:sz w:val="24"/>
                <w:szCs w:val="20"/>
              </w:rPr>
            </w:pPr>
            <w:r>
              <w:rPr>
                <w:rFonts w:hint="eastAsia"/>
                <w:bCs w:val="0"/>
                <w:color w:val="000000"/>
                <w:kern w:val="2"/>
                <w:sz w:val="24"/>
                <w:szCs w:val="20"/>
              </w:rPr>
              <w:t>说明与要求</w:t>
            </w:r>
          </w:p>
        </w:tc>
      </w:tr>
      <w:tr w14:paraId="60DF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3A733189">
            <w:pPr>
              <w:jc w:val="center"/>
              <w:rPr>
                <w:rFonts w:hAnsi="宋体"/>
                <w:bCs/>
                <w:color w:val="000000"/>
                <w:sz w:val="24"/>
                <w:szCs w:val="24"/>
              </w:rPr>
            </w:pPr>
            <w:r>
              <w:rPr>
                <w:rFonts w:hint="eastAsia" w:hAnsi="宋体"/>
                <w:bCs/>
                <w:color w:val="000000"/>
                <w:sz w:val="24"/>
                <w:szCs w:val="24"/>
              </w:rPr>
              <w:t>1</w:t>
            </w:r>
          </w:p>
        </w:tc>
        <w:tc>
          <w:tcPr>
            <w:tcW w:w="1447" w:type="dxa"/>
            <w:vAlign w:val="center"/>
          </w:tcPr>
          <w:p w14:paraId="1CC3B97C">
            <w:pPr>
              <w:jc w:val="center"/>
              <w:rPr>
                <w:rFonts w:hint="default" w:hAnsi="宋体" w:eastAsia="宋体"/>
                <w:b w:val="0"/>
                <w:bCs/>
                <w:color w:val="000000"/>
                <w:sz w:val="24"/>
                <w:szCs w:val="24"/>
                <w:lang w:val="en-US" w:eastAsia="zh-CN"/>
              </w:rPr>
            </w:pPr>
            <w:r>
              <w:rPr>
                <w:rFonts w:hint="eastAsia" w:hAnsi="宋体"/>
                <w:b w:val="0"/>
                <w:bCs/>
                <w:color w:val="000000"/>
                <w:sz w:val="24"/>
                <w:szCs w:val="24"/>
                <w:lang w:val="en-US" w:eastAsia="zh-CN"/>
              </w:rPr>
              <w:t>项目名称</w:t>
            </w:r>
          </w:p>
        </w:tc>
        <w:tc>
          <w:tcPr>
            <w:tcW w:w="6638" w:type="dxa"/>
            <w:vAlign w:val="center"/>
          </w:tcPr>
          <w:p w14:paraId="111D61DD">
            <w:pPr>
              <w:spacing w:line="360" w:lineRule="exact"/>
              <w:jc w:val="left"/>
              <w:rPr>
                <w:rFonts w:hint="default"/>
                <w:b w:val="0"/>
                <w:bCs/>
                <w:color w:val="000000"/>
                <w:sz w:val="24"/>
                <w:szCs w:val="24"/>
                <w:lang w:val="en-US"/>
              </w:rPr>
            </w:pPr>
            <w:r>
              <w:rPr>
                <w:rFonts w:hint="eastAsia" w:cs="Times New Roman"/>
                <w:b w:val="0"/>
                <w:bCs/>
                <w:sz w:val="24"/>
                <w:szCs w:val="24"/>
                <w:lang w:val="en-US" w:eastAsia="zh-CN"/>
              </w:rPr>
              <w:t>2026年高刘污水处理厂委托检测服务</w:t>
            </w:r>
            <w:bookmarkStart w:id="9" w:name="_GoBack"/>
            <w:bookmarkEnd w:id="9"/>
          </w:p>
        </w:tc>
      </w:tr>
      <w:tr w14:paraId="01AF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37D8E701">
            <w:pPr>
              <w:jc w:val="center"/>
              <w:rPr>
                <w:rFonts w:hint="eastAsia" w:hAnsi="宋体" w:eastAsia="宋体"/>
                <w:bCs/>
                <w:color w:val="000000"/>
                <w:sz w:val="24"/>
                <w:szCs w:val="24"/>
                <w:lang w:val="en-US" w:eastAsia="zh-CN"/>
              </w:rPr>
            </w:pPr>
            <w:r>
              <w:rPr>
                <w:rFonts w:hint="eastAsia" w:hAnsi="宋体"/>
                <w:bCs/>
                <w:color w:val="000000"/>
                <w:sz w:val="24"/>
                <w:szCs w:val="24"/>
                <w:lang w:val="en-US" w:eastAsia="zh-CN"/>
              </w:rPr>
              <w:t>2</w:t>
            </w:r>
          </w:p>
        </w:tc>
        <w:tc>
          <w:tcPr>
            <w:tcW w:w="1447" w:type="dxa"/>
            <w:vAlign w:val="center"/>
          </w:tcPr>
          <w:p w14:paraId="66D6C405">
            <w:pPr>
              <w:jc w:val="center"/>
              <w:rPr>
                <w:rFonts w:hint="eastAsia" w:hAnsi="宋体"/>
                <w:b w:val="0"/>
                <w:bCs/>
                <w:color w:val="000000"/>
                <w:sz w:val="24"/>
                <w:szCs w:val="24"/>
                <w:lang w:val="en-US" w:eastAsia="zh-CN"/>
              </w:rPr>
            </w:pPr>
            <w:r>
              <w:rPr>
                <w:rFonts w:hint="eastAsia" w:ascii="宋体" w:hAnsi="宋体"/>
                <w:b w:val="0"/>
                <w:bCs/>
                <w:sz w:val="24"/>
                <w:szCs w:val="24"/>
                <w:lang w:val="en-US" w:eastAsia="zh-CN"/>
              </w:rPr>
              <w:t>需求单位</w:t>
            </w:r>
          </w:p>
        </w:tc>
        <w:tc>
          <w:tcPr>
            <w:tcW w:w="6638" w:type="dxa"/>
            <w:vAlign w:val="center"/>
          </w:tcPr>
          <w:p w14:paraId="032488D7">
            <w:pPr>
              <w:autoSpaceDE w:val="0"/>
              <w:autoSpaceDN w:val="0"/>
              <w:adjustRightInd w:val="0"/>
              <w:spacing w:line="360" w:lineRule="auto"/>
              <w:jc w:val="left"/>
              <w:rPr>
                <w:rFonts w:hint="eastAsia" w:cs="Times New Roman"/>
                <w:b w:val="0"/>
                <w:bCs/>
                <w:sz w:val="24"/>
                <w:szCs w:val="24"/>
                <w:lang w:val="en-US" w:eastAsia="zh-CN"/>
              </w:rPr>
            </w:pPr>
            <w:r>
              <w:rPr>
                <w:rFonts w:hint="eastAsia" w:ascii="宋体" w:hAnsi="宋体"/>
                <w:b w:val="0"/>
                <w:bCs/>
                <w:color w:val="000000"/>
                <w:sz w:val="24"/>
                <w:szCs w:val="24"/>
                <w:lang w:val="en-US" w:eastAsia="zh-CN"/>
              </w:rPr>
              <w:t>合肥金晶水务有限公司</w:t>
            </w:r>
          </w:p>
        </w:tc>
      </w:tr>
      <w:tr w14:paraId="05CB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5CCBD71F">
            <w:pPr>
              <w:jc w:val="center"/>
              <w:rPr>
                <w:rFonts w:hAnsi="宋体"/>
                <w:bCs/>
                <w:color w:val="000000"/>
                <w:sz w:val="24"/>
                <w:szCs w:val="24"/>
              </w:rPr>
            </w:pPr>
            <w:r>
              <w:rPr>
                <w:rFonts w:hint="eastAsia" w:hAnsi="宋体"/>
                <w:bCs/>
                <w:color w:val="000000"/>
                <w:sz w:val="24"/>
                <w:szCs w:val="24"/>
              </w:rPr>
              <w:t>2</w:t>
            </w:r>
          </w:p>
        </w:tc>
        <w:tc>
          <w:tcPr>
            <w:tcW w:w="1447" w:type="dxa"/>
            <w:vAlign w:val="center"/>
          </w:tcPr>
          <w:p w14:paraId="3A2FE7AD">
            <w:pPr>
              <w:jc w:val="center"/>
              <w:rPr>
                <w:rFonts w:hint="eastAsia" w:hAnsi="宋体" w:eastAsia="宋体"/>
                <w:color w:val="000000"/>
                <w:sz w:val="24"/>
                <w:szCs w:val="24"/>
                <w:lang w:eastAsia="zh-CN"/>
              </w:rPr>
            </w:pPr>
            <w:r>
              <w:rPr>
                <w:rFonts w:hint="eastAsia" w:hAnsi="宋体"/>
                <w:color w:val="000000"/>
                <w:sz w:val="24"/>
                <w:szCs w:val="24"/>
              </w:rPr>
              <w:t>项目</w:t>
            </w:r>
            <w:r>
              <w:rPr>
                <w:rFonts w:hint="eastAsia" w:hAnsi="宋体"/>
                <w:color w:val="000000"/>
                <w:sz w:val="24"/>
                <w:szCs w:val="24"/>
                <w:lang w:val="en-US" w:eastAsia="zh-CN"/>
              </w:rPr>
              <w:t>概况</w:t>
            </w:r>
          </w:p>
        </w:tc>
        <w:tc>
          <w:tcPr>
            <w:tcW w:w="6638" w:type="dxa"/>
            <w:vAlign w:val="center"/>
          </w:tcPr>
          <w:p w14:paraId="5CD870C7">
            <w:pPr>
              <w:spacing w:line="360" w:lineRule="auto"/>
              <w:rPr>
                <w:rFonts w:hint="default" w:eastAsia="宋体"/>
                <w:b w:val="0"/>
                <w:bCs w:val="0"/>
                <w:color w:val="000000"/>
                <w:sz w:val="24"/>
                <w:szCs w:val="24"/>
                <w:lang w:val="en-US" w:eastAsia="zh-CN"/>
              </w:rPr>
            </w:pPr>
            <w:r>
              <w:rPr>
                <w:rFonts w:hint="eastAsia" w:ascii="宋体"/>
                <w:bCs/>
                <w:sz w:val="24"/>
                <w:szCs w:val="24"/>
              </w:rPr>
              <w:t>高</w:t>
            </w:r>
            <w:r>
              <w:rPr>
                <w:rFonts w:hint="eastAsia"/>
                <w:bCs/>
                <w:sz w:val="24"/>
                <w:szCs w:val="24"/>
                <w:lang w:val="en-US" w:eastAsia="zh-CN"/>
              </w:rPr>
              <w:t>刘</w:t>
            </w:r>
            <w:r>
              <w:rPr>
                <w:rFonts w:hint="eastAsia" w:ascii="宋体"/>
                <w:bCs/>
                <w:sz w:val="24"/>
                <w:szCs w:val="24"/>
              </w:rPr>
              <w:t>污水处理厂项目位于合肥经开北区高刘街道，根据《排污单位自行监测技术指南 水处理)》(HJ 1083-2020),高刘污水处理厂排污许可自行监测规定等文件要求，为加强污染源监测管理</w:t>
            </w:r>
            <w:r>
              <w:rPr>
                <w:rFonts w:hint="eastAsia"/>
                <w:bCs/>
                <w:sz w:val="24"/>
                <w:szCs w:val="24"/>
                <w:lang w:eastAsia="zh-CN"/>
              </w:rPr>
              <w:t>、</w:t>
            </w:r>
            <w:r>
              <w:rPr>
                <w:rFonts w:hint="eastAsia"/>
                <w:bCs/>
                <w:sz w:val="24"/>
                <w:szCs w:val="24"/>
                <w:lang w:val="en-US" w:eastAsia="zh-CN"/>
              </w:rPr>
              <w:t>管网水质掌握、在线监测设备管理，</w:t>
            </w:r>
            <w:r>
              <w:rPr>
                <w:rFonts w:hint="eastAsia" w:ascii="宋体"/>
                <w:bCs/>
                <w:sz w:val="24"/>
                <w:szCs w:val="24"/>
              </w:rPr>
              <w:t>确保出水稳定达标，拟对高刘污水处理厂自行</w:t>
            </w:r>
            <w:r>
              <w:rPr>
                <w:rFonts w:hint="eastAsia"/>
                <w:bCs/>
                <w:sz w:val="24"/>
                <w:szCs w:val="24"/>
                <w:lang w:val="en-US" w:eastAsia="zh-CN"/>
              </w:rPr>
              <w:t>监测</w:t>
            </w:r>
            <w:r>
              <w:rPr>
                <w:rFonts w:hint="eastAsia" w:ascii="宋体"/>
                <w:bCs/>
                <w:sz w:val="24"/>
                <w:szCs w:val="24"/>
              </w:rPr>
              <w:t>中手工</w:t>
            </w:r>
            <w:r>
              <w:rPr>
                <w:rFonts w:hint="eastAsia"/>
                <w:bCs/>
                <w:sz w:val="24"/>
                <w:szCs w:val="24"/>
                <w:lang w:val="en-US" w:eastAsia="zh-CN"/>
              </w:rPr>
              <w:t>检测</w:t>
            </w:r>
            <w:r>
              <w:rPr>
                <w:rFonts w:hint="eastAsia"/>
                <w:bCs/>
                <w:sz w:val="24"/>
                <w:szCs w:val="24"/>
                <w:lang w:eastAsia="zh-CN"/>
              </w:rPr>
              <w:t>，</w:t>
            </w:r>
            <w:r>
              <w:rPr>
                <w:rFonts w:hint="eastAsia"/>
                <w:bCs/>
                <w:sz w:val="24"/>
                <w:szCs w:val="24"/>
                <w:lang w:val="en-US" w:eastAsia="zh-CN"/>
              </w:rPr>
              <w:t>以及厂区5台在线监测设备月度比对检测</w:t>
            </w:r>
            <w:r>
              <w:rPr>
                <w:rFonts w:hint="eastAsia" w:ascii="宋体"/>
                <w:bCs/>
                <w:sz w:val="24"/>
                <w:szCs w:val="24"/>
              </w:rPr>
              <w:t>进行委托招标，经估算</w:t>
            </w:r>
            <w:r>
              <w:rPr>
                <w:rFonts w:hint="eastAsia"/>
                <w:bCs/>
                <w:sz w:val="24"/>
                <w:szCs w:val="24"/>
                <w:lang w:val="en-US" w:eastAsia="zh-CN"/>
              </w:rPr>
              <w:t>项目</w:t>
            </w:r>
            <w:r>
              <w:rPr>
                <w:rFonts w:hint="eastAsia" w:ascii="宋体"/>
                <w:bCs/>
                <w:sz w:val="24"/>
                <w:szCs w:val="24"/>
              </w:rPr>
              <w:t>费用</w:t>
            </w:r>
            <w:r>
              <w:rPr>
                <w:rFonts w:hint="eastAsia" w:hAnsi="宋体" w:cs="宋体"/>
                <w:b w:val="0"/>
                <w:bCs w:val="0"/>
                <w:sz w:val="24"/>
                <w:szCs w:val="24"/>
                <w:vertAlign w:val="baseline"/>
                <w:lang w:val="en-US" w:eastAsia="zh-CN"/>
              </w:rPr>
              <w:t>132458</w:t>
            </w:r>
            <w:r>
              <w:rPr>
                <w:rFonts w:hint="eastAsia" w:ascii="宋体"/>
                <w:bCs/>
                <w:sz w:val="24"/>
                <w:szCs w:val="24"/>
              </w:rPr>
              <w:t>元，具体费用由实际发生为准。</w:t>
            </w:r>
          </w:p>
        </w:tc>
      </w:tr>
      <w:tr w14:paraId="2DEC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106FE293">
            <w:pPr>
              <w:jc w:val="center"/>
              <w:rPr>
                <w:rFonts w:hAnsi="宋体"/>
                <w:bCs/>
                <w:color w:val="000000"/>
                <w:sz w:val="24"/>
                <w:szCs w:val="24"/>
              </w:rPr>
            </w:pPr>
            <w:r>
              <w:rPr>
                <w:rFonts w:hint="eastAsia" w:hAnsi="宋体"/>
                <w:bCs/>
                <w:color w:val="000000"/>
                <w:sz w:val="24"/>
                <w:szCs w:val="24"/>
              </w:rPr>
              <w:t>3</w:t>
            </w:r>
          </w:p>
        </w:tc>
        <w:tc>
          <w:tcPr>
            <w:tcW w:w="1447" w:type="dxa"/>
            <w:vAlign w:val="center"/>
          </w:tcPr>
          <w:p w14:paraId="243D5B22">
            <w:pPr>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供应商资格</w:t>
            </w:r>
          </w:p>
        </w:tc>
        <w:tc>
          <w:tcPr>
            <w:tcW w:w="6638" w:type="dxa"/>
            <w:vAlign w:val="center"/>
          </w:tcPr>
          <w:p w14:paraId="3365E973">
            <w:pPr>
              <w:widowControl/>
              <w:spacing w:line="360" w:lineRule="auto"/>
              <w:rPr>
                <w:rFonts w:hint="eastAsia"/>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1、符合《中华人民共和国政府采购法》第二十二条规定。</w:t>
            </w:r>
          </w:p>
          <w:p w14:paraId="31B7474E">
            <w:pPr>
              <w:widowControl/>
              <w:spacing w:line="360" w:lineRule="auto"/>
              <w:rPr>
                <w:rFonts w:hint="eastAsia" w:eastAsia="楷体_GB2312"/>
                <w:lang w:val="en-US" w:eastAsia="zh-CN"/>
              </w:rPr>
            </w:pPr>
            <w:r>
              <w:rPr>
                <w:rFonts w:hint="eastAsia"/>
                <w:bCs/>
                <w:color w:val="000000" w:themeColor="text1"/>
                <w:sz w:val="24"/>
                <w:szCs w:val="24"/>
                <w14:textFill>
                  <w14:solidFill>
                    <w14:schemeClr w14:val="tx1"/>
                  </w14:solidFill>
                </w14:textFill>
              </w:rPr>
              <w:t>2、供应商具有有效的检验检测机构资质认定证书（CMA）</w:t>
            </w: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检测能力范围需包含废水、噪声、废气、污泥等环境检测内容，具体内容见检测清单指标</w:t>
            </w: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14:textFill>
                  <w14:solidFill>
                    <w14:schemeClr w14:val="tx1"/>
                  </w14:solidFill>
                </w14:textFill>
              </w:rPr>
              <w:t>，且</w:t>
            </w:r>
            <w:r>
              <w:rPr>
                <w:rFonts w:hint="eastAsia"/>
                <w:bCs/>
                <w:color w:val="000000" w:themeColor="text1"/>
                <w:sz w:val="24"/>
                <w:szCs w:val="24"/>
                <w:lang w:val="en-US" w:eastAsia="zh-CN"/>
                <w14:textFill>
                  <w14:solidFill>
                    <w14:schemeClr w14:val="tx1"/>
                  </w14:solidFill>
                </w14:textFill>
              </w:rPr>
              <w:t>近两年</w:t>
            </w:r>
            <w:r>
              <w:rPr>
                <w:rFonts w:hint="eastAsia"/>
                <w:bCs/>
                <w:color w:val="000000" w:themeColor="text1"/>
                <w:sz w:val="24"/>
                <w:szCs w:val="24"/>
                <w14:textFill>
                  <w14:solidFill>
                    <w14:schemeClr w14:val="tx1"/>
                  </w14:solidFill>
                </w14:textFill>
              </w:rPr>
              <w:t>未受到生态环境或市场监管部门处罚</w:t>
            </w: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承诺</w:t>
            </w: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14:textFill>
                  <w14:solidFill>
                    <w14:schemeClr w14:val="tx1"/>
                  </w14:solidFill>
                </w14:textFill>
              </w:rPr>
              <w:t>；</w:t>
            </w:r>
          </w:p>
        </w:tc>
      </w:tr>
      <w:tr w14:paraId="0436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5667C935">
            <w:pPr>
              <w:jc w:val="center"/>
              <w:rPr>
                <w:rFonts w:hint="eastAsia" w:hAnsi="宋体" w:eastAsia="宋体"/>
                <w:bCs/>
                <w:color w:val="000000"/>
                <w:sz w:val="24"/>
                <w:szCs w:val="24"/>
                <w:lang w:val="en-US" w:eastAsia="zh-CN"/>
              </w:rPr>
            </w:pPr>
            <w:r>
              <w:rPr>
                <w:rFonts w:hint="eastAsia" w:hAnsi="宋体"/>
                <w:bCs/>
                <w:color w:val="000000"/>
                <w:sz w:val="24"/>
                <w:szCs w:val="24"/>
                <w:lang w:val="en-US" w:eastAsia="zh-CN"/>
              </w:rPr>
              <w:t>4</w:t>
            </w:r>
          </w:p>
        </w:tc>
        <w:tc>
          <w:tcPr>
            <w:tcW w:w="1447" w:type="dxa"/>
            <w:vAlign w:val="center"/>
          </w:tcPr>
          <w:p w14:paraId="6BB8BF7F">
            <w:pPr>
              <w:pStyle w:val="42"/>
              <w:widowControl w:val="0"/>
              <w:spacing w:before="0" w:beforeAutospacing="0" w:after="0" w:afterAutospacing="0"/>
              <w:rPr>
                <w:b w:val="0"/>
                <w:bCs w:val="0"/>
                <w:color w:val="000000" w:themeColor="text1"/>
                <w:sz w:val="24"/>
                <w:szCs w:val="24"/>
                <w14:textFill>
                  <w14:solidFill>
                    <w14:schemeClr w14:val="tx1"/>
                  </w14:solidFill>
                </w14:textFill>
              </w:rPr>
            </w:pPr>
            <w:r>
              <w:rPr>
                <w:rFonts w:hint="eastAsia"/>
                <w:b w:val="0"/>
                <w:bCs w:val="0"/>
                <w:color w:val="000000" w:themeColor="text1"/>
                <w:sz w:val="24"/>
                <w:szCs w:val="24"/>
                <w14:textFill>
                  <w14:solidFill>
                    <w14:schemeClr w14:val="tx1"/>
                  </w14:solidFill>
                </w14:textFill>
              </w:rPr>
              <w:t>资金来源</w:t>
            </w:r>
          </w:p>
        </w:tc>
        <w:tc>
          <w:tcPr>
            <w:tcW w:w="6638" w:type="dxa"/>
            <w:vAlign w:val="center"/>
          </w:tcPr>
          <w:p w14:paraId="5BC88892">
            <w:pPr>
              <w:pStyle w:val="42"/>
              <w:widowControl w:val="0"/>
              <w:spacing w:before="0" w:beforeAutospacing="0" w:after="0" w:afterAutospacing="0"/>
              <w:jc w:val="both"/>
              <w:rPr>
                <w:b w:val="0"/>
                <w:bCs w:val="0"/>
                <w:color w:val="000000" w:themeColor="text1"/>
                <w:sz w:val="24"/>
                <w:szCs w:val="24"/>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w:t>
            </w:r>
            <w:r>
              <w:rPr>
                <w:rFonts w:hint="eastAsia"/>
                <w:b w:val="0"/>
                <w:bCs w:val="0"/>
                <w:color w:val="000000" w:themeColor="text1"/>
                <w:sz w:val="24"/>
                <w:szCs w:val="24"/>
                <w14:textFill>
                  <w14:solidFill>
                    <w14:schemeClr w14:val="tx1"/>
                  </w14:solidFill>
                </w14:textFill>
              </w:rPr>
              <w:t>采购人自筹</w:t>
            </w:r>
          </w:p>
        </w:tc>
      </w:tr>
      <w:tr w14:paraId="36B3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4B63FAFE">
            <w:pPr>
              <w:spacing w:line="500" w:lineRule="exact"/>
              <w:jc w:val="center"/>
              <w:rPr>
                <w:rFonts w:hint="eastAsia" w:hAnsi="宋体" w:eastAsia="宋体"/>
                <w:color w:val="000000"/>
                <w:sz w:val="24"/>
                <w:szCs w:val="24"/>
                <w:lang w:val="en-US" w:eastAsia="zh-CN"/>
              </w:rPr>
            </w:pPr>
            <w:r>
              <w:rPr>
                <w:rFonts w:hint="eastAsia" w:hAnsi="宋体"/>
                <w:color w:val="000000"/>
                <w:sz w:val="24"/>
                <w:szCs w:val="24"/>
                <w:lang w:val="en-US" w:eastAsia="zh-CN"/>
              </w:rPr>
              <w:t>5</w:t>
            </w:r>
          </w:p>
        </w:tc>
        <w:tc>
          <w:tcPr>
            <w:tcW w:w="1447" w:type="dxa"/>
          </w:tcPr>
          <w:p w14:paraId="31CC8832">
            <w:pPr>
              <w:spacing w:line="500" w:lineRule="exact"/>
              <w:jc w:val="center"/>
              <w:rPr>
                <w:rFonts w:hAnsi="宋体"/>
                <w:color w:val="000000" w:themeColor="text1"/>
                <w:sz w:val="24"/>
                <w:szCs w:val="24"/>
                <w:lang w:val="zh-CN"/>
                <w14:textFill>
                  <w14:solidFill>
                    <w14:schemeClr w14:val="tx1"/>
                  </w14:solidFill>
                </w14:textFill>
              </w:rPr>
            </w:pPr>
            <w:r>
              <w:rPr>
                <w:rFonts w:hint="eastAsia" w:hAnsi="宋体"/>
                <w:color w:val="000000" w:themeColor="text1"/>
                <w:sz w:val="24"/>
                <w:szCs w:val="24"/>
                <w14:textFill>
                  <w14:solidFill>
                    <w14:schemeClr w14:val="tx1"/>
                  </w14:solidFill>
                </w14:textFill>
              </w:rPr>
              <w:t>标段划分</w:t>
            </w:r>
          </w:p>
        </w:tc>
        <w:tc>
          <w:tcPr>
            <w:tcW w:w="6638" w:type="dxa"/>
            <w:vAlign w:val="center"/>
          </w:tcPr>
          <w:p w14:paraId="0C7CBD10">
            <w:pPr>
              <w:spacing w:line="500" w:lineRule="exact"/>
              <w:ind w:firstLine="120" w:firstLineChars="50"/>
              <w:rPr>
                <w:rFonts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不分包</w:t>
            </w:r>
          </w:p>
        </w:tc>
      </w:tr>
      <w:tr w14:paraId="1502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675" w:type="dxa"/>
            <w:vAlign w:val="center"/>
          </w:tcPr>
          <w:p w14:paraId="2CB73A0A">
            <w:pPr>
              <w:spacing w:line="500" w:lineRule="exact"/>
              <w:ind w:right="102"/>
              <w:jc w:val="center"/>
              <w:rPr>
                <w:rFonts w:hint="eastAsia" w:hAnsi="宋体" w:eastAsia="宋体"/>
                <w:color w:val="000000"/>
                <w:sz w:val="24"/>
                <w:szCs w:val="24"/>
                <w:lang w:val="en-US" w:eastAsia="zh-CN"/>
              </w:rPr>
            </w:pPr>
            <w:r>
              <w:rPr>
                <w:rFonts w:hint="eastAsia" w:hAnsi="宋体"/>
                <w:color w:val="000000"/>
                <w:sz w:val="24"/>
                <w:szCs w:val="24"/>
                <w:lang w:val="en-US" w:eastAsia="zh-CN"/>
              </w:rPr>
              <w:t>6</w:t>
            </w:r>
          </w:p>
        </w:tc>
        <w:tc>
          <w:tcPr>
            <w:tcW w:w="1447" w:type="dxa"/>
            <w:vAlign w:val="center"/>
          </w:tcPr>
          <w:p w14:paraId="63DB16CC">
            <w:pPr>
              <w:spacing w:line="500" w:lineRule="exact"/>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lang w:val="zh-CN"/>
                <w14:textFill>
                  <w14:solidFill>
                    <w14:schemeClr w14:val="tx1"/>
                  </w14:solidFill>
                </w14:textFill>
              </w:rPr>
              <w:t>付款方式</w:t>
            </w:r>
          </w:p>
        </w:tc>
        <w:tc>
          <w:tcPr>
            <w:tcW w:w="6638" w:type="dxa"/>
          </w:tcPr>
          <w:p w14:paraId="05E9974F">
            <w:pPr>
              <w:pStyle w:val="35"/>
              <w:spacing w:line="500" w:lineRule="exact"/>
              <w:rPr>
                <w:rFonts w:hint="eastAsia" w:hAnsi="宋体" w:eastAsia="宋体" w:cs="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每季度</w:t>
            </w:r>
            <w:r>
              <w:rPr>
                <w:rFonts w:hint="eastAsia" w:ascii="宋体" w:hAnsi="宋体"/>
                <w:color w:val="000000" w:themeColor="text1"/>
                <w:sz w:val="24"/>
                <w:szCs w:val="24"/>
                <w14:textFill>
                  <w14:solidFill>
                    <w14:schemeClr w14:val="tx1"/>
                  </w14:solidFill>
                </w14:textFill>
              </w:rPr>
              <w:t>完成现场</w:t>
            </w:r>
            <w:r>
              <w:rPr>
                <w:rFonts w:hint="eastAsia" w:ascii="宋体" w:hAnsi="宋体"/>
                <w:color w:val="000000" w:themeColor="text1"/>
                <w:sz w:val="24"/>
                <w:szCs w:val="24"/>
                <w:lang w:val="en-US" w:eastAsia="zh-CN"/>
                <w14:textFill>
                  <w14:solidFill>
                    <w14:schemeClr w14:val="tx1"/>
                  </w14:solidFill>
                </w14:textFill>
              </w:rPr>
              <w:t>检测</w:t>
            </w:r>
            <w:r>
              <w:rPr>
                <w:rFonts w:hint="eastAsia" w:ascii="宋体" w:hAnsi="宋体"/>
                <w:color w:val="000000" w:themeColor="text1"/>
                <w:sz w:val="24"/>
                <w:szCs w:val="24"/>
                <w14:textFill>
                  <w14:solidFill>
                    <w14:schemeClr w14:val="tx1"/>
                  </w14:solidFill>
                </w14:textFill>
              </w:rPr>
              <w:t>服务后，按照合同条款规定价格予以支付</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税率：开具税务部门认可的、合法有效的技术服务发票</w:t>
            </w:r>
            <w:r>
              <w:rPr>
                <w:rFonts w:hint="eastAsia" w:ascii="宋体" w:hAnsi="宋体"/>
                <w:color w:val="000000" w:themeColor="text1"/>
                <w:sz w:val="24"/>
                <w:szCs w:val="24"/>
                <w:lang w:eastAsia="zh-CN"/>
                <w14:textFill>
                  <w14:solidFill>
                    <w14:schemeClr w14:val="tx1"/>
                  </w14:solidFill>
                </w14:textFill>
              </w:rPr>
              <w:t>。</w:t>
            </w:r>
          </w:p>
        </w:tc>
      </w:tr>
      <w:tr w14:paraId="5E82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75" w:type="dxa"/>
            <w:vAlign w:val="center"/>
          </w:tcPr>
          <w:p w14:paraId="6856A15D">
            <w:pPr>
              <w:spacing w:line="500" w:lineRule="exact"/>
              <w:ind w:right="102"/>
              <w:jc w:val="center"/>
              <w:rPr>
                <w:rFonts w:hint="eastAsia" w:hAnsi="宋体" w:eastAsia="宋体"/>
                <w:color w:val="000000"/>
                <w:sz w:val="24"/>
                <w:szCs w:val="24"/>
                <w:lang w:val="en-US" w:eastAsia="zh-CN"/>
              </w:rPr>
            </w:pPr>
            <w:r>
              <w:rPr>
                <w:rFonts w:hint="eastAsia" w:hAnsi="宋体"/>
                <w:color w:val="000000"/>
                <w:sz w:val="24"/>
                <w:szCs w:val="24"/>
                <w:lang w:val="en-US" w:eastAsia="zh-CN"/>
              </w:rPr>
              <w:t>7</w:t>
            </w:r>
          </w:p>
        </w:tc>
        <w:tc>
          <w:tcPr>
            <w:tcW w:w="1447" w:type="dxa"/>
            <w:vAlign w:val="center"/>
          </w:tcPr>
          <w:p w14:paraId="3BA946C1">
            <w:pPr>
              <w:spacing w:line="500" w:lineRule="exact"/>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联合体投标</w:t>
            </w:r>
          </w:p>
        </w:tc>
        <w:tc>
          <w:tcPr>
            <w:tcW w:w="6638" w:type="dxa"/>
            <w:vAlign w:val="center"/>
          </w:tcPr>
          <w:p w14:paraId="62AC7D22">
            <w:pPr>
              <w:spacing w:line="500" w:lineRule="exact"/>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不</w:t>
            </w:r>
            <w:r>
              <w:rPr>
                <w:rFonts w:hint="eastAsia" w:hAnsi="宋体"/>
                <w:color w:val="000000" w:themeColor="text1"/>
                <w:sz w:val="24"/>
                <w:szCs w:val="24"/>
                <w:lang w:val="zh-CN"/>
                <w14:textFill>
                  <w14:solidFill>
                    <w14:schemeClr w14:val="tx1"/>
                  </w14:solidFill>
                </w14:textFill>
              </w:rPr>
              <w:t>接受</w:t>
            </w:r>
          </w:p>
        </w:tc>
      </w:tr>
      <w:tr w14:paraId="6782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75" w:type="dxa"/>
            <w:vAlign w:val="center"/>
          </w:tcPr>
          <w:p w14:paraId="7C3DC7CF">
            <w:pPr>
              <w:spacing w:line="500" w:lineRule="exact"/>
              <w:jc w:val="center"/>
              <w:rPr>
                <w:rFonts w:hint="eastAsia" w:hAnsi="宋体" w:eastAsia="宋体"/>
                <w:color w:val="000000"/>
                <w:sz w:val="24"/>
                <w:szCs w:val="24"/>
                <w:lang w:val="en-US" w:eastAsia="zh-CN"/>
              </w:rPr>
            </w:pPr>
            <w:r>
              <w:rPr>
                <w:rFonts w:hint="eastAsia" w:hAnsi="宋体"/>
                <w:color w:val="000000"/>
                <w:sz w:val="24"/>
                <w:szCs w:val="24"/>
                <w:lang w:val="en-US" w:eastAsia="zh-CN"/>
              </w:rPr>
              <w:t>8</w:t>
            </w:r>
          </w:p>
        </w:tc>
        <w:tc>
          <w:tcPr>
            <w:tcW w:w="1447" w:type="dxa"/>
          </w:tcPr>
          <w:p w14:paraId="15A3F9CB">
            <w:pPr>
              <w:spacing w:line="500" w:lineRule="exact"/>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服务地点</w:t>
            </w:r>
          </w:p>
        </w:tc>
        <w:tc>
          <w:tcPr>
            <w:tcW w:w="6638" w:type="dxa"/>
          </w:tcPr>
          <w:p w14:paraId="16E81C85">
            <w:pPr>
              <w:spacing w:line="500" w:lineRule="exact"/>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合肥经济技术开发区</w:t>
            </w:r>
          </w:p>
        </w:tc>
      </w:tr>
      <w:tr w14:paraId="11EE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675" w:type="dxa"/>
            <w:vAlign w:val="center"/>
          </w:tcPr>
          <w:p w14:paraId="311E779F">
            <w:pPr>
              <w:spacing w:line="500" w:lineRule="exact"/>
              <w:jc w:val="center"/>
              <w:rPr>
                <w:rFonts w:hint="eastAsia" w:hAnsi="宋体" w:eastAsia="宋体"/>
                <w:color w:val="000000"/>
                <w:sz w:val="24"/>
                <w:szCs w:val="24"/>
                <w:lang w:val="en-US" w:eastAsia="zh-CN"/>
              </w:rPr>
            </w:pPr>
            <w:r>
              <w:rPr>
                <w:rFonts w:hint="eastAsia" w:hAnsi="宋体"/>
                <w:color w:val="000000"/>
                <w:sz w:val="24"/>
                <w:szCs w:val="24"/>
                <w:lang w:val="en-US" w:eastAsia="zh-CN"/>
              </w:rPr>
              <w:t>9</w:t>
            </w:r>
          </w:p>
        </w:tc>
        <w:tc>
          <w:tcPr>
            <w:tcW w:w="1447" w:type="dxa"/>
            <w:vAlign w:val="center"/>
          </w:tcPr>
          <w:p w14:paraId="38DF73C3">
            <w:pPr>
              <w:spacing w:line="500" w:lineRule="exact"/>
              <w:jc w:val="center"/>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服务期限</w:t>
            </w:r>
          </w:p>
        </w:tc>
        <w:tc>
          <w:tcPr>
            <w:tcW w:w="6638" w:type="dxa"/>
            <w:vAlign w:val="center"/>
          </w:tcPr>
          <w:p w14:paraId="35D34E0B">
            <w:pPr>
              <w:spacing w:line="500" w:lineRule="exact"/>
              <w:rPr>
                <w:rFonts w:ascii="Tahoma" w:hAnsi="宋体" w:cs="宋体"/>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暂定1年，合同到期后，双方无异议，延续签订</w:t>
            </w:r>
            <w:r>
              <w:rPr>
                <w:rFonts w:hint="eastAsia" w:hAnsi="宋体"/>
                <w:color w:val="000000" w:themeColor="text1"/>
                <w:sz w:val="24"/>
                <w:szCs w:val="24"/>
                <w:lang w:eastAsia="zh-CN"/>
                <w14:textFill>
                  <w14:solidFill>
                    <w14:schemeClr w14:val="tx1"/>
                  </w14:solidFill>
                </w14:textFill>
              </w:rPr>
              <w:t>，</w:t>
            </w:r>
            <w:r>
              <w:rPr>
                <w:rFonts w:hint="eastAsia" w:hAnsi="宋体"/>
                <w:color w:val="000000" w:themeColor="text1"/>
                <w:sz w:val="24"/>
                <w:szCs w:val="24"/>
                <w:lang w:val="en-US" w:eastAsia="zh-CN"/>
                <w14:textFill>
                  <w14:solidFill>
                    <w14:schemeClr w14:val="tx1"/>
                  </w14:solidFill>
                </w14:textFill>
              </w:rPr>
              <w:t>最多续签2次，合同内容保持不变</w:t>
            </w:r>
            <w:r>
              <w:rPr>
                <w:rFonts w:hint="eastAsia" w:ascii="宋体" w:hAnsi="宋体"/>
                <w:color w:val="000000" w:themeColor="text1"/>
                <w:sz w:val="24"/>
                <w:szCs w:val="24"/>
                <w14:textFill>
                  <w14:solidFill>
                    <w14:schemeClr w14:val="tx1"/>
                  </w14:solidFill>
                </w14:textFill>
              </w:rPr>
              <w:t>。</w:t>
            </w:r>
          </w:p>
          <w:p w14:paraId="3091E921">
            <w:pPr>
              <w:spacing w:line="500" w:lineRule="exact"/>
              <w:rPr>
                <w:rFonts w:hAnsi="宋体"/>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2、当出现以下因素时，采购人有权随时终止合同，中标供应商不得以任何理由提出索赔要求：（1）政策性调整；（2）因中标供应商原因发生安全事故</w:t>
            </w:r>
            <w:r>
              <w:rPr>
                <w:rFonts w:hint="eastAsia" w:asciiTheme="minorEastAsia" w:hAnsiTheme="minorEastAsia" w:eastAsiaTheme="minorEastAsia"/>
                <w:color w:val="000000" w:themeColor="text1"/>
                <w:sz w:val="24"/>
                <w:szCs w:val="24"/>
                <w14:textFill>
                  <w14:solidFill>
                    <w14:schemeClr w14:val="tx1"/>
                  </w14:solidFill>
                </w14:textFill>
              </w:rPr>
              <w:t>。</w:t>
            </w:r>
          </w:p>
        </w:tc>
      </w:tr>
      <w:tr w14:paraId="7E13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75" w:type="dxa"/>
            <w:vAlign w:val="center"/>
          </w:tcPr>
          <w:p w14:paraId="3735D1F1">
            <w:pPr>
              <w:spacing w:line="500" w:lineRule="exact"/>
              <w:jc w:val="center"/>
              <w:rPr>
                <w:rFonts w:hint="default" w:hAnsi="宋体" w:eastAsia="宋体"/>
                <w:color w:val="000000"/>
                <w:sz w:val="24"/>
                <w:szCs w:val="24"/>
                <w:lang w:val="en-US" w:eastAsia="zh-CN"/>
              </w:rPr>
            </w:pPr>
            <w:r>
              <w:rPr>
                <w:rFonts w:hint="eastAsia" w:hAnsi="宋体"/>
                <w:color w:val="000000"/>
                <w:sz w:val="24"/>
                <w:szCs w:val="24"/>
                <w:lang w:val="en-US" w:eastAsia="zh-CN"/>
              </w:rPr>
              <w:t>10</w:t>
            </w:r>
          </w:p>
        </w:tc>
        <w:tc>
          <w:tcPr>
            <w:tcW w:w="1447" w:type="dxa"/>
            <w:vAlign w:val="center"/>
          </w:tcPr>
          <w:p w14:paraId="6E1F67A4">
            <w:pPr>
              <w:spacing w:line="500" w:lineRule="exact"/>
              <w:jc w:val="center"/>
              <w:rPr>
                <w:rFonts w:hAnsi="宋体"/>
                <w:color w:val="000000"/>
                <w:sz w:val="24"/>
                <w:szCs w:val="24"/>
              </w:rPr>
            </w:pPr>
            <w:r>
              <w:rPr>
                <w:rFonts w:hint="eastAsia" w:hAnsi="宋体"/>
                <w:bCs/>
                <w:color w:val="000000"/>
                <w:sz w:val="24"/>
                <w:szCs w:val="24"/>
              </w:rPr>
              <w:t>踏勘现场</w:t>
            </w:r>
          </w:p>
        </w:tc>
        <w:tc>
          <w:tcPr>
            <w:tcW w:w="6638" w:type="dxa"/>
            <w:vAlign w:val="center"/>
          </w:tcPr>
          <w:p w14:paraId="0A61CCBB">
            <w:pPr>
              <w:spacing w:line="500" w:lineRule="exact"/>
              <w:rPr>
                <w:rFonts w:hAnsi="宋体"/>
                <w:color w:val="000000"/>
                <w:sz w:val="24"/>
                <w:szCs w:val="24"/>
                <w:lang w:val="zh-CN"/>
              </w:rPr>
            </w:pPr>
            <w:r>
              <w:rPr>
                <w:b/>
                <w:color w:val="000000"/>
                <w:sz w:val="24"/>
                <w:szCs w:val="24"/>
              </w:rPr>
              <w:sym w:font="Wingdings" w:char="00FE"/>
            </w:r>
            <w:r>
              <w:rPr>
                <w:rFonts w:hint="eastAsia" w:hAnsi="宋体"/>
                <w:bCs/>
                <w:color w:val="000000"/>
                <w:sz w:val="24"/>
                <w:szCs w:val="24"/>
              </w:rPr>
              <w:t>自行踏勘</w:t>
            </w:r>
            <w:r>
              <w:rPr>
                <w:rFonts w:hint="eastAsia" w:hAnsi="宋体"/>
                <w:color w:val="000000"/>
                <w:sz w:val="24"/>
                <w:szCs w:val="24"/>
              </w:rPr>
              <w:t xml:space="preserve">  □采购人</w:t>
            </w:r>
            <w:r>
              <w:rPr>
                <w:rFonts w:hint="eastAsia" w:hAnsi="宋体"/>
                <w:color w:val="000000"/>
                <w:sz w:val="24"/>
                <w:szCs w:val="24"/>
                <w:lang w:val="zh-CN"/>
              </w:rPr>
              <w:t>统一组织</w:t>
            </w:r>
          </w:p>
        </w:tc>
      </w:tr>
      <w:tr w14:paraId="2492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75" w:type="dxa"/>
            <w:vAlign w:val="center"/>
          </w:tcPr>
          <w:p w14:paraId="5F5F71BD">
            <w:pPr>
              <w:spacing w:line="500" w:lineRule="exact"/>
              <w:jc w:val="center"/>
              <w:rPr>
                <w:rFonts w:hint="default" w:hAnsi="宋体" w:eastAsia="宋体"/>
                <w:color w:val="000000"/>
                <w:sz w:val="24"/>
                <w:szCs w:val="24"/>
                <w:lang w:val="en-US" w:eastAsia="zh-CN"/>
              </w:rPr>
            </w:pPr>
            <w:r>
              <w:rPr>
                <w:rFonts w:hint="eastAsia" w:hAnsi="宋体"/>
                <w:color w:val="000000"/>
                <w:sz w:val="24"/>
                <w:szCs w:val="24"/>
                <w:lang w:val="en-US" w:eastAsia="zh-CN"/>
              </w:rPr>
              <w:t>11</w:t>
            </w:r>
          </w:p>
        </w:tc>
        <w:tc>
          <w:tcPr>
            <w:tcW w:w="1447" w:type="dxa"/>
            <w:vAlign w:val="center"/>
          </w:tcPr>
          <w:p w14:paraId="482A8572">
            <w:pPr>
              <w:spacing w:line="500" w:lineRule="exact"/>
              <w:jc w:val="center"/>
              <w:rPr>
                <w:rFonts w:hAnsi="宋体"/>
                <w:bCs/>
                <w:color w:val="000000"/>
                <w:sz w:val="24"/>
                <w:szCs w:val="24"/>
              </w:rPr>
            </w:pPr>
            <w:r>
              <w:rPr>
                <w:rFonts w:hint="eastAsia" w:hAnsi="宋体"/>
                <w:color w:val="000000"/>
                <w:sz w:val="24"/>
                <w:szCs w:val="24"/>
              </w:rPr>
              <w:t>投标文件份数及要求</w:t>
            </w:r>
          </w:p>
        </w:tc>
        <w:tc>
          <w:tcPr>
            <w:tcW w:w="6638" w:type="dxa"/>
            <w:vAlign w:val="center"/>
          </w:tcPr>
          <w:p w14:paraId="01FFE43E">
            <w:pPr>
              <w:spacing w:line="360" w:lineRule="auto"/>
              <w:rPr>
                <w:rFonts w:hAnsi="宋体"/>
                <w:color w:val="000000"/>
                <w:sz w:val="24"/>
                <w:szCs w:val="24"/>
              </w:rPr>
            </w:pPr>
            <w:r>
              <w:rPr>
                <w:rFonts w:hint="eastAsia" w:hAnsi="宋体"/>
                <w:color w:val="000000"/>
                <w:sz w:val="24"/>
                <w:szCs w:val="24"/>
              </w:rPr>
              <w:t>正本</w:t>
            </w:r>
            <w:r>
              <w:rPr>
                <w:rFonts w:hint="eastAsia" w:hAnsi="宋体"/>
                <w:color w:val="000000"/>
                <w:sz w:val="24"/>
                <w:szCs w:val="24"/>
                <w:u w:val="single"/>
              </w:rPr>
              <w:t xml:space="preserve"> 1 </w:t>
            </w:r>
            <w:r>
              <w:rPr>
                <w:rFonts w:hint="eastAsia" w:hAnsi="宋体"/>
                <w:color w:val="000000"/>
                <w:sz w:val="24"/>
                <w:szCs w:val="24"/>
              </w:rPr>
              <w:t>份；副本</w:t>
            </w:r>
            <w:r>
              <w:rPr>
                <w:rFonts w:hint="eastAsia" w:hAnsi="宋体"/>
                <w:color w:val="000000"/>
                <w:sz w:val="24"/>
                <w:szCs w:val="24"/>
                <w:u w:val="single"/>
              </w:rPr>
              <w:t xml:space="preserve"> 1</w:t>
            </w:r>
            <w:r>
              <w:rPr>
                <w:rFonts w:hint="eastAsia" w:hAnsi="宋体"/>
                <w:color w:val="000000"/>
                <w:sz w:val="24"/>
                <w:szCs w:val="24"/>
              </w:rPr>
              <w:t>份，密封提交。</w:t>
            </w:r>
          </w:p>
        </w:tc>
      </w:tr>
      <w:tr w14:paraId="7C78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75" w:type="dxa"/>
            <w:vAlign w:val="center"/>
          </w:tcPr>
          <w:p w14:paraId="06A50153">
            <w:pPr>
              <w:spacing w:line="500" w:lineRule="exact"/>
              <w:jc w:val="center"/>
              <w:rPr>
                <w:rFonts w:hint="default" w:hAnsi="宋体" w:eastAsia="宋体"/>
                <w:color w:val="000000"/>
                <w:sz w:val="24"/>
                <w:szCs w:val="24"/>
                <w:lang w:val="en-US" w:eastAsia="zh-CN"/>
              </w:rPr>
            </w:pPr>
            <w:r>
              <w:rPr>
                <w:rFonts w:hint="eastAsia" w:hAnsi="宋体"/>
                <w:color w:val="000000"/>
                <w:sz w:val="24"/>
                <w:szCs w:val="24"/>
                <w:lang w:val="en-US" w:eastAsia="zh-CN"/>
              </w:rPr>
              <w:t>12</w:t>
            </w:r>
          </w:p>
        </w:tc>
        <w:tc>
          <w:tcPr>
            <w:tcW w:w="1447" w:type="dxa"/>
            <w:vAlign w:val="center"/>
          </w:tcPr>
          <w:p w14:paraId="47CD85E1">
            <w:pPr>
              <w:spacing w:line="500" w:lineRule="exact"/>
              <w:jc w:val="center"/>
              <w:rPr>
                <w:rFonts w:hAnsi="宋体"/>
                <w:color w:val="000000"/>
                <w:sz w:val="24"/>
                <w:szCs w:val="24"/>
              </w:rPr>
            </w:pPr>
            <w:r>
              <w:rPr>
                <w:rFonts w:hint="eastAsia" w:hAnsi="宋体"/>
                <w:color w:val="000000"/>
                <w:sz w:val="24"/>
                <w:szCs w:val="24"/>
              </w:rPr>
              <w:t>开标时间及地点</w:t>
            </w:r>
          </w:p>
        </w:tc>
        <w:tc>
          <w:tcPr>
            <w:tcW w:w="6638" w:type="dxa"/>
            <w:vAlign w:val="center"/>
          </w:tcPr>
          <w:p w14:paraId="6EF092C9">
            <w:pPr>
              <w:spacing w:line="360" w:lineRule="auto"/>
              <w:rPr>
                <w:rFonts w:hAnsi="宋体"/>
                <w:color w:val="000000"/>
                <w:sz w:val="24"/>
                <w:szCs w:val="24"/>
              </w:rPr>
            </w:pPr>
            <w:r>
              <w:rPr>
                <w:rFonts w:hint="eastAsia" w:hAnsi="宋体"/>
                <w:color w:val="000000"/>
                <w:sz w:val="24"/>
                <w:szCs w:val="24"/>
              </w:rPr>
              <w:t>响应文件提交截止时间及开标时间：详见招标公告</w:t>
            </w:r>
          </w:p>
          <w:p w14:paraId="5F981CB9">
            <w:pPr>
              <w:spacing w:line="360" w:lineRule="auto"/>
              <w:rPr>
                <w:rFonts w:hAnsi="宋体"/>
                <w:bCs/>
                <w:color w:val="000000"/>
                <w:sz w:val="24"/>
                <w:szCs w:val="24"/>
              </w:rPr>
            </w:pPr>
            <w:r>
              <w:rPr>
                <w:rFonts w:hint="eastAsia" w:hAnsi="宋体"/>
                <w:color w:val="000000"/>
                <w:sz w:val="24"/>
                <w:szCs w:val="24"/>
              </w:rPr>
              <w:t>响应文件提交地点及</w:t>
            </w:r>
            <w:r>
              <w:rPr>
                <w:rFonts w:hint="eastAsia" w:hAnsi="宋体"/>
                <w:color w:val="000000"/>
                <w:sz w:val="24"/>
                <w:szCs w:val="24"/>
                <w:lang w:val="zh-CN"/>
              </w:rPr>
              <w:t>投标地点</w:t>
            </w:r>
            <w:r>
              <w:rPr>
                <w:rFonts w:hint="eastAsia" w:hAnsi="宋体"/>
                <w:color w:val="000000"/>
                <w:sz w:val="24"/>
                <w:szCs w:val="24"/>
              </w:rPr>
              <w:t>：详见招标公告</w:t>
            </w:r>
          </w:p>
        </w:tc>
      </w:tr>
      <w:tr w14:paraId="7DD5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vAlign w:val="center"/>
          </w:tcPr>
          <w:p w14:paraId="69DA3905">
            <w:pPr>
              <w:spacing w:line="500" w:lineRule="exact"/>
              <w:jc w:val="center"/>
              <w:rPr>
                <w:rFonts w:hint="default" w:hAnsi="宋体" w:eastAsia="宋体"/>
                <w:color w:val="000000"/>
                <w:sz w:val="24"/>
                <w:szCs w:val="24"/>
                <w:lang w:val="en-US" w:eastAsia="zh-CN"/>
              </w:rPr>
            </w:pPr>
            <w:r>
              <w:rPr>
                <w:rFonts w:hint="eastAsia" w:hAnsi="宋体"/>
                <w:color w:val="000000"/>
                <w:sz w:val="24"/>
                <w:szCs w:val="24"/>
                <w:lang w:val="en-US" w:eastAsia="zh-CN"/>
              </w:rPr>
              <w:t>13</w:t>
            </w:r>
          </w:p>
        </w:tc>
        <w:tc>
          <w:tcPr>
            <w:tcW w:w="1447" w:type="dxa"/>
            <w:vAlign w:val="center"/>
          </w:tcPr>
          <w:p w14:paraId="096906F0">
            <w:pPr>
              <w:spacing w:line="500" w:lineRule="exact"/>
              <w:jc w:val="center"/>
              <w:rPr>
                <w:rFonts w:hAnsi="宋体"/>
                <w:color w:val="000000"/>
                <w:sz w:val="24"/>
                <w:szCs w:val="24"/>
              </w:rPr>
            </w:pPr>
            <w:r>
              <w:rPr>
                <w:rFonts w:hint="eastAsia" w:hAnsi="宋体"/>
                <w:color w:val="000000"/>
                <w:sz w:val="24"/>
                <w:szCs w:val="24"/>
              </w:rPr>
              <w:t>评标办法</w:t>
            </w:r>
          </w:p>
        </w:tc>
        <w:tc>
          <w:tcPr>
            <w:tcW w:w="6638" w:type="dxa"/>
            <w:vAlign w:val="center"/>
          </w:tcPr>
          <w:p w14:paraId="69BC3929">
            <w:pPr>
              <w:spacing w:line="500" w:lineRule="exact"/>
              <w:rPr>
                <w:rFonts w:hint="default" w:hAnsi="宋体" w:eastAsia="宋体"/>
                <w:color w:val="000000"/>
                <w:sz w:val="24"/>
                <w:szCs w:val="24"/>
                <w:lang w:val="en-US" w:eastAsia="zh-CN"/>
              </w:rPr>
            </w:pPr>
            <w:r>
              <w:rPr>
                <w:rFonts w:hint="eastAsia" w:hAnsi="宋体"/>
                <w:color w:val="000000"/>
                <w:sz w:val="24"/>
                <w:szCs w:val="24"/>
                <w:lang w:val="en-US" w:eastAsia="zh-CN"/>
              </w:rPr>
              <w:t>最低折扣价中标</w:t>
            </w:r>
          </w:p>
        </w:tc>
      </w:tr>
      <w:tr w14:paraId="6470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75" w:type="dxa"/>
            <w:vAlign w:val="center"/>
          </w:tcPr>
          <w:p w14:paraId="508AD9C4">
            <w:pPr>
              <w:spacing w:line="500" w:lineRule="exact"/>
              <w:jc w:val="center"/>
              <w:rPr>
                <w:rFonts w:hint="default" w:hAnsi="宋体" w:eastAsia="宋体"/>
                <w:color w:val="000000"/>
                <w:sz w:val="24"/>
                <w:szCs w:val="24"/>
                <w:lang w:val="en-US" w:eastAsia="zh-CN"/>
              </w:rPr>
            </w:pPr>
            <w:r>
              <w:rPr>
                <w:rFonts w:hint="eastAsia" w:hAnsi="宋体"/>
                <w:color w:val="000000"/>
                <w:sz w:val="24"/>
                <w:szCs w:val="24"/>
                <w:lang w:val="en-US" w:eastAsia="zh-CN"/>
              </w:rPr>
              <w:t>14</w:t>
            </w:r>
          </w:p>
        </w:tc>
        <w:tc>
          <w:tcPr>
            <w:tcW w:w="1447" w:type="dxa"/>
            <w:vAlign w:val="center"/>
          </w:tcPr>
          <w:p w14:paraId="5FD2DE68">
            <w:pPr>
              <w:spacing w:line="360" w:lineRule="auto"/>
              <w:jc w:val="center"/>
              <w:rPr>
                <w:rFonts w:hAnsi="宋体"/>
                <w:color w:val="000000"/>
                <w:sz w:val="24"/>
                <w:szCs w:val="24"/>
              </w:rPr>
            </w:pPr>
            <w:r>
              <w:rPr>
                <w:rFonts w:hint="eastAsia" w:hAnsi="宋体"/>
                <w:color w:val="000000"/>
                <w:sz w:val="24"/>
                <w:szCs w:val="24"/>
              </w:rPr>
              <w:t>采购人联系方式</w:t>
            </w:r>
          </w:p>
        </w:tc>
        <w:tc>
          <w:tcPr>
            <w:tcW w:w="6638" w:type="dxa"/>
            <w:vAlign w:val="center"/>
          </w:tcPr>
          <w:p w14:paraId="49950659">
            <w:pPr>
              <w:spacing w:line="360" w:lineRule="auto"/>
              <w:rPr>
                <w:rFonts w:hAnsi="宋体"/>
                <w:color w:val="000000"/>
                <w:sz w:val="24"/>
                <w:szCs w:val="24"/>
              </w:rPr>
            </w:pPr>
            <w:r>
              <w:rPr>
                <w:rFonts w:hint="eastAsia" w:hAnsi="宋体"/>
                <w:color w:val="000000"/>
                <w:sz w:val="24"/>
                <w:szCs w:val="24"/>
              </w:rPr>
              <w:t>详见招标公告</w:t>
            </w:r>
          </w:p>
        </w:tc>
      </w:tr>
      <w:tr w14:paraId="582C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675" w:type="dxa"/>
            <w:vAlign w:val="center"/>
          </w:tcPr>
          <w:p w14:paraId="023ACF0F">
            <w:pPr>
              <w:spacing w:line="500" w:lineRule="exact"/>
              <w:jc w:val="center"/>
              <w:rPr>
                <w:rFonts w:hint="default" w:hAnsi="宋体" w:eastAsia="宋体"/>
                <w:color w:val="000000"/>
                <w:sz w:val="24"/>
                <w:szCs w:val="24"/>
                <w:lang w:val="en-US" w:eastAsia="zh-CN"/>
              </w:rPr>
            </w:pPr>
            <w:r>
              <w:rPr>
                <w:rFonts w:hint="eastAsia" w:hAnsi="宋体"/>
                <w:color w:val="000000"/>
                <w:sz w:val="24"/>
                <w:szCs w:val="24"/>
                <w:lang w:val="en-US" w:eastAsia="zh-CN"/>
              </w:rPr>
              <w:t>15</w:t>
            </w:r>
          </w:p>
        </w:tc>
        <w:tc>
          <w:tcPr>
            <w:tcW w:w="1447" w:type="dxa"/>
            <w:vAlign w:val="center"/>
          </w:tcPr>
          <w:p w14:paraId="48F8A244">
            <w:pPr>
              <w:spacing w:line="500" w:lineRule="exact"/>
              <w:jc w:val="center"/>
              <w:rPr>
                <w:rFonts w:hAnsi="宋体"/>
                <w:color w:val="000000"/>
                <w:sz w:val="24"/>
                <w:szCs w:val="24"/>
              </w:rPr>
            </w:pPr>
            <w:r>
              <w:rPr>
                <w:rFonts w:hint="eastAsia" w:hAnsi="宋体"/>
                <w:color w:val="000000"/>
                <w:sz w:val="24"/>
                <w:szCs w:val="24"/>
              </w:rPr>
              <w:t>本地化服务</w:t>
            </w:r>
          </w:p>
        </w:tc>
        <w:tc>
          <w:tcPr>
            <w:tcW w:w="6638" w:type="dxa"/>
            <w:vAlign w:val="center"/>
          </w:tcPr>
          <w:p w14:paraId="2AC5AC37">
            <w:pPr>
              <w:spacing w:line="500" w:lineRule="exact"/>
              <w:rPr>
                <w:rFonts w:hAnsi="宋体"/>
                <w:color w:val="000000"/>
                <w:sz w:val="24"/>
                <w:szCs w:val="24"/>
              </w:rPr>
            </w:pPr>
            <w:r>
              <w:rPr>
                <w:rFonts w:hint="eastAsia" w:hAnsi="宋体"/>
                <w:color w:val="000000"/>
                <w:sz w:val="24"/>
                <w:szCs w:val="24"/>
              </w:rPr>
              <w:t>本项目是否要求本地化服务能力：</w:t>
            </w:r>
            <w:r>
              <w:rPr>
                <w:rFonts w:hAnsi="宋体"/>
                <w:color w:val="000000"/>
                <w:sz w:val="24"/>
                <w:szCs w:val="24"/>
              </w:rPr>
              <w:t></w:t>
            </w:r>
            <w:r>
              <w:rPr>
                <w:rFonts w:hint="eastAsia" w:hAnsi="宋体"/>
                <w:color w:val="000000"/>
                <w:sz w:val="24"/>
                <w:szCs w:val="24"/>
                <w:lang w:val="en-US" w:eastAsia="zh-CN"/>
              </w:rPr>
              <w:t>√</w:t>
            </w:r>
            <w:r>
              <w:rPr>
                <w:rFonts w:hint="eastAsia" w:hAnsi="宋体"/>
                <w:color w:val="000000"/>
                <w:sz w:val="24"/>
                <w:szCs w:val="24"/>
              </w:rPr>
              <w:t>要求□不要求</w:t>
            </w:r>
          </w:p>
          <w:p w14:paraId="7AF24BDC">
            <w:pPr>
              <w:spacing w:line="500" w:lineRule="exact"/>
              <w:rPr>
                <w:rFonts w:hAnsi="宋体"/>
                <w:color w:val="000000"/>
                <w:sz w:val="24"/>
                <w:szCs w:val="24"/>
              </w:rPr>
            </w:pPr>
            <w:r>
              <w:rPr>
                <w:rFonts w:hint="eastAsia" w:hAnsi="宋体"/>
                <w:color w:val="000000"/>
                <w:sz w:val="24"/>
                <w:szCs w:val="24"/>
              </w:rPr>
              <w:t>本地化服务的能力是指具有以下条件之一：</w:t>
            </w:r>
          </w:p>
          <w:p w14:paraId="5949E5A6">
            <w:pPr>
              <w:spacing w:line="500" w:lineRule="exact"/>
              <w:rPr>
                <w:rFonts w:hAnsi="宋体"/>
                <w:color w:val="000000"/>
                <w:sz w:val="24"/>
                <w:szCs w:val="24"/>
              </w:rPr>
            </w:pPr>
            <w:r>
              <w:rPr>
                <w:rFonts w:hint="eastAsia" w:hAnsi="宋体"/>
                <w:color w:val="000000"/>
                <w:sz w:val="24"/>
                <w:szCs w:val="24"/>
              </w:rPr>
              <w:t>1）在本地具有固定的办公场所及人员；</w:t>
            </w:r>
          </w:p>
          <w:p w14:paraId="466130B0">
            <w:pPr>
              <w:spacing w:line="500" w:lineRule="exact"/>
              <w:rPr>
                <w:rFonts w:hAnsi="宋体"/>
                <w:color w:val="000000"/>
                <w:sz w:val="24"/>
                <w:szCs w:val="24"/>
              </w:rPr>
            </w:pPr>
            <w:r>
              <w:rPr>
                <w:rFonts w:hint="eastAsia" w:hAnsi="宋体"/>
                <w:color w:val="000000"/>
                <w:sz w:val="24"/>
                <w:szCs w:val="24"/>
              </w:rPr>
              <w:t>2）在本地注册成立的；</w:t>
            </w:r>
          </w:p>
          <w:p w14:paraId="4DA8F32D">
            <w:pPr>
              <w:spacing w:line="500" w:lineRule="exact"/>
              <w:rPr>
                <w:rFonts w:hAnsi="宋体"/>
                <w:color w:val="000000"/>
                <w:sz w:val="24"/>
                <w:szCs w:val="24"/>
              </w:rPr>
            </w:pPr>
            <w:r>
              <w:rPr>
                <w:rFonts w:hint="eastAsia" w:hAnsi="宋体"/>
                <w:color w:val="000000"/>
                <w:sz w:val="24"/>
                <w:szCs w:val="24"/>
              </w:rPr>
              <w:t>3）承诺成交即设立本地化服务机构。</w:t>
            </w:r>
          </w:p>
          <w:p w14:paraId="7B1A69DF">
            <w:pPr>
              <w:spacing w:line="500" w:lineRule="exact"/>
              <w:rPr>
                <w:rFonts w:hAnsi="宋体"/>
                <w:b/>
                <w:color w:val="000000"/>
                <w:sz w:val="24"/>
                <w:szCs w:val="24"/>
              </w:rPr>
            </w:pPr>
            <w:r>
              <w:rPr>
                <w:rFonts w:hint="eastAsia" w:hAnsi="宋体"/>
                <w:color w:val="000000"/>
                <w:sz w:val="24"/>
                <w:szCs w:val="24"/>
              </w:rPr>
              <w:t>备注：“本地”系指：合肥市</w:t>
            </w:r>
          </w:p>
        </w:tc>
      </w:tr>
      <w:tr w14:paraId="6476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4A36265F">
            <w:pPr>
              <w:spacing w:line="500" w:lineRule="exact"/>
              <w:jc w:val="center"/>
              <w:rPr>
                <w:rFonts w:hint="default" w:hAnsi="宋体" w:eastAsia="宋体"/>
                <w:color w:val="000000"/>
                <w:sz w:val="24"/>
                <w:szCs w:val="24"/>
                <w:lang w:val="en-US" w:eastAsia="zh-CN"/>
              </w:rPr>
            </w:pPr>
            <w:r>
              <w:rPr>
                <w:rFonts w:hint="eastAsia" w:hAnsi="宋体"/>
                <w:color w:val="000000"/>
                <w:sz w:val="24"/>
                <w:szCs w:val="24"/>
                <w:lang w:val="en-US" w:eastAsia="zh-CN"/>
              </w:rPr>
              <w:t>16</w:t>
            </w:r>
          </w:p>
        </w:tc>
        <w:tc>
          <w:tcPr>
            <w:tcW w:w="1447" w:type="dxa"/>
            <w:vAlign w:val="center"/>
          </w:tcPr>
          <w:p w14:paraId="374D064B">
            <w:pPr>
              <w:jc w:val="center"/>
              <w:rPr>
                <w:rFonts w:hAnsi="宋体"/>
                <w:color w:val="000000"/>
                <w:sz w:val="24"/>
                <w:szCs w:val="24"/>
              </w:rPr>
            </w:pPr>
            <w:r>
              <w:rPr>
                <w:rFonts w:hint="eastAsia" w:hAnsi="宋体"/>
                <w:color w:val="000000"/>
                <w:sz w:val="24"/>
                <w:szCs w:val="24"/>
              </w:rPr>
              <w:t>备注二</w:t>
            </w:r>
          </w:p>
        </w:tc>
        <w:tc>
          <w:tcPr>
            <w:tcW w:w="6638" w:type="dxa"/>
            <w:vAlign w:val="center"/>
          </w:tcPr>
          <w:p w14:paraId="3B8BBB34">
            <w:pPr>
              <w:spacing w:line="500" w:lineRule="exact"/>
              <w:rPr>
                <w:rFonts w:hAnsi="宋体" w:cs="宋体"/>
                <w:b/>
                <w:color w:val="000000"/>
                <w:sz w:val="24"/>
                <w:szCs w:val="24"/>
              </w:rPr>
            </w:pPr>
            <w:r>
              <w:rPr>
                <w:rFonts w:hAnsi="宋体"/>
                <w:b/>
                <w:color w:val="000000"/>
                <w:sz w:val="24"/>
                <w:szCs w:val="24"/>
              </w:rPr>
              <w:t>特别提醒</w:t>
            </w:r>
            <w:r>
              <w:rPr>
                <w:rFonts w:hint="eastAsia" w:hAnsi="宋体"/>
                <w:b/>
                <w:color w:val="000000"/>
                <w:sz w:val="24"/>
                <w:szCs w:val="24"/>
              </w:rPr>
              <w:t>：</w:t>
            </w:r>
            <w:r>
              <w:rPr>
                <w:rFonts w:hAnsi="宋体"/>
                <w:b/>
                <w:color w:val="000000"/>
                <w:sz w:val="24"/>
                <w:szCs w:val="24"/>
              </w:rPr>
              <w:t>供应商参与</w:t>
            </w:r>
            <w:r>
              <w:rPr>
                <w:rFonts w:hint="eastAsia" w:hAnsi="宋体"/>
                <w:b/>
                <w:color w:val="000000"/>
                <w:sz w:val="24"/>
                <w:szCs w:val="24"/>
              </w:rPr>
              <w:t>投标</w:t>
            </w:r>
            <w:r>
              <w:rPr>
                <w:rFonts w:hAnsi="宋体"/>
                <w:b/>
                <w:color w:val="000000"/>
                <w:sz w:val="24"/>
                <w:szCs w:val="24"/>
              </w:rPr>
              <w:t>，应当诚信守法、公平竞争。如</w:t>
            </w:r>
            <w:r>
              <w:rPr>
                <w:rFonts w:hint="eastAsia" w:hAnsi="宋体"/>
                <w:b/>
                <w:color w:val="000000"/>
                <w:sz w:val="24"/>
                <w:szCs w:val="24"/>
              </w:rPr>
              <w:t>有</w:t>
            </w:r>
            <w:r>
              <w:rPr>
                <w:rFonts w:hAnsi="宋体"/>
                <w:b/>
                <w:color w:val="000000"/>
                <w:sz w:val="24"/>
                <w:szCs w:val="24"/>
              </w:rPr>
              <w:t>以提供虚假材料</w:t>
            </w:r>
            <w:r>
              <w:rPr>
                <w:rFonts w:hint="eastAsia" w:hAnsi="宋体"/>
                <w:b/>
                <w:color w:val="000000"/>
                <w:sz w:val="24"/>
                <w:szCs w:val="24"/>
              </w:rPr>
              <w:t>（包括但不限于虚假技术参数响应、虚假业绩、虚假证书、虚假检测报告等）</w:t>
            </w:r>
            <w:r>
              <w:rPr>
                <w:rFonts w:hAnsi="宋体"/>
                <w:b/>
                <w:color w:val="000000"/>
                <w:sz w:val="24"/>
                <w:szCs w:val="24"/>
              </w:rPr>
              <w:t>、串通投标、隐瞒失信信息等谋取</w:t>
            </w:r>
            <w:r>
              <w:rPr>
                <w:rFonts w:hint="eastAsia" w:hAnsi="宋体"/>
                <w:b/>
                <w:color w:val="000000"/>
                <w:sz w:val="24"/>
                <w:szCs w:val="24"/>
              </w:rPr>
              <w:t>成交资格</w:t>
            </w:r>
            <w:r>
              <w:rPr>
                <w:rFonts w:hAnsi="宋体"/>
                <w:b/>
                <w:color w:val="000000"/>
                <w:sz w:val="24"/>
                <w:szCs w:val="24"/>
              </w:rPr>
              <w:t>的行为，一经发现，将报</w:t>
            </w:r>
            <w:r>
              <w:rPr>
                <w:rFonts w:hint="eastAsia" w:hAnsi="宋体"/>
                <w:b/>
                <w:color w:val="000000"/>
                <w:sz w:val="24"/>
                <w:szCs w:val="24"/>
              </w:rPr>
              <w:t>监</w:t>
            </w:r>
            <w:r>
              <w:rPr>
                <w:rFonts w:hAnsi="宋体"/>
                <w:b/>
                <w:color w:val="000000"/>
                <w:sz w:val="24"/>
                <w:szCs w:val="24"/>
              </w:rPr>
              <w:t>管</w:t>
            </w:r>
            <w:r>
              <w:rPr>
                <w:rFonts w:hint="eastAsia" w:hAnsi="宋体"/>
                <w:b/>
                <w:color w:val="000000"/>
                <w:sz w:val="24"/>
                <w:szCs w:val="24"/>
              </w:rPr>
              <w:t>部门</w:t>
            </w:r>
            <w:r>
              <w:rPr>
                <w:rFonts w:hAnsi="宋体"/>
                <w:b/>
                <w:color w:val="000000"/>
                <w:sz w:val="24"/>
                <w:szCs w:val="24"/>
              </w:rPr>
              <w:t xml:space="preserve">严肃查处。 </w:t>
            </w:r>
          </w:p>
        </w:tc>
      </w:tr>
    </w:tbl>
    <w:p w14:paraId="748AC15A">
      <w:pPr>
        <w:bidi w:val="0"/>
        <w:rPr>
          <w:rFonts w:hint="eastAsia"/>
          <w:lang w:val="en-US" w:eastAsia="zh-CN"/>
        </w:rPr>
      </w:pPr>
    </w:p>
    <w:p w14:paraId="279F9B10">
      <w:pPr>
        <w:bidi w:val="0"/>
        <w:jc w:val="center"/>
        <w:rPr>
          <w:rFonts w:hint="eastAsia"/>
          <w:b/>
          <w:bCs/>
          <w:sz w:val="32"/>
          <w:szCs w:val="32"/>
          <w:lang w:val="en-US" w:eastAsia="zh-CN"/>
        </w:rPr>
      </w:pPr>
    </w:p>
    <w:p w14:paraId="19625988">
      <w:pPr>
        <w:bidi w:val="0"/>
        <w:jc w:val="center"/>
        <w:rPr>
          <w:rFonts w:hint="eastAsia"/>
          <w:b/>
          <w:bCs/>
          <w:sz w:val="32"/>
          <w:szCs w:val="32"/>
          <w:lang w:val="en-US" w:eastAsia="zh-CN"/>
        </w:rPr>
      </w:pPr>
    </w:p>
    <w:p w14:paraId="514EA099">
      <w:pPr>
        <w:bidi w:val="0"/>
        <w:jc w:val="center"/>
        <w:rPr>
          <w:rFonts w:hint="eastAsia"/>
          <w:b/>
          <w:bCs/>
          <w:sz w:val="32"/>
          <w:szCs w:val="32"/>
          <w:lang w:val="en-US" w:eastAsia="zh-CN"/>
        </w:rPr>
      </w:pPr>
    </w:p>
    <w:p w14:paraId="1F32B019">
      <w:pPr>
        <w:bidi w:val="0"/>
        <w:jc w:val="center"/>
        <w:rPr>
          <w:rFonts w:hint="eastAsia"/>
          <w:b/>
          <w:bCs/>
          <w:sz w:val="32"/>
          <w:szCs w:val="32"/>
          <w:lang w:val="en-US" w:eastAsia="zh-CN"/>
        </w:rPr>
      </w:pPr>
    </w:p>
    <w:p w14:paraId="40990893">
      <w:pPr>
        <w:pStyle w:val="2"/>
        <w:rPr>
          <w:rFonts w:hint="eastAsia"/>
          <w:lang w:val="en-US" w:eastAsia="zh-CN"/>
        </w:rPr>
      </w:pPr>
    </w:p>
    <w:p w14:paraId="775115BF">
      <w:pPr>
        <w:bidi w:val="0"/>
        <w:jc w:val="center"/>
        <w:rPr>
          <w:rFonts w:hint="eastAsia"/>
          <w:b/>
          <w:bCs/>
          <w:sz w:val="32"/>
          <w:szCs w:val="32"/>
          <w:lang w:val="en-US" w:eastAsia="zh-CN"/>
        </w:rPr>
      </w:pPr>
    </w:p>
    <w:p w14:paraId="60DFC21E">
      <w:pPr>
        <w:bidi w:val="0"/>
        <w:jc w:val="center"/>
        <w:rPr>
          <w:rFonts w:hint="eastAsia"/>
          <w:b/>
          <w:bCs/>
          <w:sz w:val="32"/>
          <w:szCs w:val="32"/>
          <w:lang w:val="en-US" w:eastAsia="zh-CN"/>
        </w:rPr>
      </w:pPr>
    </w:p>
    <w:p w14:paraId="307D9742">
      <w:pPr>
        <w:bidi w:val="0"/>
        <w:jc w:val="center"/>
        <w:rPr>
          <w:rFonts w:hint="eastAsia"/>
          <w:b/>
          <w:bCs/>
          <w:sz w:val="32"/>
          <w:szCs w:val="32"/>
          <w:lang w:val="en-US" w:eastAsia="zh-CN"/>
        </w:rPr>
      </w:pPr>
      <w:r>
        <w:rPr>
          <w:rFonts w:hint="eastAsia"/>
          <w:b/>
          <w:bCs/>
          <w:sz w:val="32"/>
          <w:szCs w:val="32"/>
          <w:lang w:val="en-US" w:eastAsia="zh-CN"/>
        </w:rPr>
        <w:t>高刘污水处理厂委托检测</w:t>
      </w:r>
    </w:p>
    <w:p w14:paraId="7757409F">
      <w:pPr>
        <w:spacing w:line="360" w:lineRule="auto"/>
        <w:rPr>
          <w:rFonts w:ascii="宋体"/>
          <w:b/>
          <w:bCs/>
          <w:sz w:val="24"/>
          <w:szCs w:val="24"/>
        </w:rPr>
      </w:pPr>
      <w:r>
        <w:rPr>
          <w:rFonts w:hint="eastAsia" w:ascii="宋体" w:hAnsi="宋体" w:cs="宋体"/>
          <w:b/>
          <w:bCs/>
          <w:sz w:val="28"/>
          <w:szCs w:val="28"/>
        </w:rPr>
        <w:t>一、项目概况：</w:t>
      </w:r>
    </w:p>
    <w:p w14:paraId="52E6D56A">
      <w:pPr>
        <w:spacing w:line="360" w:lineRule="auto"/>
        <w:ind w:firstLine="480" w:firstLineChars="200"/>
        <w:rPr>
          <w:rFonts w:hint="eastAsia" w:ascii="宋体"/>
          <w:bCs/>
          <w:sz w:val="24"/>
          <w:szCs w:val="28"/>
        </w:rPr>
      </w:pPr>
      <w:r>
        <w:rPr>
          <w:rFonts w:hint="eastAsia" w:ascii="宋体"/>
          <w:bCs/>
          <w:sz w:val="24"/>
          <w:szCs w:val="28"/>
        </w:rPr>
        <w:t>高</w:t>
      </w:r>
      <w:r>
        <w:rPr>
          <w:rFonts w:hint="eastAsia"/>
          <w:bCs/>
          <w:sz w:val="24"/>
          <w:szCs w:val="28"/>
          <w:lang w:val="en-US" w:eastAsia="zh-CN"/>
        </w:rPr>
        <w:t>刘</w:t>
      </w:r>
      <w:r>
        <w:rPr>
          <w:rFonts w:hint="eastAsia" w:ascii="宋体"/>
          <w:bCs/>
          <w:sz w:val="24"/>
          <w:szCs w:val="28"/>
        </w:rPr>
        <w:t>污水处理厂项目位于合肥经开北区高刘街道，根据《排污单位自行监测技术指南 水处理)》(HJ 1083-2020),高刘污水处理厂排污许可自行监测规定等文件要求，为加强污染源监测管理</w:t>
      </w:r>
      <w:r>
        <w:rPr>
          <w:rFonts w:hint="eastAsia"/>
          <w:bCs/>
          <w:sz w:val="24"/>
          <w:szCs w:val="28"/>
          <w:lang w:eastAsia="zh-CN"/>
        </w:rPr>
        <w:t>、</w:t>
      </w:r>
      <w:r>
        <w:rPr>
          <w:rFonts w:hint="eastAsia"/>
          <w:bCs/>
          <w:sz w:val="24"/>
          <w:szCs w:val="28"/>
          <w:lang w:val="en-US" w:eastAsia="zh-CN"/>
        </w:rPr>
        <w:t>管网水质掌握、在线监测设备管理，</w:t>
      </w:r>
      <w:r>
        <w:rPr>
          <w:rFonts w:hint="eastAsia" w:ascii="宋体"/>
          <w:bCs/>
          <w:sz w:val="24"/>
          <w:szCs w:val="28"/>
        </w:rPr>
        <w:t>确保出水稳定达标，拟对高刘污水处理厂自行</w:t>
      </w:r>
      <w:r>
        <w:rPr>
          <w:rFonts w:hint="eastAsia"/>
          <w:bCs/>
          <w:sz w:val="24"/>
          <w:szCs w:val="28"/>
          <w:lang w:val="en-US" w:eastAsia="zh-CN"/>
        </w:rPr>
        <w:t>监测</w:t>
      </w:r>
      <w:r>
        <w:rPr>
          <w:rFonts w:hint="eastAsia" w:ascii="宋体"/>
          <w:bCs/>
          <w:sz w:val="24"/>
          <w:szCs w:val="28"/>
        </w:rPr>
        <w:t>中手工</w:t>
      </w:r>
      <w:r>
        <w:rPr>
          <w:rFonts w:hint="eastAsia"/>
          <w:bCs/>
          <w:sz w:val="24"/>
          <w:szCs w:val="28"/>
          <w:lang w:val="en-US" w:eastAsia="zh-CN"/>
        </w:rPr>
        <w:t>检测</w:t>
      </w:r>
      <w:r>
        <w:rPr>
          <w:rFonts w:hint="eastAsia"/>
          <w:bCs/>
          <w:sz w:val="24"/>
          <w:szCs w:val="28"/>
          <w:lang w:eastAsia="zh-CN"/>
        </w:rPr>
        <w:t>，</w:t>
      </w:r>
      <w:r>
        <w:rPr>
          <w:rFonts w:hint="eastAsia"/>
          <w:bCs/>
          <w:sz w:val="24"/>
          <w:szCs w:val="28"/>
          <w:lang w:val="en-US" w:eastAsia="zh-CN"/>
        </w:rPr>
        <w:t>以及厂区5台在线监测设备月度比对检测</w:t>
      </w:r>
      <w:r>
        <w:rPr>
          <w:rFonts w:hint="eastAsia" w:ascii="宋体"/>
          <w:bCs/>
          <w:sz w:val="24"/>
          <w:szCs w:val="28"/>
        </w:rPr>
        <w:t>进行委托</w:t>
      </w:r>
      <w:r>
        <w:rPr>
          <w:rFonts w:hint="eastAsia"/>
          <w:bCs/>
          <w:sz w:val="24"/>
          <w:szCs w:val="28"/>
          <w:lang w:val="en-US" w:eastAsia="zh-CN"/>
        </w:rPr>
        <w:t>项目</w:t>
      </w:r>
      <w:r>
        <w:rPr>
          <w:rFonts w:hint="eastAsia" w:ascii="宋体"/>
          <w:bCs/>
          <w:sz w:val="24"/>
          <w:szCs w:val="28"/>
        </w:rPr>
        <w:t>招标，经估算</w:t>
      </w:r>
      <w:r>
        <w:rPr>
          <w:rFonts w:hint="eastAsia"/>
          <w:bCs/>
          <w:sz w:val="24"/>
          <w:szCs w:val="28"/>
          <w:lang w:val="en-US" w:eastAsia="zh-CN"/>
        </w:rPr>
        <w:t>项目</w:t>
      </w:r>
      <w:r>
        <w:rPr>
          <w:rFonts w:hint="eastAsia" w:ascii="宋体"/>
          <w:bCs/>
          <w:sz w:val="24"/>
          <w:szCs w:val="28"/>
        </w:rPr>
        <w:t>费用</w:t>
      </w:r>
      <w:r>
        <w:rPr>
          <w:rFonts w:hint="eastAsia" w:hAnsi="宋体" w:cs="宋体"/>
          <w:b w:val="0"/>
          <w:bCs w:val="0"/>
          <w:sz w:val="21"/>
          <w:szCs w:val="21"/>
          <w:vertAlign w:val="baseline"/>
          <w:lang w:val="en-US" w:eastAsia="zh-CN"/>
        </w:rPr>
        <w:t>132458</w:t>
      </w:r>
      <w:r>
        <w:rPr>
          <w:rFonts w:hint="eastAsia" w:ascii="宋体"/>
          <w:bCs/>
          <w:sz w:val="24"/>
          <w:szCs w:val="28"/>
        </w:rPr>
        <w:t>元，具体费用由实际发生为准。若标准有变动时，以国家颁布的最新版本为准。</w:t>
      </w:r>
    </w:p>
    <w:p w14:paraId="5D98849E">
      <w:pPr>
        <w:spacing w:line="360" w:lineRule="auto"/>
        <w:rPr>
          <w:rFonts w:hint="default" w:ascii="宋体" w:hAnsi="宋体" w:cs="宋体" w:eastAsiaTheme="minorEastAsia"/>
          <w:b/>
          <w:bCs/>
          <w:sz w:val="28"/>
          <w:szCs w:val="28"/>
          <w:lang w:val="en-US" w:eastAsia="zh-CN"/>
        </w:rPr>
      </w:pPr>
      <w:r>
        <w:rPr>
          <w:rFonts w:hint="eastAsia" w:ascii="宋体" w:hAnsi="宋体" w:cs="宋体"/>
          <w:b/>
          <w:bCs/>
          <w:sz w:val="28"/>
          <w:szCs w:val="28"/>
          <w:lang w:val="en-US" w:eastAsia="zh-CN"/>
        </w:rPr>
        <w:t>二</w:t>
      </w:r>
      <w:r>
        <w:rPr>
          <w:rFonts w:hint="eastAsia" w:ascii="宋体" w:hAnsi="宋体" w:cs="宋体"/>
          <w:b/>
          <w:bCs/>
          <w:sz w:val="28"/>
          <w:szCs w:val="28"/>
        </w:rPr>
        <w:t>、</w:t>
      </w:r>
      <w:r>
        <w:rPr>
          <w:rFonts w:hint="eastAsia" w:ascii="宋体" w:hAnsi="宋体" w:cs="宋体"/>
          <w:b/>
          <w:bCs/>
          <w:sz w:val="28"/>
          <w:szCs w:val="28"/>
          <w:lang w:val="en-US" w:eastAsia="zh-CN"/>
        </w:rPr>
        <w:t>委托内容</w:t>
      </w:r>
    </w:p>
    <w:p w14:paraId="3F920E3C">
      <w:pPr>
        <w:spacing w:line="360" w:lineRule="auto"/>
        <w:ind w:firstLine="480" w:firstLineChars="200"/>
        <w:rPr>
          <w:rFonts w:hint="eastAsia" w:ascii="宋体"/>
          <w:bCs/>
          <w:sz w:val="24"/>
          <w:szCs w:val="28"/>
          <w:lang w:val="en-US" w:eastAsia="zh-CN"/>
        </w:rPr>
      </w:pPr>
      <w:r>
        <w:rPr>
          <w:rFonts w:hint="eastAsia" w:ascii="宋体"/>
          <w:bCs/>
          <w:sz w:val="24"/>
          <w:szCs w:val="28"/>
          <w:lang w:val="en-US" w:eastAsia="zh-CN"/>
        </w:rPr>
        <w:t>就水质进行检测，在取样结束十天内，检测方按照相关标准及规范及时进行检测并出具盖章纸质版检测报告两份，电子版一份。</w:t>
      </w:r>
    </w:p>
    <w:p w14:paraId="67981E29">
      <w:pPr>
        <w:numPr>
          <w:ilvl w:val="0"/>
          <w:numId w:val="1"/>
        </w:numPr>
        <w:spacing w:line="360" w:lineRule="auto"/>
        <w:rPr>
          <w:rFonts w:hint="eastAsia" w:ascii="宋体" w:hAnsi="宋体" w:cs="宋体"/>
          <w:b/>
          <w:bCs/>
          <w:sz w:val="28"/>
          <w:szCs w:val="28"/>
          <w:lang w:val="en-US" w:eastAsia="zh-CN"/>
        </w:rPr>
      </w:pPr>
      <w:r>
        <w:rPr>
          <w:rFonts w:hint="eastAsia" w:ascii="宋体" w:hAnsi="宋体" w:cs="宋体"/>
          <w:b/>
          <w:bCs/>
          <w:sz w:val="28"/>
          <w:szCs w:val="28"/>
          <w:lang w:val="en-US" w:eastAsia="zh-CN"/>
        </w:rPr>
        <w:t>权利与义务</w:t>
      </w:r>
    </w:p>
    <w:p w14:paraId="63923E71">
      <w:pPr>
        <w:spacing w:line="360" w:lineRule="auto"/>
        <w:ind w:firstLine="482" w:firstLineChars="200"/>
        <w:rPr>
          <w:rFonts w:hint="default" w:ascii="宋体" w:eastAsia="宋体"/>
          <w:b/>
          <w:bCs/>
          <w:sz w:val="24"/>
          <w:szCs w:val="28"/>
          <w:lang w:val="en-US" w:eastAsia="zh-CN"/>
        </w:rPr>
      </w:pPr>
      <w:r>
        <w:rPr>
          <w:rFonts w:hint="eastAsia" w:ascii="宋体"/>
          <w:b/>
          <w:bCs/>
          <w:sz w:val="24"/>
          <w:szCs w:val="28"/>
        </w:rPr>
        <w:t>（一）</w:t>
      </w:r>
      <w:r>
        <w:rPr>
          <w:rFonts w:hint="eastAsia" w:ascii="宋体"/>
          <w:b/>
          <w:bCs/>
          <w:sz w:val="24"/>
          <w:szCs w:val="28"/>
          <w:lang w:val="en-US" w:eastAsia="zh-CN"/>
        </w:rPr>
        <w:t>委托方权利与义务</w:t>
      </w:r>
    </w:p>
    <w:p w14:paraId="79D55F21">
      <w:pPr>
        <w:spacing w:line="360" w:lineRule="auto"/>
        <w:ind w:firstLine="480" w:firstLineChars="200"/>
        <w:rPr>
          <w:rFonts w:hint="eastAsia" w:ascii="宋体"/>
          <w:bCs/>
          <w:sz w:val="24"/>
          <w:szCs w:val="28"/>
          <w:lang w:val="en-US" w:eastAsia="zh-CN"/>
        </w:rPr>
      </w:pPr>
      <w:r>
        <w:rPr>
          <w:rFonts w:hint="eastAsia" w:ascii="宋体"/>
          <w:bCs/>
          <w:sz w:val="24"/>
          <w:szCs w:val="28"/>
          <w:lang w:val="en-US" w:eastAsia="zh-CN"/>
        </w:rPr>
        <w:t>1、因委托方临时需要增加或删减检测项目，最终检测项目与上述不符时，则根据实际检测项自的增减计算最终检测费用；</w:t>
      </w:r>
    </w:p>
    <w:p w14:paraId="44A8C1B0">
      <w:pPr>
        <w:spacing w:line="360" w:lineRule="auto"/>
        <w:ind w:firstLine="480" w:firstLineChars="200"/>
        <w:rPr>
          <w:rFonts w:hint="eastAsia" w:ascii="宋体"/>
          <w:bCs/>
          <w:sz w:val="24"/>
          <w:szCs w:val="28"/>
          <w:lang w:val="en-US" w:eastAsia="zh-CN"/>
        </w:rPr>
      </w:pPr>
      <w:r>
        <w:rPr>
          <w:rFonts w:hint="eastAsia" w:ascii="宋体"/>
          <w:bCs/>
          <w:sz w:val="24"/>
          <w:szCs w:val="28"/>
          <w:lang w:val="en-US" w:eastAsia="zh-CN"/>
        </w:rPr>
        <w:t>2、检测方进行现场采样或检测，委托方应提供主要污染物、排污状况等必要的资料，以及厂休日和停电日期等相关信息，并应为采样人员提供适宜的工作条件，如提供检测用电(220V)，并安排熟悉厂区情况的人员配合检测方进行现场采样，进行现场采样时，公司应保持正常工作状态；</w:t>
      </w:r>
    </w:p>
    <w:p w14:paraId="117AAC05">
      <w:pPr>
        <w:spacing w:line="360" w:lineRule="auto"/>
        <w:ind w:firstLine="480" w:firstLineChars="200"/>
        <w:rPr>
          <w:rFonts w:hint="eastAsia" w:ascii="宋体" w:hAnsi="Times New Roman" w:eastAsia="宋体" w:cs="Times New Roman"/>
          <w:bCs/>
          <w:sz w:val="24"/>
          <w:szCs w:val="28"/>
          <w:lang w:val="en-US" w:eastAsia="zh-CN"/>
        </w:rPr>
      </w:pPr>
      <w:r>
        <w:rPr>
          <w:rFonts w:hint="eastAsia" w:ascii="宋体"/>
          <w:bCs/>
          <w:sz w:val="24"/>
          <w:szCs w:val="28"/>
          <w:lang w:val="en-US" w:eastAsia="zh-CN"/>
        </w:rPr>
        <w:t>3、委托方不得因各种原因干涉检测方规范、公正的检测工作，并相应承担双</w:t>
      </w:r>
      <w:r>
        <w:rPr>
          <w:rFonts w:hint="eastAsia" w:ascii="宋体" w:hAnsi="Times New Roman" w:eastAsia="宋体" w:cs="Times New Roman"/>
          <w:bCs/>
          <w:sz w:val="24"/>
          <w:szCs w:val="28"/>
          <w:lang w:val="en-US" w:eastAsia="zh-CN"/>
        </w:rPr>
        <w:t>方的保密义务。</w:t>
      </w:r>
    </w:p>
    <w:p w14:paraId="249C8AEA">
      <w:pPr>
        <w:spacing w:line="360" w:lineRule="auto"/>
        <w:ind w:firstLine="480" w:firstLineChars="200"/>
        <w:rPr>
          <w:rFonts w:hint="default" w:ascii="宋体" w:hAnsi="Times New Roman" w:eastAsia="宋体" w:cs="Times New Roman"/>
          <w:bCs/>
          <w:sz w:val="24"/>
          <w:szCs w:val="28"/>
          <w:lang w:val="en-US" w:eastAsia="zh-CN"/>
        </w:rPr>
      </w:pPr>
      <w:r>
        <w:rPr>
          <w:rFonts w:hint="eastAsia" w:ascii="宋体" w:hAnsi="Times New Roman" w:eastAsia="宋体" w:cs="Times New Roman"/>
          <w:bCs/>
          <w:sz w:val="24"/>
          <w:szCs w:val="28"/>
          <w:lang w:val="en-US" w:eastAsia="zh-CN"/>
        </w:rPr>
        <w:t>4、每月对厂区5台在线设备开展月度比对，现场取样、比对监测，确保监测数据的准确性和比对效果满足环保部门要求；开展在线设备月度比对，应提前于厂区在线运维单位沟通联系，共同确认月度比对时间，并向业主单位报告。</w:t>
      </w:r>
    </w:p>
    <w:p w14:paraId="279F1887">
      <w:pPr>
        <w:spacing w:line="360" w:lineRule="auto"/>
        <w:ind w:firstLine="482" w:firstLineChars="200"/>
        <w:rPr>
          <w:rFonts w:hint="eastAsia" w:ascii="宋体"/>
          <w:bCs/>
          <w:sz w:val="24"/>
          <w:szCs w:val="28"/>
          <w:lang w:val="en-US" w:eastAsia="zh-CN"/>
        </w:rPr>
      </w:pPr>
      <w:r>
        <w:rPr>
          <w:rFonts w:hint="eastAsia" w:ascii="宋体"/>
          <w:b/>
          <w:bCs/>
          <w:sz w:val="24"/>
          <w:szCs w:val="28"/>
          <w:lang w:val="en-US" w:eastAsia="zh-CN"/>
        </w:rPr>
        <w:t>（二）检测方权利和义务:</w:t>
      </w:r>
    </w:p>
    <w:p w14:paraId="53B7CCC6">
      <w:pPr>
        <w:spacing w:line="360" w:lineRule="auto"/>
        <w:ind w:firstLine="480" w:firstLineChars="200"/>
        <w:rPr>
          <w:rFonts w:hint="eastAsia" w:ascii="宋体"/>
          <w:bCs/>
          <w:sz w:val="24"/>
          <w:szCs w:val="28"/>
          <w:lang w:val="en-US" w:eastAsia="zh-CN"/>
        </w:rPr>
      </w:pPr>
      <w:r>
        <w:rPr>
          <w:rFonts w:hint="eastAsia" w:ascii="宋体"/>
          <w:bCs/>
          <w:sz w:val="24"/>
          <w:szCs w:val="28"/>
          <w:lang w:val="en-US" w:eastAsia="zh-CN"/>
        </w:rPr>
        <w:t>1、检测方应严格按国家相关法律、技术规范、标准及实验室检测工作程序进行检测，保证检测结果的公正性、科学性和准确性；</w:t>
      </w:r>
    </w:p>
    <w:p w14:paraId="43286B08">
      <w:pPr>
        <w:spacing w:line="360" w:lineRule="auto"/>
        <w:ind w:firstLine="480" w:firstLineChars="200"/>
        <w:rPr>
          <w:rFonts w:hint="eastAsia" w:ascii="宋体"/>
          <w:bCs/>
          <w:sz w:val="24"/>
          <w:szCs w:val="28"/>
          <w:lang w:val="en-US" w:eastAsia="zh-CN"/>
        </w:rPr>
      </w:pPr>
      <w:r>
        <w:rPr>
          <w:rFonts w:hint="eastAsia" w:ascii="宋体"/>
          <w:bCs/>
          <w:sz w:val="24"/>
          <w:szCs w:val="28"/>
          <w:lang w:val="en-US" w:eastAsia="zh-CN"/>
        </w:rPr>
        <w:t>2、检测方应为委托方所提供的资料以及技术产品、生产工艺等承担保密义务，不得向第三方公布委托方的任何信息；</w:t>
      </w:r>
    </w:p>
    <w:p w14:paraId="393A2151">
      <w:pPr>
        <w:spacing w:line="360" w:lineRule="auto"/>
        <w:ind w:firstLine="480" w:firstLineChars="200"/>
        <w:rPr>
          <w:rFonts w:hint="eastAsia" w:ascii="宋体"/>
          <w:bCs/>
          <w:sz w:val="24"/>
          <w:szCs w:val="28"/>
          <w:lang w:val="en-US" w:eastAsia="zh-CN"/>
        </w:rPr>
      </w:pPr>
      <w:r>
        <w:rPr>
          <w:rFonts w:hint="eastAsia" w:ascii="宋体"/>
          <w:bCs/>
          <w:sz w:val="24"/>
          <w:szCs w:val="28"/>
          <w:lang w:val="en-US" w:eastAsia="zh-CN"/>
        </w:rPr>
        <w:t>3、检测方应协助委托方评估其检测项目是否符合相关要求(委托方提供要求标准)，对委托方提出的有关检测结果的疑问，检测方应及时进行解释、复核。协助委托方建立监测记录档案和配合接受行政执法现场检查；</w:t>
      </w:r>
    </w:p>
    <w:p w14:paraId="6A796514">
      <w:pPr>
        <w:spacing w:line="360" w:lineRule="auto"/>
        <w:ind w:firstLine="480" w:firstLineChars="200"/>
        <w:rPr>
          <w:rFonts w:hint="eastAsia" w:ascii="宋体"/>
          <w:bCs/>
          <w:sz w:val="24"/>
          <w:szCs w:val="28"/>
          <w:lang w:val="en-US" w:eastAsia="zh-CN"/>
        </w:rPr>
      </w:pPr>
      <w:r>
        <w:rPr>
          <w:rFonts w:hint="eastAsia" w:ascii="宋体"/>
          <w:bCs/>
          <w:sz w:val="24"/>
          <w:szCs w:val="28"/>
          <w:lang w:val="en-US" w:eastAsia="zh-CN"/>
        </w:rPr>
        <w:t>4、依据国家规范及质量控制要求执行，同时按照相关检测标准使用检测方在大型科学仪器设备共享服务平台登记的设备。</w:t>
      </w:r>
    </w:p>
    <w:p w14:paraId="61599AFA">
      <w:pPr>
        <w:numPr>
          <w:ilvl w:val="0"/>
          <w:numId w:val="0"/>
        </w:numPr>
        <w:spacing w:line="360" w:lineRule="auto"/>
        <w:rPr>
          <w:rFonts w:hint="eastAsia" w:ascii="宋体" w:hAnsi="宋体" w:cs="宋体"/>
          <w:b/>
          <w:bCs/>
          <w:sz w:val="28"/>
          <w:szCs w:val="28"/>
          <w:lang w:val="en-US" w:eastAsia="zh-CN"/>
        </w:rPr>
      </w:pPr>
    </w:p>
    <w:p w14:paraId="0834CCF7">
      <w:pPr>
        <w:numPr>
          <w:ilvl w:val="0"/>
          <w:numId w:val="0"/>
        </w:numPr>
        <w:spacing w:line="360" w:lineRule="auto"/>
        <w:rPr>
          <w:rFonts w:hint="eastAsia" w:ascii="宋体" w:hAnsi="宋体" w:cs="宋体"/>
          <w:b/>
          <w:bCs/>
          <w:sz w:val="28"/>
          <w:szCs w:val="28"/>
          <w:lang w:val="en-US" w:eastAsia="zh-CN"/>
        </w:rPr>
      </w:pPr>
      <w:r>
        <w:rPr>
          <w:rFonts w:hint="eastAsia" w:ascii="宋体" w:hAnsi="宋体" w:cs="宋体"/>
          <w:b/>
          <w:bCs/>
          <w:sz w:val="28"/>
          <w:szCs w:val="28"/>
          <w:lang w:val="en-US" w:eastAsia="zh-CN"/>
        </w:rPr>
        <w:t>四、报价</w:t>
      </w:r>
      <w:r>
        <w:rPr>
          <w:rFonts w:hint="eastAsia" w:hAnsi="宋体" w:cs="宋体"/>
          <w:b/>
          <w:bCs/>
          <w:sz w:val="28"/>
          <w:szCs w:val="28"/>
          <w:lang w:val="en-US" w:eastAsia="zh-CN"/>
        </w:rPr>
        <w:t>清单</w:t>
      </w:r>
    </w:p>
    <w:tbl>
      <w:tblPr>
        <w:tblStyle w:val="20"/>
        <w:tblW w:w="9767" w:type="dxa"/>
        <w:tblInd w:w="-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
        <w:gridCol w:w="1150"/>
        <w:gridCol w:w="6173"/>
        <w:gridCol w:w="877"/>
        <w:gridCol w:w="1183"/>
      </w:tblGrid>
      <w:tr w14:paraId="2B31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gridSpan w:val="2"/>
            <w:vAlign w:val="center"/>
          </w:tcPr>
          <w:p w14:paraId="18747001">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检测项目</w:t>
            </w:r>
          </w:p>
        </w:tc>
        <w:tc>
          <w:tcPr>
            <w:tcW w:w="6173" w:type="dxa"/>
            <w:vAlign w:val="center"/>
          </w:tcPr>
          <w:p w14:paraId="55AF3C72">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检测标准与方法</w:t>
            </w:r>
          </w:p>
        </w:tc>
        <w:tc>
          <w:tcPr>
            <w:tcW w:w="877" w:type="dxa"/>
            <w:vAlign w:val="center"/>
          </w:tcPr>
          <w:p w14:paraId="068A53E7">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控制单价(元)</w:t>
            </w:r>
          </w:p>
        </w:tc>
        <w:tc>
          <w:tcPr>
            <w:tcW w:w="1183" w:type="dxa"/>
            <w:vAlign w:val="center"/>
          </w:tcPr>
          <w:p w14:paraId="6C53E4C7">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检测频次</w:t>
            </w:r>
          </w:p>
        </w:tc>
      </w:tr>
      <w:tr w14:paraId="7AEC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384" w:type="dxa"/>
            <w:vMerge w:val="restart"/>
            <w:vAlign w:val="center"/>
          </w:tcPr>
          <w:p w14:paraId="2FBE09F4">
            <w:pPr>
              <w:numPr>
                <w:ilvl w:val="0"/>
                <w:numId w:val="0"/>
              </w:numPr>
              <w:spacing w:line="360" w:lineRule="auto"/>
              <w:jc w:val="both"/>
              <w:rPr>
                <w:rFonts w:hint="eastAsia"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进水</w:t>
            </w:r>
            <w:r>
              <w:rPr>
                <w:rFonts w:hint="eastAsia" w:ascii="宋体" w:hAnsi="宋体" w:cs="宋体"/>
                <w:b w:val="0"/>
                <w:bCs w:val="0"/>
                <w:sz w:val="21"/>
                <w:szCs w:val="21"/>
                <w:vertAlign w:val="baseline"/>
                <w:lang w:val="en-US" w:eastAsia="zh-CN"/>
              </w:rPr>
              <w:t>水质</w:t>
            </w:r>
          </w:p>
        </w:tc>
        <w:tc>
          <w:tcPr>
            <w:tcW w:w="1150" w:type="dxa"/>
            <w:vAlign w:val="center"/>
          </w:tcPr>
          <w:p w14:paraId="120FC1DA">
            <w:pPr>
              <w:keepNext w:val="0"/>
              <w:keepLines w:val="0"/>
              <w:widowControl/>
              <w:suppressLineNumbers w:val="0"/>
              <w:jc w:val="center"/>
              <w:textAlignment w:val="center"/>
              <w:rPr>
                <w:rFonts w:hint="eastAsia"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COD</w:t>
            </w:r>
            <w:r>
              <w:rPr>
                <w:rFonts w:hint="eastAsia" w:ascii="宋体" w:hAnsi="宋体" w:cs="宋体"/>
                <w:b w:val="0"/>
                <w:bCs w:val="0"/>
                <w:sz w:val="21"/>
                <w:szCs w:val="21"/>
                <w:highlight w:val="none"/>
                <w:vertAlign w:val="subscript"/>
                <w:lang w:val="en-US" w:eastAsia="zh-CN"/>
              </w:rPr>
              <w:t>cr</w:t>
            </w:r>
          </w:p>
        </w:tc>
        <w:tc>
          <w:tcPr>
            <w:tcW w:w="6173" w:type="dxa"/>
            <w:vAlign w:val="top"/>
          </w:tcPr>
          <w:p w14:paraId="3A22ED8C">
            <w:pPr>
              <w:numPr>
                <w:ilvl w:val="0"/>
                <w:numId w:val="0"/>
              </w:numPr>
              <w:spacing w:line="360" w:lineRule="auto"/>
              <w:ind w:left="0" w:leftChars="0" w:firstLine="0" w:firstLineChars="0"/>
              <w:rPr>
                <w:rFonts w:hint="eastAsia"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水质 化学需氧量的测定 重铬酸盐法 HJ 828-2017</w:t>
            </w:r>
          </w:p>
        </w:tc>
        <w:tc>
          <w:tcPr>
            <w:tcW w:w="877" w:type="dxa"/>
            <w:vAlign w:val="center"/>
          </w:tcPr>
          <w:p w14:paraId="118D3A68">
            <w:pPr>
              <w:numPr>
                <w:ilvl w:val="0"/>
                <w:numId w:val="0"/>
              </w:numPr>
              <w:spacing w:line="360" w:lineRule="auto"/>
              <w:ind w:left="0" w:leftChars="0" w:firstLine="0" w:firstLineChars="0"/>
              <w:jc w:val="center"/>
              <w:rPr>
                <w:rFonts w:hint="eastAsia"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80</w:t>
            </w:r>
          </w:p>
        </w:tc>
        <w:tc>
          <w:tcPr>
            <w:tcW w:w="1183" w:type="dxa"/>
            <w:vAlign w:val="center"/>
          </w:tcPr>
          <w:p w14:paraId="3D3BF4DB">
            <w:pPr>
              <w:numPr>
                <w:ilvl w:val="0"/>
                <w:numId w:val="0"/>
              </w:numPr>
              <w:spacing w:line="360" w:lineRule="auto"/>
              <w:ind w:left="0" w:leftChars="0" w:firstLine="0" w:firstLineChars="0"/>
              <w:jc w:val="both"/>
              <w:rPr>
                <w:rFonts w:hint="eastAsia"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05E4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4" w:type="dxa"/>
            <w:vMerge w:val="continue"/>
            <w:vAlign w:val="center"/>
          </w:tcPr>
          <w:p w14:paraId="333C8F7E">
            <w:pPr>
              <w:numPr>
                <w:ilvl w:val="0"/>
                <w:numId w:val="0"/>
              </w:numPr>
              <w:spacing w:line="360" w:lineRule="auto"/>
              <w:jc w:val="both"/>
              <w:rPr>
                <w:rFonts w:hint="default" w:ascii="宋体" w:hAnsi="宋体" w:cs="宋体"/>
                <w:b w:val="0"/>
                <w:bCs w:val="0"/>
                <w:sz w:val="21"/>
                <w:szCs w:val="21"/>
                <w:vertAlign w:val="baseline"/>
                <w:lang w:val="en-US" w:eastAsia="zh-CN"/>
              </w:rPr>
            </w:pPr>
          </w:p>
        </w:tc>
        <w:tc>
          <w:tcPr>
            <w:tcW w:w="1150" w:type="dxa"/>
            <w:vAlign w:val="center"/>
          </w:tcPr>
          <w:p w14:paraId="5E11A1C7">
            <w:pPr>
              <w:keepNext w:val="0"/>
              <w:keepLines w:val="0"/>
              <w:widowControl/>
              <w:suppressLineNumbers w:val="0"/>
              <w:jc w:val="center"/>
              <w:textAlignment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BOD</w:t>
            </w:r>
            <w:r>
              <w:rPr>
                <w:rFonts w:hint="eastAsia" w:ascii="宋体" w:hAnsi="宋体" w:cs="宋体"/>
                <w:b w:val="0"/>
                <w:bCs w:val="0"/>
                <w:sz w:val="21"/>
                <w:szCs w:val="21"/>
                <w:highlight w:val="none"/>
                <w:vertAlign w:val="subscript"/>
                <w:lang w:val="en-US" w:eastAsia="zh-CN"/>
              </w:rPr>
              <w:t>5</w:t>
            </w:r>
          </w:p>
        </w:tc>
        <w:tc>
          <w:tcPr>
            <w:tcW w:w="6173" w:type="dxa"/>
          </w:tcPr>
          <w:p w14:paraId="321A8709">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水质 五日生化需氧量的测定 稀释与接种法 HJ 505-2009</w:t>
            </w:r>
          </w:p>
        </w:tc>
        <w:tc>
          <w:tcPr>
            <w:tcW w:w="877" w:type="dxa"/>
            <w:vAlign w:val="center"/>
          </w:tcPr>
          <w:p w14:paraId="3F3B72E7">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145</w:t>
            </w:r>
          </w:p>
        </w:tc>
        <w:tc>
          <w:tcPr>
            <w:tcW w:w="1183" w:type="dxa"/>
            <w:vAlign w:val="center"/>
          </w:tcPr>
          <w:p w14:paraId="08D07484">
            <w:pPr>
              <w:numPr>
                <w:ilvl w:val="0"/>
                <w:numId w:val="0"/>
              </w:numPr>
              <w:spacing w:line="360" w:lineRule="auto"/>
              <w:jc w:val="both"/>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1D96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trPr>
        <w:tc>
          <w:tcPr>
            <w:tcW w:w="384" w:type="dxa"/>
            <w:vMerge w:val="continue"/>
            <w:vAlign w:val="center"/>
          </w:tcPr>
          <w:p w14:paraId="3F0A5CC2">
            <w:pPr>
              <w:numPr>
                <w:ilvl w:val="0"/>
                <w:numId w:val="0"/>
              </w:numPr>
              <w:spacing w:line="360" w:lineRule="auto"/>
              <w:jc w:val="both"/>
              <w:rPr>
                <w:rFonts w:hint="default" w:ascii="宋体" w:hAnsi="宋体" w:cs="宋体"/>
                <w:b w:val="0"/>
                <w:bCs w:val="0"/>
                <w:sz w:val="21"/>
                <w:szCs w:val="21"/>
                <w:vertAlign w:val="baseline"/>
                <w:lang w:val="en-US" w:eastAsia="zh-CN"/>
              </w:rPr>
            </w:pPr>
          </w:p>
        </w:tc>
        <w:tc>
          <w:tcPr>
            <w:tcW w:w="1150" w:type="dxa"/>
            <w:vAlign w:val="center"/>
          </w:tcPr>
          <w:p w14:paraId="478B9B86">
            <w:pPr>
              <w:keepNext w:val="0"/>
              <w:keepLines w:val="0"/>
              <w:widowControl/>
              <w:suppressLineNumbers w:val="0"/>
              <w:jc w:val="center"/>
              <w:textAlignment w:val="center"/>
              <w:rPr>
                <w:rFonts w:hint="default" w:ascii="宋体" w:hAnsi="宋体" w:cs="宋体"/>
                <w:b w:val="0"/>
                <w:bCs w:val="0"/>
                <w:sz w:val="21"/>
                <w:szCs w:val="21"/>
                <w:highlight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氨氮</w:t>
            </w:r>
          </w:p>
        </w:tc>
        <w:tc>
          <w:tcPr>
            <w:tcW w:w="6173" w:type="dxa"/>
          </w:tcPr>
          <w:p w14:paraId="448A4C95">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水质 氨氮的测定 纳氏试剂分光光度法 HJ 535-2009</w:t>
            </w:r>
          </w:p>
        </w:tc>
        <w:tc>
          <w:tcPr>
            <w:tcW w:w="877" w:type="dxa"/>
            <w:vAlign w:val="center"/>
          </w:tcPr>
          <w:p w14:paraId="3D01FA49">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80</w:t>
            </w:r>
          </w:p>
        </w:tc>
        <w:tc>
          <w:tcPr>
            <w:tcW w:w="1183" w:type="dxa"/>
            <w:vAlign w:val="center"/>
          </w:tcPr>
          <w:p w14:paraId="451122E7">
            <w:pPr>
              <w:numPr>
                <w:ilvl w:val="0"/>
                <w:numId w:val="0"/>
              </w:numPr>
              <w:spacing w:line="360" w:lineRule="auto"/>
              <w:jc w:val="both"/>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7288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384" w:type="dxa"/>
            <w:vMerge w:val="continue"/>
            <w:vAlign w:val="center"/>
          </w:tcPr>
          <w:p w14:paraId="773C8AD8">
            <w:pPr>
              <w:numPr>
                <w:ilvl w:val="0"/>
                <w:numId w:val="0"/>
              </w:numPr>
              <w:spacing w:line="360" w:lineRule="auto"/>
              <w:jc w:val="both"/>
              <w:rPr>
                <w:rFonts w:hint="default" w:ascii="宋体" w:hAnsi="宋体" w:cs="宋体"/>
                <w:b w:val="0"/>
                <w:bCs w:val="0"/>
                <w:sz w:val="21"/>
                <w:szCs w:val="21"/>
                <w:vertAlign w:val="baseline"/>
                <w:lang w:val="en-US" w:eastAsia="zh-CN"/>
              </w:rPr>
            </w:pPr>
          </w:p>
        </w:tc>
        <w:tc>
          <w:tcPr>
            <w:tcW w:w="1150" w:type="dxa"/>
            <w:vAlign w:val="center"/>
          </w:tcPr>
          <w:p w14:paraId="7CB49200">
            <w:pPr>
              <w:keepNext w:val="0"/>
              <w:keepLines w:val="0"/>
              <w:widowControl/>
              <w:suppressLineNumbers w:val="0"/>
              <w:jc w:val="center"/>
              <w:textAlignment w:val="center"/>
              <w:rPr>
                <w:rFonts w:hint="default" w:ascii="宋体" w:hAnsi="宋体" w:cs="宋体"/>
                <w:b w:val="0"/>
                <w:bCs w:val="0"/>
                <w:sz w:val="21"/>
                <w:szCs w:val="21"/>
                <w:highlight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总氮</w:t>
            </w:r>
          </w:p>
        </w:tc>
        <w:tc>
          <w:tcPr>
            <w:tcW w:w="6173" w:type="dxa"/>
          </w:tcPr>
          <w:p w14:paraId="5DD0EC35">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水质 总氮的测定 碱性过硫酸钾消解紫外分光光度法 HJ 636-2012</w:t>
            </w:r>
          </w:p>
        </w:tc>
        <w:tc>
          <w:tcPr>
            <w:tcW w:w="877" w:type="dxa"/>
            <w:vAlign w:val="center"/>
          </w:tcPr>
          <w:p w14:paraId="2786040E">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105</w:t>
            </w:r>
          </w:p>
        </w:tc>
        <w:tc>
          <w:tcPr>
            <w:tcW w:w="1183" w:type="dxa"/>
            <w:vAlign w:val="center"/>
          </w:tcPr>
          <w:p w14:paraId="09DF2BB5">
            <w:pPr>
              <w:numPr>
                <w:ilvl w:val="0"/>
                <w:numId w:val="0"/>
              </w:numPr>
              <w:spacing w:line="360" w:lineRule="auto"/>
              <w:jc w:val="both"/>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1C4D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384" w:type="dxa"/>
            <w:vMerge w:val="continue"/>
            <w:vAlign w:val="center"/>
          </w:tcPr>
          <w:p w14:paraId="1DF32435">
            <w:pPr>
              <w:numPr>
                <w:ilvl w:val="0"/>
                <w:numId w:val="0"/>
              </w:numPr>
              <w:spacing w:line="360" w:lineRule="auto"/>
              <w:jc w:val="both"/>
              <w:rPr>
                <w:rFonts w:hint="default" w:ascii="宋体" w:hAnsi="宋体" w:cs="宋体"/>
                <w:b w:val="0"/>
                <w:bCs w:val="0"/>
                <w:sz w:val="21"/>
                <w:szCs w:val="21"/>
                <w:vertAlign w:val="baseline"/>
                <w:lang w:val="en-US" w:eastAsia="zh-CN"/>
              </w:rPr>
            </w:pPr>
          </w:p>
        </w:tc>
        <w:tc>
          <w:tcPr>
            <w:tcW w:w="1150" w:type="dxa"/>
            <w:vAlign w:val="center"/>
          </w:tcPr>
          <w:p w14:paraId="7F1B5B3E">
            <w:pPr>
              <w:keepNext w:val="0"/>
              <w:keepLines w:val="0"/>
              <w:widowControl/>
              <w:suppressLineNumbers w:val="0"/>
              <w:jc w:val="center"/>
              <w:textAlignment w:val="center"/>
              <w:rPr>
                <w:rFonts w:hint="default" w:ascii="宋体" w:hAnsi="宋体" w:cs="宋体"/>
                <w:b w:val="0"/>
                <w:bCs w:val="0"/>
                <w:sz w:val="21"/>
                <w:szCs w:val="21"/>
                <w:highlight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总磷</w:t>
            </w:r>
          </w:p>
        </w:tc>
        <w:tc>
          <w:tcPr>
            <w:tcW w:w="6173" w:type="dxa"/>
          </w:tcPr>
          <w:p w14:paraId="1D1E88D2">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水质 总磷的测定 钼氨酸分光光度法 GB/T 11893-1989</w:t>
            </w:r>
          </w:p>
        </w:tc>
        <w:tc>
          <w:tcPr>
            <w:tcW w:w="877" w:type="dxa"/>
            <w:vAlign w:val="center"/>
          </w:tcPr>
          <w:p w14:paraId="5969CC92">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85</w:t>
            </w:r>
          </w:p>
        </w:tc>
        <w:tc>
          <w:tcPr>
            <w:tcW w:w="1183" w:type="dxa"/>
            <w:vAlign w:val="center"/>
          </w:tcPr>
          <w:p w14:paraId="15B95E36">
            <w:pPr>
              <w:numPr>
                <w:ilvl w:val="0"/>
                <w:numId w:val="0"/>
              </w:numPr>
              <w:spacing w:line="360" w:lineRule="auto"/>
              <w:jc w:val="both"/>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3863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384" w:type="dxa"/>
            <w:vMerge w:val="restart"/>
            <w:vAlign w:val="center"/>
          </w:tcPr>
          <w:p w14:paraId="42FA3FB4">
            <w:pPr>
              <w:numPr>
                <w:ilvl w:val="0"/>
                <w:numId w:val="0"/>
              </w:numPr>
              <w:spacing w:line="360" w:lineRule="auto"/>
              <w:jc w:val="center"/>
              <w:rPr>
                <w:rFonts w:hint="eastAsia"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出水</w:t>
            </w:r>
            <w:r>
              <w:rPr>
                <w:rFonts w:hint="eastAsia" w:ascii="宋体" w:hAnsi="宋体" w:cs="宋体"/>
                <w:b w:val="0"/>
                <w:bCs w:val="0"/>
                <w:sz w:val="21"/>
                <w:szCs w:val="21"/>
                <w:vertAlign w:val="baseline"/>
                <w:lang w:val="en-US" w:eastAsia="zh-CN"/>
              </w:rPr>
              <w:t>水质</w:t>
            </w:r>
          </w:p>
        </w:tc>
        <w:tc>
          <w:tcPr>
            <w:tcW w:w="1150" w:type="dxa"/>
            <w:vAlign w:val="top"/>
          </w:tcPr>
          <w:p w14:paraId="536A56E1">
            <w:pPr>
              <w:numPr>
                <w:ilvl w:val="0"/>
                <w:numId w:val="0"/>
              </w:numPr>
              <w:spacing w:line="360" w:lineRule="auto"/>
              <w:ind w:left="0" w:leftChars="0" w:firstLine="0" w:firstLineChars="0"/>
              <w:jc w:val="center"/>
              <w:rPr>
                <w:rFonts w:hint="eastAsia"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PH值</w:t>
            </w:r>
          </w:p>
        </w:tc>
        <w:tc>
          <w:tcPr>
            <w:tcW w:w="6173" w:type="dxa"/>
            <w:vAlign w:val="top"/>
          </w:tcPr>
          <w:p w14:paraId="3A83D7A7">
            <w:pPr>
              <w:numPr>
                <w:ilvl w:val="0"/>
                <w:numId w:val="0"/>
              </w:numPr>
              <w:spacing w:line="360" w:lineRule="auto"/>
              <w:ind w:left="0" w:leftChars="0" w:firstLine="0" w:firstLineChars="0"/>
              <w:rPr>
                <w:rFonts w:hint="eastAsia"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水质 PH的测定 玻璃电极法 GB/T 6920-1986</w:t>
            </w:r>
          </w:p>
        </w:tc>
        <w:tc>
          <w:tcPr>
            <w:tcW w:w="877" w:type="dxa"/>
            <w:vAlign w:val="center"/>
          </w:tcPr>
          <w:p w14:paraId="64D05C9F">
            <w:pPr>
              <w:numPr>
                <w:ilvl w:val="0"/>
                <w:numId w:val="0"/>
              </w:numPr>
              <w:spacing w:line="360" w:lineRule="auto"/>
              <w:ind w:left="0" w:leftChars="0" w:firstLine="0" w:firstLineChars="0"/>
              <w:jc w:val="center"/>
              <w:rPr>
                <w:rFonts w:hint="eastAsia"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10</w:t>
            </w:r>
          </w:p>
        </w:tc>
        <w:tc>
          <w:tcPr>
            <w:tcW w:w="1183" w:type="dxa"/>
            <w:vAlign w:val="center"/>
          </w:tcPr>
          <w:p w14:paraId="72781DD4">
            <w:pPr>
              <w:numPr>
                <w:ilvl w:val="0"/>
                <w:numId w:val="0"/>
              </w:numPr>
              <w:spacing w:line="360" w:lineRule="auto"/>
              <w:ind w:left="0" w:leftChars="0" w:firstLine="0" w:firstLineChars="0"/>
              <w:jc w:val="center"/>
              <w:rPr>
                <w:rFonts w:hint="eastAsia"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1次/周</w:t>
            </w:r>
          </w:p>
        </w:tc>
      </w:tr>
      <w:tr w14:paraId="5E3D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7BDFFED0">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138282BF">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COD</w:t>
            </w:r>
            <w:r>
              <w:rPr>
                <w:rFonts w:hint="eastAsia" w:ascii="宋体" w:hAnsi="宋体" w:cs="宋体"/>
                <w:b w:val="0"/>
                <w:bCs w:val="0"/>
                <w:sz w:val="21"/>
                <w:szCs w:val="21"/>
                <w:highlight w:val="none"/>
                <w:vertAlign w:val="subscript"/>
                <w:lang w:val="en-US" w:eastAsia="zh-CN"/>
              </w:rPr>
              <w:t>cr</w:t>
            </w:r>
          </w:p>
        </w:tc>
        <w:tc>
          <w:tcPr>
            <w:tcW w:w="6173" w:type="dxa"/>
          </w:tcPr>
          <w:p w14:paraId="7E4D035E">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水质 化学需氧量的测定 重铬酸盐法 HJ 828-2017</w:t>
            </w:r>
          </w:p>
        </w:tc>
        <w:tc>
          <w:tcPr>
            <w:tcW w:w="877" w:type="dxa"/>
            <w:vAlign w:val="center"/>
          </w:tcPr>
          <w:p w14:paraId="1D0BD8A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80</w:t>
            </w:r>
          </w:p>
        </w:tc>
        <w:tc>
          <w:tcPr>
            <w:tcW w:w="1183" w:type="dxa"/>
            <w:vAlign w:val="center"/>
          </w:tcPr>
          <w:p w14:paraId="0739A82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1次/半月</w:t>
            </w:r>
          </w:p>
        </w:tc>
      </w:tr>
      <w:tr w14:paraId="4568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1D6146A4">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29E61CEA">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氨氮</w:t>
            </w:r>
          </w:p>
        </w:tc>
        <w:tc>
          <w:tcPr>
            <w:tcW w:w="6173" w:type="dxa"/>
          </w:tcPr>
          <w:p w14:paraId="1620923B">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水质 氨氮的测定 纳氏试剂分光光度法 HJ 535-2009</w:t>
            </w:r>
          </w:p>
        </w:tc>
        <w:tc>
          <w:tcPr>
            <w:tcW w:w="877" w:type="dxa"/>
            <w:vAlign w:val="center"/>
          </w:tcPr>
          <w:p w14:paraId="6F41FBF0">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80</w:t>
            </w:r>
          </w:p>
        </w:tc>
        <w:tc>
          <w:tcPr>
            <w:tcW w:w="1183" w:type="dxa"/>
            <w:vAlign w:val="center"/>
          </w:tcPr>
          <w:p w14:paraId="66FE23B5">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1次/半月</w:t>
            </w:r>
          </w:p>
        </w:tc>
      </w:tr>
      <w:tr w14:paraId="367D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3626C628">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58BA33BE">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SS</w:t>
            </w:r>
          </w:p>
        </w:tc>
        <w:tc>
          <w:tcPr>
            <w:tcW w:w="6173" w:type="dxa"/>
          </w:tcPr>
          <w:p w14:paraId="44C6F0C1">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水质 悬浮物的测定 重量法 GB/T 11901-1989</w:t>
            </w:r>
          </w:p>
        </w:tc>
        <w:tc>
          <w:tcPr>
            <w:tcW w:w="877" w:type="dxa"/>
            <w:vAlign w:val="center"/>
          </w:tcPr>
          <w:p w14:paraId="548D370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58</w:t>
            </w:r>
          </w:p>
        </w:tc>
        <w:tc>
          <w:tcPr>
            <w:tcW w:w="1183" w:type="dxa"/>
            <w:vAlign w:val="center"/>
          </w:tcPr>
          <w:p w14:paraId="3DBA01A7">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1次/周</w:t>
            </w:r>
          </w:p>
        </w:tc>
      </w:tr>
      <w:tr w14:paraId="798D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09FDDD71">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364DA6CD">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BOD</w:t>
            </w:r>
            <w:r>
              <w:rPr>
                <w:rFonts w:hint="eastAsia" w:ascii="宋体" w:hAnsi="宋体" w:cs="宋体"/>
                <w:b w:val="0"/>
                <w:bCs w:val="0"/>
                <w:sz w:val="21"/>
                <w:szCs w:val="21"/>
                <w:highlight w:val="none"/>
                <w:vertAlign w:val="subscript"/>
                <w:lang w:val="en-US" w:eastAsia="zh-CN"/>
              </w:rPr>
              <w:t>5</w:t>
            </w:r>
          </w:p>
        </w:tc>
        <w:tc>
          <w:tcPr>
            <w:tcW w:w="6173" w:type="dxa"/>
            <w:vAlign w:val="top"/>
          </w:tcPr>
          <w:p w14:paraId="220E2968">
            <w:pPr>
              <w:numPr>
                <w:ilvl w:val="0"/>
                <w:numId w:val="0"/>
              </w:numPr>
              <w:spacing w:line="360" w:lineRule="auto"/>
              <w:ind w:left="0" w:leftChars="0" w:firstLine="0" w:firstLineChars="0"/>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水质 五日生化需氧量的测定 稀释与接种法 HJ 505-2009</w:t>
            </w:r>
          </w:p>
        </w:tc>
        <w:tc>
          <w:tcPr>
            <w:tcW w:w="877" w:type="dxa"/>
            <w:vAlign w:val="center"/>
          </w:tcPr>
          <w:p w14:paraId="7FF726F8">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145</w:t>
            </w:r>
          </w:p>
        </w:tc>
        <w:tc>
          <w:tcPr>
            <w:tcW w:w="1183" w:type="dxa"/>
            <w:vAlign w:val="center"/>
          </w:tcPr>
          <w:p w14:paraId="6E157ED2">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1次/周</w:t>
            </w:r>
          </w:p>
        </w:tc>
      </w:tr>
      <w:tr w14:paraId="20D4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7885906B">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17DC1CBD">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总氮</w:t>
            </w:r>
          </w:p>
        </w:tc>
        <w:tc>
          <w:tcPr>
            <w:tcW w:w="6173" w:type="dxa"/>
            <w:vAlign w:val="top"/>
          </w:tcPr>
          <w:p w14:paraId="0AE21F76">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总氮的测定 碱性过硫酸钾消解紫外分光光度法 HJ 636-2012</w:t>
            </w:r>
          </w:p>
        </w:tc>
        <w:tc>
          <w:tcPr>
            <w:tcW w:w="877" w:type="dxa"/>
            <w:vAlign w:val="center"/>
          </w:tcPr>
          <w:p w14:paraId="6A2501BE">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105</w:t>
            </w:r>
          </w:p>
        </w:tc>
        <w:tc>
          <w:tcPr>
            <w:tcW w:w="1183" w:type="dxa"/>
            <w:vAlign w:val="center"/>
          </w:tcPr>
          <w:p w14:paraId="2459AD01">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1次/周</w:t>
            </w:r>
          </w:p>
        </w:tc>
      </w:tr>
      <w:tr w14:paraId="43C6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6285B926">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64947B22">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总磷</w:t>
            </w:r>
          </w:p>
        </w:tc>
        <w:tc>
          <w:tcPr>
            <w:tcW w:w="6173" w:type="dxa"/>
            <w:vAlign w:val="top"/>
          </w:tcPr>
          <w:p w14:paraId="305A95BA">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总磷的测定 钼氨酸分光光度法 GB/T 11893-1989</w:t>
            </w:r>
          </w:p>
        </w:tc>
        <w:tc>
          <w:tcPr>
            <w:tcW w:w="877" w:type="dxa"/>
            <w:vAlign w:val="center"/>
          </w:tcPr>
          <w:p w14:paraId="27DF03CA">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85</w:t>
            </w:r>
          </w:p>
        </w:tc>
        <w:tc>
          <w:tcPr>
            <w:tcW w:w="1183" w:type="dxa"/>
            <w:vAlign w:val="center"/>
          </w:tcPr>
          <w:p w14:paraId="18E47426">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1次/周</w:t>
            </w:r>
          </w:p>
        </w:tc>
      </w:tr>
      <w:tr w14:paraId="2C33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59983045">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5C308085">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石油类</w:t>
            </w:r>
          </w:p>
        </w:tc>
        <w:tc>
          <w:tcPr>
            <w:tcW w:w="6173" w:type="dxa"/>
            <w:vAlign w:val="top"/>
          </w:tcPr>
          <w:p w14:paraId="4DC1BCB8">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石油类和动植物油的测定 红外分光光度法 HJ 637-2012</w:t>
            </w:r>
          </w:p>
        </w:tc>
        <w:tc>
          <w:tcPr>
            <w:tcW w:w="877" w:type="dxa"/>
            <w:vAlign w:val="center"/>
          </w:tcPr>
          <w:p w14:paraId="6887631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122</w:t>
            </w:r>
          </w:p>
        </w:tc>
        <w:tc>
          <w:tcPr>
            <w:tcW w:w="1183" w:type="dxa"/>
            <w:vAlign w:val="center"/>
          </w:tcPr>
          <w:p w14:paraId="738E901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1次/月</w:t>
            </w:r>
          </w:p>
        </w:tc>
      </w:tr>
      <w:tr w14:paraId="787D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63117D4C">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245F8DA5">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动植物油</w:t>
            </w:r>
          </w:p>
        </w:tc>
        <w:tc>
          <w:tcPr>
            <w:tcW w:w="6173" w:type="dxa"/>
            <w:vAlign w:val="top"/>
          </w:tcPr>
          <w:p w14:paraId="22D4E6DB">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石油类和动植物油的测定 红外分光光度法 HJ 637-2012</w:t>
            </w:r>
          </w:p>
        </w:tc>
        <w:tc>
          <w:tcPr>
            <w:tcW w:w="877" w:type="dxa"/>
            <w:vAlign w:val="center"/>
          </w:tcPr>
          <w:p w14:paraId="126AE2D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122</w:t>
            </w:r>
          </w:p>
        </w:tc>
        <w:tc>
          <w:tcPr>
            <w:tcW w:w="1183" w:type="dxa"/>
            <w:vAlign w:val="center"/>
          </w:tcPr>
          <w:p w14:paraId="31A3914F">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1次/月</w:t>
            </w:r>
          </w:p>
        </w:tc>
      </w:tr>
      <w:tr w14:paraId="6629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0070EE1A">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0E302927">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LAS</w:t>
            </w:r>
          </w:p>
        </w:tc>
        <w:tc>
          <w:tcPr>
            <w:tcW w:w="6173" w:type="dxa"/>
            <w:vAlign w:val="top"/>
          </w:tcPr>
          <w:p w14:paraId="2DFF9B94">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阴离子表面活性的测定 亚甲蓝分光光度法 GB/T 7494-1987</w:t>
            </w:r>
          </w:p>
        </w:tc>
        <w:tc>
          <w:tcPr>
            <w:tcW w:w="877" w:type="dxa"/>
            <w:vAlign w:val="center"/>
          </w:tcPr>
          <w:p w14:paraId="769DF6D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107</w:t>
            </w:r>
          </w:p>
        </w:tc>
        <w:tc>
          <w:tcPr>
            <w:tcW w:w="1183" w:type="dxa"/>
            <w:vAlign w:val="center"/>
          </w:tcPr>
          <w:p w14:paraId="7CB08FBE">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4DA6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4AD3CA62">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23820D6D">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铜</w:t>
            </w:r>
          </w:p>
        </w:tc>
        <w:tc>
          <w:tcPr>
            <w:tcW w:w="6173" w:type="dxa"/>
            <w:vAlign w:val="top"/>
          </w:tcPr>
          <w:p w14:paraId="5197EDF6">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铜、锌、铅、镉的测定 原子吸收分光光度法 GB/T 7475-1987</w:t>
            </w:r>
          </w:p>
        </w:tc>
        <w:tc>
          <w:tcPr>
            <w:tcW w:w="877" w:type="dxa"/>
            <w:vAlign w:val="center"/>
          </w:tcPr>
          <w:p w14:paraId="61F2C4F6">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110</w:t>
            </w:r>
          </w:p>
        </w:tc>
        <w:tc>
          <w:tcPr>
            <w:tcW w:w="1183" w:type="dxa"/>
            <w:vAlign w:val="center"/>
          </w:tcPr>
          <w:p w14:paraId="2B5E0A4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1879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22B5906D">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69CC28D9">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锌</w:t>
            </w:r>
          </w:p>
        </w:tc>
        <w:tc>
          <w:tcPr>
            <w:tcW w:w="6173" w:type="dxa"/>
            <w:vAlign w:val="top"/>
          </w:tcPr>
          <w:p w14:paraId="73B7BC4F">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铜、锌、铅、镉的测定 原子吸收分光光度法 GB/T 7475-1987</w:t>
            </w:r>
          </w:p>
        </w:tc>
        <w:tc>
          <w:tcPr>
            <w:tcW w:w="877" w:type="dxa"/>
            <w:vAlign w:val="center"/>
          </w:tcPr>
          <w:p w14:paraId="3F6ED70E">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110</w:t>
            </w:r>
          </w:p>
        </w:tc>
        <w:tc>
          <w:tcPr>
            <w:tcW w:w="1183" w:type="dxa"/>
            <w:vAlign w:val="center"/>
          </w:tcPr>
          <w:p w14:paraId="4DA1255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38FF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70C80489">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5320C9A2">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铅</w:t>
            </w:r>
          </w:p>
        </w:tc>
        <w:tc>
          <w:tcPr>
            <w:tcW w:w="6173" w:type="dxa"/>
            <w:vAlign w:val="top"/>
          </w:tcPr>
          <w:p w14:paraId="57E2801D">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铜、锌、铅、镉的测定 原子吸收分光光度法 GB/T 7475-1987</w:t>
            </w:r>
          </w:p>
        </w:tc>
        <w:tc>
          <w:tcPr>
            <w:tcW w:w="877" w:type="dxa"/>
            <w:vAlign w:val="center"/>
          </w:tcPr>
          <w:p w14:paraId="638E6D12">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110</w:t>
            </w:r>
          </w:p>
        </w:tc>
        <w:tc>
          <w:tcPr>
            <w:tcW w:w="1183" w:type="dxa"/>
            <w:vAlign w:val="center"/>
          </w:tcPr>
          <w:p w14:paraId="62DDA2CA">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27B2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58AA39B9">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79C4C3A7">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镉</w:t>
            </w:r>
          </w:p>
        </w:tc>
        <w:tc>
          <w:tcPr>
            <w:tcW w:w="6173" w:type="dxa"/>
            <w:vAlign w:val="top"/>
          </w:tcPr>
          <w:p w14:paraId="7F17B215">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铜、锌、铅、镉的测定 原子吸收分光光度法 GB/T 7475-1987</w:t>
            </w:r>
          </w:p>
        </w:tc>
        <w:tc>
          <w:tcPr>
            <w:tcW w:w="877" w:type="dxa"/>
            <w:vAlign w:val="center"/>
          </w:tcPr>
          <w:p w14:paraId="65FD269B">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110</w:t>
            </w:r>
          </w:p>
        </w:tc>
        <w:tc>
          <w:tcPr>
            <w:tcW w:w="1183" w:type="dxa"/>
            <w:vAlign w:val="center"/>
          </w:tcPr>
          <w:p w14:paraId="2111F28B">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7FA0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6C2DC574">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2DDDD73F">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镍</w:t>
            </w:r>
          </w:p>
        </w:tc>
        <w:tc>
          <w:tcPr>
            <w:tcW w:w="6173" w:type="dxa"/>
            <w:vAlign w:val="top"/>
          </w:tcPr>
          <w:p w14:paraId="7B894E72">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镍的测定 原子吸收分光光度法 GB/T 11912-1989</w:t>
            </w:r>
          </w:p>
        </w:tc>
        <w:tc>
          <w:tcPr>
            <w:tcW w:w="877" w:type="dxa"/>
            <w:vAlign w:val="center"/>
          </w:tcPr>
          <w:p w14:paraId="1C62D34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110</w:t>
            </w:r>
          </w:p>
        </w:tc>
        <w:tc>
          <w:tcPr>
            <w:tcW w:w="1183" w:type="dxa"/>
            <w:vAlign w:val="center"/>
          </w:tcPr>
          <w:p w14:paraId="67FF68E1">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158F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062F4E81">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5F73F719">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色度</w:t>
            </w:r>
          </w:p>
        </w:tc>
        <w:tc>
          <w:tcPr>
            <w:tcW w:w="6173" w:type="dxa"/>
            <w:vAlign w:val="top"/>
          </w:tcPr>
          <w:p w14:paraId="200B0189">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色度的测定 铂钴比色法和稀释倍数法 GB/T 11903-1989</w:t>
            </w:r>
          </w:p>
        </w:tc>
        <w:tc>
          <w:tcPr>
            <w:tcW w:w="877" w:type="dxa"/>
            <w:vAlign w:val="center"/>
          </w:tcPr>
          <w:p w14:paraId="2168A59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45</w:t>
            </w:r>
          </w:p>
        </w:tc>
        <w:tc>
          <w:tcPr>
            <w:tcW w:w="1183" w:type="dxa"/>
            <w:vAlign w:val="center"/>
          </w:tcPr>
          <w:p w14:paraId="5510DF36">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1次/周</w:t>
            </w:r>
          </w:p>
        </w:tc>
      </w:tr>
      <w:tr w14:paraId="6785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6B38ADD0">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2DA33F4C">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砷</w:t>
            </w:r>
          </w:p>
        </w:tc>
        <w:tc>
          <w:tcPr>
            <w:tcW w:w="6173" w:type="dxa"/>
            <w:vAlign w:val="top"/>
          </w:tcPr>
          <w:p w14:paraId="33E4827E">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汞、砷、硒、铋、锑的测定 原子荧光法 HJ 694-2014</w:t>
            </w:r>
          </w:p>
        </w:tc>
        <w:tc>
          <w:tcPr>
            <w:tcW w:w="877" w:type="dxa"/>
            <w:vAlign w:val="center"/>
          </w:tcPr>
          <w:p w14:paraId="06AA2A55">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110</w:t>
            </w:r>
          </w:p>
        </w:tc>
        <w:tc>
          <w:tcPr>
            <w:tcW w:w="1183" w:type="dxa"/>
            <w:vAlign w:val="center"/>
          </w:tcPr>
          <w:p w14:paraId="5393B1BD">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3BC6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3BF77C29">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6097D628">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汞</w:t>
            </w:r>
          </w:p>
        </w:tc>
        <w:tc>
          <w:tcPr>
            <w:tcW w:w="6173" w:type="dxa"/>
            <w:vAlign w:val="top"/>
          </w:tcPr>
          <w:p w14:paraId="26F5AEF9">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汞、砷、硒、铋、锑的测定 原子荧光法 HJ 694-2014</w:t>
            </w:r>
          </w:p>
        </w:tc>
        <w:tc>
          <w:tcPr>
            <w:tcW w:w="877" w:type="dxa"/>
            <w:vAlign w:val="center"/>
          </w:tcPr>
          <w:p w14:paraId="262FDEA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110</w:t>
            </w:r>
          </w:p>
        </w:tc>
        <w:tc>
          <w:tcPr>
            <w:tcW w:w="1183" w:type="dxa"/>
            <w:vAlign w:val="center"/>
          </w:tcPr>
          <w:p w14:paraId="61DFD675">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13EE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074D6ABA">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3B08957B">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烷基汞</w:t>
            </w:r>
          </w:p>
        </w:tc>
        <w:tc>
          <w:tcPr>
            <w:tcW w:w="6173" w:type="dxa"/>
            <w:vAlign w:val="top"/>
          </w:tcPr>
          <w:p w14:paraId="39D925A6">
            <w:pPr>
              <w:numPr>
                <w:ilvl w:val="0"/>
                <w:numId w:val="0"/>
              </w:numPr>
              <w:spacing w:line="360" w:lineRule="auto"/>
              <w:ind w:left="0" w:leftChars="0" w:firstLine="0" w:firstLineChars="0"/>
              <w:rPr>
                <w:rFonts w:hint="default" w:ascii="宋体" w:hAnsi="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 xml:space="preserve">水质 烷基汞的测定 </w:t>
            </w:r>
          </w:p>
        </w:tc>
        <w:tc>
          <w:tcPr>
            <w:tcW w:w="877" w:type="dxa"/>
            <w:vAlign w:val="center"/>
          </w:tcPr>
          <w:p w14:paraId="2415E0E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220</w:t>
            </w:r>
          </w:p>
        </w:tc>
        <w:tc>
          <w:tcPr>
            <w:tcW w:w="1183" w:type="dxa"/>
            <w:vAlign w:val="center"/>
          </w:tcPr>
          <w:p w14:paraId="09717920">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60E2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779B6EB0">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03AE5D25">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总铬</w:t>
            </w:r>
          </w:p>
        </w:tc>
        <w:tc>
          <w:tcPr>
            <w:tcW w:w="6173" w:type="dxa"/>
            <w:vAlign w:val="top"/>
          </w:tcPr>
          <w:p w14:paraId="0224B981">
            <w:pPr>
              <w:numPr>
                <w:ilvl w:val="0"/>
                <w:numId w:val="0"/>
              </w:numPr>
              <w:spacing w:line="360" w:lineRule="auto"/>
              <w:ind w:left="0" w:leftChars="0" w:firstLine="0" w:firstLineChars="0"/>
              <w:rPr>
                <w:rFonts w:hint="default" w:ascii="宋体" w:hAnsi="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 xml:space="preserve">水质 总铬的测定 </w:t>
            </w:r>
          </w:p>
        </w:tc>
        <w:tc>
          <w:tcPr>
            <w:tcW w:w="877" w:type="dxa"/>
            <w:vAlign w:val="center"/>
          </w:tcPr>
          <w:p w14:paraId="73A58FDA">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110</w:t>
            </w:r>
          </w:p>
        </w:tc>
        <w:tc>
          <w:tcPr>
            <w:tcW w:w="1183" w:type="dxa"/>
            <w:vAlign w:val="center"/>
          </w:tcPr>
          <w:p w14:paraId="0D41BD56">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0C31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66A8A022">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12C52A4D">
            <w:pPr>
              <w:numPr>
                <w:ilvl w:val="0"/>
                <w:numId w:val="0"/>
              </w:numPr>
              <w:spacing w:line="360" w:lineRule="auto"/>
              <w:jc w:val="center"/>
              <w:rPr>
                <w:rFonts w:hint="default" w:ascii="宋体" w:hAnsi="宋体" w:cs="宋体"/>
                <w:b w:val="0"/>
                <w:bCs w:val="0"/>
                <w:sz w:val="21"/>
                <w:szCs w:val="21"/>
                <w:highlight w:val="none"/>
                <w:vertAlign w:val="baseline"/>
                <w:lang w:val="en-US" w:eastAsia="zh-CN"/>
              </w:rPr>
            </w:pPr>
            <w:r>
              <w:rPr>
                <w:rFonts w:hint="eastAsia" w:ascii="宋体" w:hAnsi="宋体" w:cs="宋体"/>
                <w:b w:val="0"/>
                <w:bCs w:val="0"/>
                <w:sz w:val="21"/>
                <w:szCs w:val="21"/>
                <w:highlight w:val="none"/>
                <w:vertAlign w:val="baseline"/>
                <w:lang w:val="en-US" w:eastAsia="zh-CN"/>
              </w:rPr>
              <w:t>六价铬</w:t>
            </w:r>
          </w:p>
        </w:tc>
        <w:tc>
          <w:tcPr>
            <w:tcW w:w="6173" w:type="dxa"/>
            <w:vAlign w:val="top"/>
          </w:tcPr>
          <w:p w14:paraId="7040254A">
            <w:pPr>
              <w:numPr>
                <w:ilvl w:val="0"/>
                <w:numId w:val="0"/>
              </w:numPr>
              <w:spacing w:line="360" w:lineRule="auto"/>
              <w:ind w:left="0" w:leftChars="0" w:firstLine="0" w:firstLineChars="0"/>
              <w:rPr>
                <w:rFonts w:hint="default" w:ascii="宋体" w:hAnsi="宋体" w:cs="宋体"/>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水质 六价铬的测定</w:t>
            </w:r>
          </w:p>
        </w:tc>
        <w:tc>
          <w:tcPr>
            <w:tcW w:w="877" w:type="dxa"/>
            <w:vAlign w:val="center"/>
          </w:tcPr>
          <w:p w14:paraId="28691F19">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110</w:t>
            </w:r>
          </w:p>
        </w:tc>
        <w:tc>
          <w:tcPr>
            <w:tcW w:w="1183" w:type="dxa"/>
            <w:vAlign w:val="center"/>
          </w:tcPr>
          <w:p w14:paraId="3145816C">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3E79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59D59624">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0936420B">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细菌总数</w:t>
            </w:r>
          </w:p>
        </w:tc>
        <w:tc>
          <w:tcPr>
            <w:tcW w:w="6173" w:type="dxa"/>
            <w:vAlign w:val="top"/>
          </w:tcPr>
          <w:p w14:paraId="4707D1C3">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多管发酵法 《水和废水监测分析方法》（第四版）国家环境保护局（2002）</w:t>
            </w:r>
          </w:p>
        </w:tc>
        <w:tc>
          <w:tcPr>
            <w:tcW w:w="877" w:type="dxa"/>
            <w:vAlign w:val="center"/>
          </w:tcPr>
          <w:p w14:paraId="6ABDE9BF">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150</w:t>
            </w:r>
          </w:p>
        </w:tc>
        <w:tc>
          <w:tcPr>
            <w:tcW w:w="1183" w:type="dxa"/>
            <w:vAlign w:val="center"/>
          </w:tcPr>
          <w:p w14:paraId="5ADC7E9A">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34B1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384" w:type="dxa"/>
            <w:vMerge w:val="continue"/>
          </w:tcPr>
          <w:p w14:paraId="3A1D31AA">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1EE0E398">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大肠杆菌</w:t>
            </w:r>
          </w:p>
        </w:tc>
        <w:tc>
          <w:tcPr>
            <w:tcW w:w="6173" w:type="dxa"/>
            <w:vAlign w:val="top"/>
          </w:tcPr>
          <w:p w14:paraId="11106EA8">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多管发酵法 《水和废水监测分析方法》（第四版）国家环境保护局（2002）</w:t>
            </w:r>
          </w:p>
        </w:tc>
        <w:tc>
          <w:tcPr>
            <w:tcW w:w="877" w:type="dxa"/>
            <w:vAlign w:val="center"/>
          </w:tcPr>
          <w:p w14:paraId="2F921E1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150</w:t>
            </w:r>
          </w:p>
        </w:tc>
        <w:tc>
          <w:tcPr>
            <w:tcW w:w="1183" w:type="dxa"/>
            <w:vAlign w:val="center"/>
          </w:tcPr>
          <w:p w14:paraId="5ED042CA">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4868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384" w:type="dxa"/>
            <w:vMerge w:val="restart"/>
          </w:tcPr>
          <w:p w14:paraId="69BFB370">
            <w:pPr>
              <w:numPr>
                <w:ilvl w:val="0"/>
                <w:numId w:val="0"/>
              </w:numPr>
              <w:spacing w:line="360" w:lineRule="auto"/>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雨水排口</w:t>
            </w:r>
          </w:p>
        </w:tc>
        <w:tc>
          <w:tcPr>
            <w:tcW w:w="1150" w:type="dxa"/>
            <w:vAlign w:val="center"/>
          </w:tcPr>
          <w:p w14:paraId="07E70EC8">
            <w:pPr>
              <w:keepNext w:val="0"/>
              <w:keepLines w:val="0"/>
              <w:widowControl/>
              <w:suppressLineNumbers w:val="0"/>
              <w:jc w:val="center"/>
              <w:textAlignment w:val="center"/>
              <w:rPr>
                <w:rFonts w:hint="eastAsia" w:ascii="宋体" w:hAnsi="宋体" w:cs="宋体"/>
                <w:b w:val="0"/>
                <w:bCs w:val="0"/>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pH值</w:t>
            </w:r>
          </w:p>
        </w:tc>
        <w:tc>
          <w:tcPr>
            <w:tcW w:w="6173" w:type="dxa"/>
            <w:vAlign w:val="top"/>
          </w:tcPr>
          <w:p w14:paraId="6FBAD0B2">
            <w:pPr>
              <w:numPr>
                <w:ilvl w:val="0"/>
                <w:numId w:val="0"/>
              </w:numPr>
              <w:spacing w:line="360" w:lineRule="auto"/>
              <w:ind w:left="0" w:leftChars="0" w:firstLine="0" w:firstLineChars="0"/>
              <w:rPr>
                <w:rFonts w:hint="eastAsia" w:ascii="宋体" w:hAnsi="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PH的测定 玻璃电极法 GB/T 6920-1986</w:t>
            </w:r>
          </w:p>
        </w:tc>
        <w:tc>
          <w:tcPr>
            <w:tcW w:w="877" w:type="dxa"/>
            <w:vAlign w:val="center"/>
          </w:tcPr>
          <w:p w14:paraId="67E743D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10</w:t>
            </w:r>
          </w:p>
        </w:tc>
        <w:tc>
          <w:tcPr>
            <w:tcW w:w="1183" w:type="dxa"/>
            <w:vAlign w:val="center"/>
          </w:tcPr>
          <w:p w14:paraId="32EF89B2">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18"/>
                <w:szCs w:val="18"/>
                <w:vertAlign w:val="baseline"/>
                <w:lang w:val="en-US" w:eastAsia="zh-CN"/>
              </w:rPr>
              <w:t>1次/降雨期</w:t>
            </w:r>
          </w:p>
        </w:tc>
      </w:tr>
      <w:tr w14:paraId="09C7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84" w:type="dxa"/>
            <w:vMerge w:val="continue"/>
          </w:tcPr>
          <w:p w14:paraId="3F3C5B3E">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vAlign w:val="center"/>
          </w:tcPr>
          <w:p w14:paraId="21A08757">
            <w:pPr>
              <w:keepNext w:val="0"/>
              <w:keepLines w:val="0"/>
              <w:widowControl/>
              <w:suppressLineNumbers w:val="0"/>
              <w:jc w:val="center"/>
              <w:textAlignment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SS</w:t>
            </w:r>
          </w:p>
        </w:tc>
        <w:tc>
          <w:tcPr>
            <w:tcW w:w="6173" w:type="dxa"/>
            <w:vAlign w:val="top"/>
          </w:tcPr>
          <w:p w14:paraId="2DB5649B">
            <w:pPr>
              <w:numPr>
                <w:ilvl w:val="0"/>
                <w:numId w:val="0"/>
              </w:numPr>
              <w:spacing w:line="360" w:lineRule="auto"/>
              <w:ind w:left="0" w:leftChars="0" w:firstLine="0" w:firstLineChars="0"/>
              <w:rPr>
                <w:rFonts w:hint="eastAsia" w:ascii="宋体" w:hAnsi="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悬浮物的测定 重量法 GB/T 11901-1989</w:t>
            </w:r>
          </w:p>
        </w:tc>
        <w:tc>
          <w:tcPr>
            <w:tcW w:w="877" w:type="dxa"/>
            <w:vAlign w:val="center"/>
          </w:tcPr>
          <w:p w14:paraId="2DF28FF6">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58</w:t>
            </w:r>
          </w:p>
        </w:tc>
        <w:tc>
          <w:tcPr>
            <w:tcW w:w="1183" w:type="dxa"/>
            <w:vAlign w:val="center"/>
          </w:tcPr>
          <w:p w14:paraId="6381AF2C">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18"/>
                <w:szCs w:val="18"/>
                <w:vertAlign w:val="baseline"/>
                <w:lang w:val="en-US" w:eastAsia="zh-CN"/>
              </w:rPr>
              <w:t>1次/降雨期</w:t>
            </w:r>
          </w:p>
        </w:tc>
      </w:tr>
      <w:tr w14:paraId="5D56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384" w:type="dxa"/>
            <w:vMerge w:val="continue"/>
          </w:tcPr>
          <w:p w14:paraId="5C388120">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vAlign w:val="center"/>
          </w:tcPr>
          <w:p w14:paraId="630E4DF1">
            <w:pPr>
              <w:keepNext w:val="0"/>
              <w:keepLines w:val="0"/>
              <w:widowControl/>
              <w:suppressLineNumbers w:val="0"/>
              <w:jc w:val="center"/>
              <w:textAlignment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highlight w:val="none"/>
                <w:vertAlign w:val="baseline"/>
                <w:lang w:val="en-US" w:eastAsia="zh-CN"/>
              </w:rPr>
              <w:t>COD</w:t>
            </w:r>
            <w:r>
              <w:rPr>
                <w:rFonts w:hint="eastAsia" w:ascii="宋体" w:hAnsi="宋体" w:cs="宋体"/>
                <w:b w:val="0"/>
                <w:bCs w:val="0"/>
                <w:sz w:val="21"/>
                <w:szCs w:val="21"/>
                <w:highlight w:val="none"/>
                <w:vertAlign w:val="subscript"/>
                <w:lang w:val="en-US" w:eastAsia="zh-CN"/>
              </w:rPr>
              <w:t>cr</w:t>
            </w:r>
          </w:p>
        </w:tc>
        <w:tc>
          <w:tcPr>
            <w:tcW w:w="6173" w:type="dxa"/>
            <w:vAlign w:val="top"/>
          </w:tcPr>
          <w:p w14:paraId="58DFE1FE">
            <w:pPr>
              <w:numPr>
                <w:ilvl w:val="0"/>
                <w:numId w:val="0"/>
              </w:numPr>
              <w:spacing w:line="360" w:lineRule="auto"/>
              <w:ind w:left="0" w:leftChars="0" w:firstLine="0" w:firstLineChars="0"/>
              <w:rPr>
                <w:rFonts w:hint="eastAsia" w:ascii="宋体" w:hAnsi="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化学需氧量的测定 重铬酸盐法 HJ 828-2017</w:t>
            </w:r>
          </w:p>
        </w:tc>
        <w:tc>
          <w:tcPr>
            <w:tcW w:w="877" w:type="dxa"/>
            <w:vAlign w:val="center"/>
          </w:tcPr>
          <w:p w14:paraId="44EE9390">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80</w:t>
            </w:r>
          </w:p>
        </w:tc>
        <w:tc>
          <w:tcPr>
            <w:tcW w:w="1183" w:type="dxa"/>
            <w:vAlign w:val="center"/>
          </w:tcPr>
          <w:p w14:paraId="3ADCE0CF">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18"/>
                <w:szCs w:val="18"/>
                <w:vertAlign w:val="baseline"/>
                <w:lang w:val="en-US" w:eastAsia="zh-CN"/>
              </w:rPr>
              <w:t>1次/降雨期</w:t>
            </w:r>
          </w:p>
        </w:tc>
      </w:tr>
      <w:tr w14:paraId="1960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384" w:type="dxa"/>
            <w:vMerge w:val="continue"/>
          </w:tcPr>
          <w:p w14:paraId="458061B8">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vAlign w:val="center"/>
          </w:tcPr>
          <w:p w14:paraId="115AB998">
            <w:pPr>
              <w:keepNext w:val="0"/>
              <w:keepLines w:val="0"/>
              <w:widowControl/>
              <w:suppressLineNumbers w:val="0"/>
              <w:jc w:val="center"/>
              <w:textAlignment w:val="center"/>
              <w:rPr>
                <w:rFonts w:hint="eastAsia" w:ascii="宋体" w:hAnsi="宋体" w:cs="宋体"/>
                <w:b w:val="0"/>
                <w:bCs w:val="0"/>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氨氮</w:t>
            </w:r>
          </w:p>
        </w:tc>
        <w:tc>
          <w:tcPr>
            <w:tcW w:w="6173" w:type="dxa"/>
            <w:vAlign w:val="top"/>
          </w:tcPr>
          <w:p w14:paraId="493D3802">
            <w:pPr>
              <w:numPr>
                <w:ilvl w:val="0"/>
                <w:numId w:val="0"/>
              </w:numPr>
              <w:spacing w:line="360" w:lineRule="auto"/>
              <w:ind w:left="0" w:leftChars="0" w:firstLine="0" w:firstLineChars="0"/>
              <w:rPr>
                <w:rFonts w:hint="eastAsia" w:ascii="宋体" w:hAnsi="宋体" w:cs="宋体"/>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水质 氨氮的测定 纳氏试剂分光光度法 HJ 535-2009</w:t>
            </w:r>
          </w:p>
        </w:tc>
        <w:tc>
          <w:tcPr>
            <w:tcW w:w="877" w:type="dxa"/>
            <w:vAlign w:val="center"/>
          </w:tcPr>
          <w:p w14:paraId="4C9F118A">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80</w:t>
            </w:r>
          </w:p>
        </w:tc>
        <w:tc>
          <w:tcPr>
            <w:tcW w:w="1183" w:type="dxa"/>
            <w:vAlign w:val="center"/>
          </w:tcPr>
          <w:p w14:paraId="4B4CF07D">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18"/>
                <w:szCs w:val="18"/>
                <w:vertAlign w:val="baseline"/>
                <w:lang w:val="en-US" w:eastAsia="zh-CN"/>
              </w:rPr>
              <w:t>1次/降雨期</w:t>
            </w:r>
          </w:p>
        </w:tc>
      </w:tr>
      <w:tr w14:paraId="2238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tcPr>
          <w:p w14:paraId="27607B21">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噪声</w:t>
            </w:r>
          </w:p>
        </w:tc>
        <w:tc>
          <w:tcPr>
            <w:tcW w:w="1150" w:type="dxa"/>
          </w:tcPr>
          <w:p w14:paraId="677F4B6E">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厂界昼夜噪声</w:t>
            </w:r>
          </w:p>
        </w:tc>
        <w:tc>
          <w:tcPr>
            <w:tcW w:w="6173" w:type="dxa"/>
            <w:vAlign w:val="top"/>
          </w:tcPr>
          <w:p w14:paraId="61454064">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kern w:val="2"/>
                <w:sz w:val="21"/>
                <w:szCs w:val="21"/>
                <w:vertAlign w:val="baseline"/>
                <w:lang w:val="en-US" w:eastAsia="zh-CN" w:bidi="ar-SA"/>
              </w:rPr>
              <w:t>工业企业厂界噪声测量方法 GB/T 12348-2008</w:t>
            </w:r>
          </w:p>
        </w:tc>
        <w:tc>
          <w:tcPr>
            <w:tcW w:w="877" w:type="dxa"/>
            <w:vAlign w:val="center"/>
          </w:tcPr>
          <w:p w14:paraId="660B005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145</w:t>
            </w:r>
          </w:p>
        </w:tc>
        <w:tc>
          <w:tcPr>
            <w:tcW w:w="1183" w:type="dxa"/>
            <w:vAlign w:val="center"/>
          </w:tcPr>
          <w:p w14:paraId="71CDD04F">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1C3E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restart"/>
            <w:vAlign w:val="center"/>
          </w:tcPr>
          <w:p w14:paraId="3E71BA08">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废气</w:t>
            </w:r>
          </w:p>
        </w:tc>
        <w:tc>
          <w:tcPr>
            <w:tcW w:w="1150" w:type="dxa"/>
          </w:tcPr>
          <w:p w14:paraId="1E53A0D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臭气浓度</w:t>
            </w:r>
          </w:p>
        </w:tc>
        <w:tc>
          <w:tcPr>
            <w:tcW w:w="6173" w:type="dxa"/>
          </w:tcPr>
          <w:p w14:paraId="1AE6A49F">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空气质量 恶臭的测定 三点比较法式臭袋法 GB/T 14675-93</w:t>
            </w:r>
          </w:p>
        </w:tc>
        <w:tc>
          <w:tcPr>
            <w:tcW w:w="877" w:type="dxa"/>
            <w:vAlign w:val="center"/>
          </w:tcPr>
          <w:p w14:paraId="43DFF8D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350</w:t>
            </w:r>
          </w:p>
        </w:tc>
        <w:tc>
          <w:tcPr>
            <w:tcW w:w="1183" w:type="dxa"/>
            <w:vAlign w:val="center"/>
          </w:tcPr>
          <w:p w14:paraId="7C6E9A87">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1次/半年</w:t>
            </w:r>
          </w:p>
        </w:tc>
      </w:tr>
      <w:tr w14:paraId="4E8B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25D5181A">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6C880408">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氨气</w:t>
            </w:r>
          </w:p>
        </w:tc>
        <w:tc>
          <w:tcPr>
            <w:tcW w:w="6173" w:type="dxa"/>
          </w:tcPr>
          <w:p w14:paraId="3E808BBF">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环境空气和废气 氨的测定 纳氏试剂分光光度法 HJ 533-2009</w:t>
            </w:r>
          </w:p>
        </w:tc>
        <w:tc>
          <w:tcPr>
            <w:tcW w:w="877" w:type="dxa"/>
            <w:vAlign w:val="center"/>
          </w:tcPr>
          <w:p w14:paraId="40710F08">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100</w:t>
            </w:r>
          </w:p>
        </w:tc>
        <w:tc>
          <w:tcPr>
            <w:tcW w:w="1183" w:type="dxa"/>
            <w:vAlign w:val="center"/>
          </w:tcPr>
          <w:p w14:paraId="530B6C65">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1次/半年</w:t>
            </w:r>
          </w:p>
        </w:tc>
      </w:tr>
      <w:tr w14:paraId="6753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1B4B9F7C">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5675E3B2">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硫化氢</w:t>
            </w:r>
          </w:p>
        </w:tc>
        <w:tc>
          <w:tcPr>
            <w:tcW w:w="6173" w:type="dxa"/>
          </w:tcPr>
          <w:p w14:paraId="21016D29">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环境空气和废气 硫化氢 亚甲蓝分光光度法 GB/T 7494-1987</w:t>
            </w:r>
          </w:p>
        </w:tc>
        <w:tc>
          <w:tcPr>
            <w:tcW w:w="877" w:type="dxa"/>
            <w:vAlign w:val="center"/>
          </w:tcPr>
          <w:p w14:paraId="3D29F7CD">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105</w:t>
            </w:r>
          </w:p>
        </w:tc>
        <w:tc>
          <w:tcPr>
            <w:tcW w:w="1183" w:type="dxa"/>
            <w:vAlign w:val="center"/>
          </w:tcPr>
          <w:p w14:paraId="65401F35">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1次/半年</w:t>
            </w:r>
          </w:p>
        </w:tc>
      </w:tr>
      <w:tr w14:paraId="4C21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6727E06A">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472F44A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甲烷</w:t>
            </w:r>
          </w:p>
        </w:tc>
        <w:tc>
          <w:tcPr>
            <w:tcW w:w="6173" w:type="dxa"/>
          </w:tcPr>
          <w:p w14:paraId="5324C79E">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环境空气和废气 甲烷的测定</w:t>
            </w:r>
          </w:p>
        </w:tc>
        <w:tc>
          <w:tcPr>
            <w:tcW w:w="877" w:type="dxa"/>
            <w:vAlign w:val="center"/>
          </w:tcPr>
          <w:p w14:paraId="3D67AF5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120</w:t>
            </w:r>
          </w:p>
        </w:tc>
        <w:tc>
          <w:tcPr>
            <w:tcW w:w="1183" w:type="dxa"/>
            <w:vAlign w:val="center"/>
          </w:tcPr>
          <w:p w14:paraId="37AE093A">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1次/年</w:t>
            </w:r>
          </w:p>
        </w:tc>
      </w:tr>
      <w:tr w14:paraId="77E7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restart"/>
            <w:vAlign w:val="center"/>
          </w:tcPr>
          <w:p w14:paraId="4BEE76C2">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污泥</w:t>
            </w:r>
          </w:p>
        </w:tc>
        <w:tc>
          <w:tcPr>
            <w:tcW w:w="1150" w:type="dxa"/>
          </w:tcPr>
          <w:p w14:paraId="39334F58">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总镉</w:t>
            </w:r>
          </w:p>
        </w:tc>
        <w:tc>
          <w:tcPr>
            <w:tcW w:w="6173" w:type="dxa"/>
          </w:tcPr>
          <w:p w14:paraId="2B21F1BD">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城市污水处理厂污泥检验方法 GJ/T 221-2005</w:t>
            </w:r>
          </w:p>
        </w:tc>
        <w:tc>
          <w:tcPr>
            <w:tcW w:w="877" w:type="dxa"/>
            <w:vAlign w:val="center"/>
          </w:tcPr>
          <w:p w14:paraId="576E6A15">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240</w:t>
            </w:r>
          </w:p>
        </w:tc>
        <w:tc>
          <w:tcPr>
            <w:tcW w:w="1183" w:type="dxa"/>
            <w:vAlign w:val="center"/>
          </w:tcPr>
          <w:p w14:paraId="1C476FE0">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5535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508C2F09">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245C39C7">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总汞</w:t>
            </w:r>
          </w:p>
        </w:tc>
        <w:tc>
          <w:tcPr>
            <w:tcW w:w="6173" w:type="dxa"/>
          </w:tcPr>
          <w:p w14:paraId="461A26A2">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城市污水处理厂污泥检验方法 GJ/T 221-2005</w:t>
            </w:r>
          </w:p>
        </w:tc>
        <w:tc>
          <w:tcPr>
            <w:tcW w:w="877" w:type="dxa"/>
            <w:vAlign w:val="center"/>
          </w:tcPr>
          <w:p w14:paraId="42F76D57">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240</w:t>
            </w:r>
          </w:p>
        </w:tc>
        <w:tc>
          <w:tcPr>
            <w:tcW w:w="1183" w:type="dxa"/>
            <w:vAlign w:val="center"/>
          </w:tcPr>
          <w:p w14:paraId="3FC7E4B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66FE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7B50C023">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05EC3CC9">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总铅</w:t>
            </w:r>
          </w:p>
        </w:tc>
        <w:tc>
          <w:tcPr>
            <w:tcW w:w="6173" w:type="dxa"/>
          </w:tcPr>
          <w:p w14:paraId="775365FF">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城市污水处理厂污泥检验方法 GJ/T 221-2005</w:t>
            </w:r>
          </w:p>
        </w:tc>
        <w:tc>
          <w:tcPr>
            <w:tcW w:w="877" w:type="dxa"/>
            <w:vAlign w:val="center"/>
          </w:tcPr>
          <w:p w14:paraId="70125A79">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240</w:t>
            </w:r>
          </w:p>
        </w:tc>
        <w:tc>
          <w:tcPr>
            <w:tcW w:w="1183" w:type="dxa"/>
            <w:vAlign w:val="center"/>
          </w:tcPr>
          <w:p w14:paraId="6FA1E956">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66FD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399CF37A">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59A949DD">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总铬</w:t>
            </w:r>
          </w:p>
        </w:tc>
        <w:tc>
          <w:tcPr>
            <w:tcW w:w="6173" w:type="dxa"/>
          </w:tcPr>
          <w:p w14:paraId="427468CF">
            <w:pPr>
              <w:numPr>
                <w:ilvl w:val="0"/>
                <w:numId w:val="0"/>
              </w:numPr>
              <w:spacing w:line="360" w:lineRule="auto"/>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城市污水处理厂污泥检验方法 GJ/T 221-2005</w:t>
            </w:r>
          </w:p>
        </w:tc>
        <w:tc>
          <w:tcPr>
            <w:tcW w:w="877" w:type="dxa"/>
            <w:vAlign w:val="center"/>
          </w:tcPr>
          <w:p w14:paraId="5193460E">
            <w:pPr>
              <w:numPr>
                <w:ilvl w:val="0"/>
                <w:numId w:val="0"/>
              </w:numPr>
              <w:spacing w:line="360" w:lineRule="auto"/>
              <w:ind w:left="0" w:leftChars="0" w:firstLine="0" w:firstLineChars="0"/>
              <w:jc w:val="center"/>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240</w:t>
            </w:r>
          </w:p>
        </w:tc>
        <w:tc>
          <w:tcPr>
            <w:tcW w:w="1183" w:type="dxa"/>
            <w:vAlign w:val="center"/>
          </w:tcPr>
          <w:p w14:paraId="311B4A2D">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204E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6E7B4742">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1459B8D3">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总砷</w:t>
            </w:r>
          </w:p>
        </w:tc>
        <w:tc>
          <w:tcPr>
            <w:tcW w:w="6173" w:type="dxa"/>
            <w:vAlign w:val="top"/>
          </w:tcPr>
          <w:p w14:paraId="7F5BC2FA">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城市污水处理厂污泥检验方法 GJ/T 221-2005</w:t>
            </w:r>
          </w:p>
        </w:tc>
        <w:tc>
          <w:tcPr>
            <w:tcW w:w="877" w:type="dxa"/>
            <w:vAlign w:val="center"/>
          </w:tcPr>
          <w:p w14:paraId="21E43EDE">
            <w:pPr>
              <w:numPr>
                <w:ilvl w:val="0"/>
                <w:numId w:val="0"/>
              </w:numPr>
              <w:spacing w:line="360" w:lineRule="auto"/>
              <w:ind w:left="0" w:leftChars="0" w:firstLine="0" w:firstLineChars="0"/>
              <w:jc w:val="center"/>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240</w:t>
            </w:r>
          </w:p>
        </w:tc>
        <w:tc>
          <w:tcPr>
            <w:tcW w:w="1183" w:type="dxa"/>
            <w:vAlign w:val="center"/>
          </w:tcPr>
          <w:p w14:paraId="282E758A">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26BE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2ABB426E">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4D67497A">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总镍</w:t>
            </w:r>
          </w:p>
        </w:tc>
        <w:tc>
          <w:tcPr>
            <w:tcW w:w="6173" w:type="dxa"/>
            <w:vAlign w:val="top"/>
          </w:tcPr>
          <w:p w14:paraId="719130ED">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城市污水处理厂污泥检验方法 GJ/T 221-2005</w:t>
            </w:r>
          </w:p>
        </w:tc>
        <w:tc>
          <w:tcPr>
            <w:tcW w:w="877" w:type="dxa"/>
            <w:vAlign w:val="center"/>
          </w:tcPr>
          <w:p w14:paraId="0FDE5FE7">
            <w:pPr>
              <w:numPr>
                <w:ilvl w:val="0"/>
                <w:numId w:val="0"/>
              </w:numPr>
              <w:spacing w:line="360" w:lineRule="auto"/>
              <w:ind w:left="0" w:leftChars="0" w:firstLine="0" w:firstLineChars="0"/>
              <w:jc w:val="center"/>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240</w:t>
            </w:r>
          </w:p>
        </w:tc>
        <w:tc>
          <w:tcPr>
            <w:tcW w:w="1183" w:type="dxa"/>
            <w:vAlign w:val="center"/>
          </w:tcPr>
          <w:p w14:paraId="333F435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6078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6596CB38">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00E87E4E">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总锌</w:t>
            </w:r>
          </w:p>
        </w:tc>
        <w:tc>
          <w:tcPr>
            <w:tcW w:w="6173" w:type="dxa"/>
            <w:vAlign w:val="top"/>
          </w:tcPr>
          <w:p w14:paraId="0FFB8991">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城市污水处理厂污泥检验方法 GJ/T 221-2005</w:t>
            </w:r>
          </w:p>
        </w:tc>
        <w:tc>
          <w:tcPr>
            <w:tcW w:w="877" w:type="dxa"/>
            <w:vAlign w:val="center"/>
          </w:tcPr>
          <w:p w14:paraId="36B91C61">
            <w:pPr>
              <w:numPr>
                <w:ilvl w:val="0"/>
                <w:numId w:val="0"/>
              </w:numPr>
              <w:spacing w:line="360" w:lineRule="auto"/>
              <w:ind w:left="0" w:leftChars="0" w:firstLine="0" w:firstLineChars="0"/>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240</w:t>
            </w:r>
          </w:p>
        </w:tc>
        <w:tc>
          <w:tcPr>
            <w:tcW w:w="1183" w:type="dxa"/>
            <w:vAlign w:val="center"/>
          </w:tcPr>
          <w:p w14:paraId="0A7EE231">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5FAE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Merge w:val="continue"/>
          </w:tcPr>
          <w:p w14:paraId="00CA0CB3">
            <w:pPr>
              <w:numPr>
                <w:ilvl w:val="0"/>
                <w:numId w:val="0"/>
              </w:numPr>
              <w:spacing w:line="360" w:lineRule="auto"/>
              <w:rPr>
                <w:rFonts w:hint="default" w:ascii="宋体" w:hAnsi="宋体" w:cs="宋体"/>
                <w:b w:val="0"/>
                <w:bCs w:val="0"/>
                <w:sz w:val="21"/>
                <w:szCs w:val="21"/>
                <w:vertAlign w:val="baseline"/>
                <w:lang w:val="en-US" w:eastAsia="zh-CN"/>
              </w:rPr>
            </w:pPr>
          </w:p>
        </w:tc>
        <w:tc>
          <w:tcPr>
            <w:tcW w:w="1150" w:type="dxa"/>
          </w:tcPr>
          <w:p w14:paraId="7CFE031E">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总铜</w:t>
            </w:r>
          </w:p>
        </w:tc>
        <w:tc>
          <w:tcPr>
            <w:tcW w:w="6173" w:type="dxa"/>
            <w:vAlign w:val="top"/>
          </w:tcPr>
          <w:p w14:paraId="1D25A4C3">
            <w:pPr>
              <w:numPr>
                <w:ilvl w:val="0"/>
                <w:numId w:val="0"/>
              </w:numPr>
              <w:spacing w:line="360" w:lineRule="auto"/>
              <w:ind w:left="0" w:leftChars="0" w:firstLine="0" w:firstLineChars="0"/>
              <w:rPr>
                <w:rFonts w:hint="default" w:ascii="宋体" w:hAnsi="宋体" w:cs="宋体" w:eastAsiaTheme="minorEastAsia"/>
                <w:b w:val="0"/>
                <w:bCs w:val="0"/>
                <w:kern w:val="2"/>
                <w:sz w:val="21"/>
                <w:szCs w:val="21"/>
                <w:vertAlign w:val="baseline"/>
                <w:lang w:val="en-US" w:eastAsia="zh-CN" w:bidi="ar-SA"/>
              </w:rPr>
            </w:pPr>
            <w:r>
              <w:rPr>
                <w:rFonts w:hint="eastAsia" w:ascii="宋体" w:hAnsi="宋体" w:cs="宋体"/>
                <w:b w:val="0"/>
                <w:bCs w:val="0"/>
                <w:sz w:val="21"/>
                <w:szCs w:val="21"/>
                <w:vertAlign w:val="baseline"/>
                <w:lang w:val="en-US" w:eastAsia="zh-CN"/>
              </w:rPr>
              <w:t>城市污水处理厂污泥检验方法 GJ/T 221-2005</w:t>
            </w:r>
          </w:p>
        </w:tc>
        <w:tc>
          <w:tcPr>
            <w:tcW w:w="877" w:type="dxa"/>
            <w:vAlign w:val="center"/>
          </w:tcPr>
          <w:p w14:paraId="30720612">
            <w:pPr>
              <w:numPr>
                <w:ilvl w:val="0"/>
                <w:numId w:val="0"/>
              </w:numPr>
              <w:spacing w:line="360" w:lineRule="auto"/>
              <w:ind w:left="0" w:leftChars="0" w:firstLine="0" w:firstLineChars="0"/>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240</w:t>
            </w:r>
          </w:p>
        </w:tc>
        <w:tc>
          <w:tcPr>
            <w:tcW w:w="1183" w:type="dxa"/>
            <w:vAlign w:val="center"/>
          </w:tcPr>
          <w:p w14:paraId="4AC38140">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1次/季</w:t>
            </w:r>
          </w:p>
        </w:tc>
      </w:tr>
      <w:tr w14:paraId="4878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7707" w:type="dxa"/>
            <w:gridSpan w:val="3"/>
            <w:vAlign w:val="center"/>
          </w:tcPr>
          <w:p w14:paraId="793E02C1">
            <w:pPr>
              <w:numPr>
                <w:ilvl w:val="0"/>
                <w:numId w:val="0"/>
              </w:numPr>
              <w:spacing w:line="360" w:lineRule="auto"/>
              <w:ind w:left="0" w:leftChars="0" w:firstLine="0" w:firstLineChars="0"/>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取样费</w:t>
            </w:r>
          </w:p>
        </w:tc>
        <w:tc>
          <w:tcPr>
            <w:tcW w:w="877" w:type="dxa"/>
            <w:vAlign w:val="center"/>
          </w:tcPr>
          <w:p w14:paraId="0B98D4D5">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300元/次</w:t>
            </w:r>
          </w:p>
        </w:tc>
        <w:tc>
          <w:tcPr>
            <w:tcW w:w="1183" w:type="dxa"/>
            <w:vAlign w:val="center"/>
          </w:tcPr>
          <w:p w14:paraId="41983361">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1次</w:t>
            </w:r>
            <w:r>
              <w:rPr>
                <w:rFonts w:hint="eastAsia" w:ascii="宋体" w:hAnsi="宋体" w:cs="宋体"/>
                <w:b w:val="0"/>
                <w:bCs w:val="0"/>
                <w:sz w:val="21"/>
                <w:szCs w:val="21"/>
                <w:vertAlign w:val="baseline"/>
                <w:lang w:val="en-US" w:eastAsia="zh-CN"/>
              </w:rPr>
              <w:t>/</w:t>
            </w:r>
            <w:r>
              <w:rPr>
                <w:rFonts w:hint="eastAsia" w:hAnsi="宋体" w:cs="宋体"/>
                <w:b w:val="0"/>
                <w:bCs w:val="0"/>
                <w:sz w:val="21"/>
                <w:szCs w:val="21"/>
                <w:vertAlign w:val="baseline"/>
                <w:lang w:val="en-US" w:eastAsia="zh-CN"/>
              </w:rPr>
              <w:t>周</w:t>
            </w:r>
          </w:p>
        </w:tc>
      </w:tr>
      <w:tr w14:paraId="5C30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7707" w:type="dxa"/>
            <w:gridSpan w:val="3"/>
            <w:vAlign w:val="center"/>
          </w:tcPr>
          <w:p w14:paraId="48251BBA">
            <w:pPr>
              <w:numPr>
                <w:ilvl w:val="0"/>
                <w:numId w:val="0"/>
              </w:numPr>
              <w:spacing w:line="360" w:lineRule="auto"/>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进、出水在线检测设备月度比对</w:t>
            </w:r>
          </w:p>
          <w:p w14:paraId="46839CEA">
            <w:pPr>
              <w:numPr>
                <w:ilvl w:val="0"/>
                <w:numId w:val="0"/>
              </w:numPr>
              <w:spacing w:line="360" w:lineRule="auto"/>
              <w:ind w:left="0" w:leftChars="0" w:firstLine="0" w:firstLineChars="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进水在线房：1台COD、1台氨氮</w:t>
            </w:r>
          </w:p>
          <w:p w14:paraId="59B99BD7">
            <w:pPr>
              <w:numPr>
                <w:ilvl w:val="0"/>
                <w:numId w:val="0"/>
              </w:numPr>
              <w:spacing w:line="360" w:lineRule="auto"/>
              <w:ind w:left="0" w:leftChars="0" w:firstLine="0" w:firstLineChars="0"/>
              <w:jc w:val="center"/>
              <w:rPr>
                <w:rFonts w:hint="default"/>
                <w:lang w:val="en-US" w:eastAsia="zh-CN"/>
              </w:rPr>
            </w:pPr>
            <w:r>
              <w:rPr>
                <w:rFonts w:hint="eastAsia" w:ascii="宋体" w:hAnsi="宋体" w:eastAsia="宋体" w:cs="宋体"/>
                <w:b w:val="0"/>
                <w:bCs w:val="0"/>
                <w:sz w:val="21"/>
                <w:szCs w:val="21"/>
                <w:vertAlign w:val="baseline"/>
                <w:lang w:val="en-US" w:eastAsia="zh-CN"/>
              </w:rPr>
              <w:t>出水在线房：1台COD、1台氨氮、1台总磷</w:t>
            </w:r>
          </w:p>
        </w:tc>
        <w:tc>
          <w:tcPr>
            <w:tcW w:w="877" w:type="dxa"/>
            <w:vAlign w:val="center"/>
          </w:tcPr>
          <w:p w14:paraId="0A677EFB">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3500元/次</w:t>
            </w:r>
          </w:p>
        </w:tc>
        <w:tc>
          <w:tcPr>
            <w:tcW w:w="1183" w:type="dxa"/>
            <w:vAlign w:val="center"/>
          </w:tcPr>
          <w:p w14:paraId="6018B1A1">
            <w:pPr>
              <w:numPr>
                <w:ilvl w:val="0"/>
                <w:numId w:val="0"/>
              </w:numPr>
              <w:spacing w:line="360" w:lineRule="auto"/>
              <w:jc w:val="center"/>
              <w:rPr>
                <w:rFonts w:hint="default"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1次/月</w:t>
            </w:r>
          </w:p>
        </w:tc>
      </w:tr>
      <w:tr w14:paraId="2860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7707" w:type="dxa"/>
            <w:gridSpan w:val="3"/>
            <w:vAlign w:val="center"/>
          </w:tcPr>
          <w:p w14:paraId="4749DFBC">
            <w:pPr>
              <w:numPr>
                <w:ilvl w:val="0"/>
                <w:numId w:val="0"/>
              </w:numPr>
              <w:spacing w:line="360" w:lineRule="auto"/>
              <w:ind w:left="0" w:leftChars="0" w:firstLine="0" w:firstLineChars="0"/>
              <w:jc w:val="center"/>
              <w:rPr>
                <w:rFonts w:hint="eastAsia"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应急检测费（接到业主通知后，24小时内到达现场取样；</w:t>
            </w:r>
          </w:p>
          <w:p w14:paraId="4E90834D">
            <w:pPr>
              <w:numPr>
                <w:ilvl w:val="0"/>
                <w:numId w:val="0"/>
              </w:numPr>
              <w:spacing w:line="360" w:lineRule="auto"/>
              <w:ind w:left="0" w:leftChars="0" w:firstLine="0" w:firstLineChars="0"/>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不参与折扣，按中标单价据实结算）</w:t>
            </w:r>
          </w:p>
        </w:tc>
        <w:tc>
          <w:tcPr>
            <w:tcW w:w="877" w:type="dxa"/>
            <w:vAlign w:val="center"/>
          </w:tcPr>
          <w:p w14:paraId="422D22A4">
            <w:pPr>
              <w:numPr>
                <w:ilvl w:val="0"/>
                <w:numId w:val="0"/>
              </w:numPr>
              <w:spacing w:line="360" w:lineRule="auto"/>
              <w:jc w:val="center"/>
              <w:rPr>
                <w:rFonts w:hint="default" w:ascii="宋体"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15000元/年</w:t>
            </w:r>
          </w:p>
        </w:tc>
        <w:tc>
          <w:tcPr>
            <w:tcW w:w="1183" w:type="dxa"/>
            <w:vAlign w:val="center"/>
          </w:tcPr>
          <w:p w14:paraId="376C899D">
            <w:pPr>
              <w:numPr>
                <w:ilvl w:val="0"/>
                <w:numId w:val="0"/>
              </w:numPr>
              <w:spacing w:line="360" w:lineRule="auto"/>
              <w:jc w:val="center"/>
              <w:rPr>
                <w:rFonts w:hint="default" w:hAnsi="宋体" w:cs="宋体"/>
                <w:b w:val="0"/>
                <w:bCs w:val="0"/>
                <w:sz w:val="21"/>
                <w:szCs w:val="21"/>
                <w:vertAlign w:val="baseline"/>
                <w:lang w:val="en-US" w:eastAsia="zh-CN"/>
              </w:rPr>
            </w:pPr>
            <w:r>
              <w:rPr>
                <w:rFonts w:hint="eastAsia" w:hAnsi="宋体" w:cs="宋体"/>
                <w:b w:val="0"/>
                <w:bCs w:val="0"/>
                <w:sz w:val="21"/>
                <w:szCs w:val="21"/>
                <w:vertAlign w:val="baseline"/>
                <w:lang w:val="en-US" w:eastAsia="zh-CN"/>
              </w:rPr>
              <w:t>1次/年</w:t>
            </w:r>
          </w:p>
        </w:tc>
      </w:tr>
      <w:tr w14:paraId="2B72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7" w:type="dxa"/>
            <w:gridSpan w:val="5"/>
            <w:vAlign w:val="center"/>
          </w:tcPr>
          <w:p w14:paraId="0A1E322A">
            <w:pPr>
              <w:numPr>
                <w:ilvl w:val="0"/>
                <w:numId w:val="0"/>
              </w:numPr>
              <w:spacing w:line="360" w:lineRule="auto"/>
              <w:jc w:val="both"/>
              <w:rPr>
                <w:rFonts w:hint="default" w:hAnsi="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合计</w:t>
            </w:r>
            <w:r>
              <w:rPr>
                <w:rFonts w:hint="eastAsia" w:hAnsi="宋体" w:cs="宋体"/>
                <w:b w:val="0"/>
                <w:bCs w:val="0"/>
                <w:sz w:val="21"/>
                <w:szCs w:val="21"/>
                <w:vertAlign w:val="baseline"/>
                <w:lang w:val="en-US" w:eastAsia="zh-CN"/>
              </w:rPr>
              <w:t>预算</w:t>
            </w:r>
            <w:r>
              <w:rPr>
                <w:rFonts w:hint="eastAsia" w:ascii="宋体" w:hAnsi="宋体" w:cs="宋体"/>
                <w:b w:val="0"/>
                <w:bCs w:val="0"/>
                <w:sz w:val="21"/>
                <w:szCs w:val="21"/>
                <w:vertAlign w:val="baseline"/>
                <w:lang w:val="en-US" w:eastAsia="zh-CN"/>
              </w:rPr>
              <w:t>金额</w:t>
            </w:r>
            <w:r>
              <w:rPr>
                <w:rFonts w:hint="eastAsia" w:hAnsi="宋体" w:cs="宋体"/>
                <w:b w:val="0"/>
                <w:bCs w:val="0"/>
                <w:sz w:val="21"/>
                <w:szCs w:val="21"/>
                <w:vertAlign w:val="baseline"/>
                <w:lang w:val="en-US" w:eastAsia="zh-CN"/>
              </w:rPr>
              <w:t>132458元，中标后根据中标费率据实结算。</w:t>
            </w:r>
          </w:p>
          <w:p w14:paraId="0183DB2A">
            <w:pPr>
              <w:numPr>
                <w:ilvl w:val="0"/>
                <w:numId w:val="0"/>
              </w:numPr>
              <w:spacing w:line="360" w:lineRule="auto"/>
              <w:jc w:val="both"/>
              <w:rPr>
                <w:rFonts w:hint="default" w:hAnsi="宋体" w:cs="宋体"/>
                <w:b w:val="0"/>
                <w:bCs w:val="0"/>
                <w:sz w:val="21"/>
                <w:szCs w:val="21"/>
                <w:vertAlign w:val="baseline"/>
                <w:lang w:val="en-US" w:eastAsia="zh-CN"/>
              </w:rPr>
            </w:pPr>
            <w:r>
              <w:rPr>
                <w:rFonts w:hint="default" w:hAnsi="宋体" w:cs="宋体"/>
                <w:b w:val="0"/>
                <w:bCs w:val="0"/>
                <w:sz w:val="21"/>
                <w:szCs w:val="21"/>
                <w:vertAlign w:val="baseline"/>
                <w:lang w:val="en-US" w:eastAsia="zh-CN"/>
              </w:rPr>
              <w:t>（</w:t>
            </w:r>
            <w:r>
              <w:rPr>
                <w:rFonts w:hint="eastAsia" w:hAnsi="宋体" w:cs="宋体"/>
                <w:b w:val="0"/>
                <w:bCs w:val="0"/>
                <w:sz w:val="21"/>
                <w:szCs w:val="21"/>
                <w:vertAlign w:val="baseline"/>
                <w:lang w:val="en-US" w:eastAsia="zh-CN"/>
              </w:rPr>
              <w:t>预算</w:t>
            </w:r>
            <w:r>
              <w:rPr>
                <w:rFonts w:hint="default" w:hAnsi="宋体" w:cs="宋体"/>
                <w:b w:val="0"/>
                <w:bCs w:val="0"/>
                <w:sz w:val="21"/>
                <w:szCs w:val="21"/>
                <w:vertAlign w:val="baseline"/>
                <w:lang w:val="en-US" w:eastAsia="zh-CN"/>
              </w:rPr>
              <w:t>以一年52周为周期的计算,雨水排口频次按每周1次计算）</w:t>
            </w:r>
          </w:p>
        </w:tc>
      </w:tr>
      <w:tr w14:paraId="4681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7" w:type="dxa"/>
            <w:gridSpan w:val="5"/>
          </w:tcPr>
          <w:p w14:paraId="5348BFBB">
            <w:pPr>
              <w:numPr>
                <w:ilvl w:val="0"/>
                <w:numId w:val="0"/>
              </w:numPr>
              <w:spacing w:line="360" w:lineRule="auto"/>
              <w:rPr>
                <w:rFonts w:hint="eastAsia" w:ascii="宋体"/>
                <w:b w:val="0"/>
                <w:bCs w:val="0"/>
                <w:sz w:val="21"/>
                <w:szCs w:val="21"/>
                <w:vertAlign w:val="baseline"/>
                <w:lang w:val="en-US" w:eastAsia="zh-CN"/>
              </w:rPr>
            </w:pPr>
            <w:r>
              <w:rPr>
                <w:rFonts w:hint="eastAsia" w:ascii="宋体"/>
                <w:b w:val="0"/>
                <w:bCs w:val="0"/>
                <w:sz w:val="21"/>
                <w:szCs w:val="21"/>
                <w:vertAlign w:val="baseline"/>
                <w:lang w:val="en-US" w:eastAsia="zh-CN"/>
              </w:rPr>
              <w:t>备注：①报价为含税金额，须提供增值税全额发票（按合同具体要求）；②包括所有消耗品、易损件和配件；③人员工资、保险等；④车辆保险、保养、折旧、油费等</w:t>
            </w:r>
            <w:r>
              <w:rPr>
                <w:rFonts w:hint="eastAsia"/>
                <w:b w:val="0"/>
                <w:bCs w:val="0"/>
                <w:sz w:val="21"/>
                <w:szCs w:val="21"/>
                <w:vertAlign w:val="baseline"/>
                <w:lang w:val="en-US" w:eastAsia="zh-CN"/>
              </w:rPr>
              <w:t>；⑤上述清单检测项目、检测频次均为预估量，实际量以业主单位确认为准，据实结算</w:t>
            </w:r>
            <w:r>
              <w:rPr>
                <w:rFonts w:hint="eastAsia" w:ascii="宋体"/>
                <w:b w:val="0"/>
                <w:bCs w:val="0"/>
                <w:sz w:val="21"/>
                <w:szCs w:val="21"/>
                <w:vertAlign w:val="baseline"/>
                <w:lang w:val="en-US" w:eastAsia="zh-CN"/>
              </w:rPr>
              <w:t>。</w:t>
            </w:r>
          </w:p>
        </w:tc>
      </w:tr>
    </w:tbl>
    <w:p w14:paraId="5188F2E6"/>
    <w:p w14:paraId="37AD661E">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31B793"/>
    <w:multiLevelType w:val="singleLevel"/>
    <w:tmpl w:val="2931B79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3164B46"/>
    <w:rsid w:val="035D6A62"/>
    <w:rsid w:val="03C238C1"/>
    <w:rsid w:val="046D02C9"/>
    <w:rsid w:val="04AC7907"/>
    <w:rsid w:val="07D61CBB"/>
    <w:rsid w:val="08187346"/>
    <w:rsid w:val="08C218CD"/>
    <w:rsid w:val="09357310"/>
    <w:rsid w:val="09431CDD"/>
    <w:rsid w:val="09D85925"/>
    <w:rsid w:val="0B16599D"/>
    <w:rsid w:val="0B4E0F31"/>
    <w:rsid w:val="0B5F2C55"/>
    <w:rsid w:val="0CC51CA1"/>
    <w:rsid w:val="12375F75"/>
    <w:rsid w:val="12E66D1C"/>
    <w:rsid w:val="132E7BF0"/>
    <w:rsid w:val="1474453F"/>
    <w:rsid w:val="147A6B5F"/>
    <w:rsid w:val="171676FC"/>
    <w:rsid w:val="174F3E72"/>
    <w:rsid w:val="19371A3D"/>
    <w:rsid w:val="1B562B38"/>
    <w:rsid w:val="1BBE6F12"/>
    <w:rsid w:val="1BE340FE"/>
    <w:rsid w:val="1CD51C99"/>
    <w:rsid w:val="1EA9518B"/>
    <w:rsid w:val="1EF02DBA"/>
    <w:rsid w:val="229D0F23"/>
    <w:rsid w:val="243B6972"/>
    <w:rsid w:val="2560638D"/>
    <w:rsid w:val="2888575B"/>
    <w:rsid w:val="288C7083"/>
    <w:rsid w:val="2A060596"/>
    <w:rsid w:val="2BCB60A1"/>
    <w:rsid w:val="2DC35BE2"/>
    <w:rsid w:val="2DDA05D0"/>
    <w:rsid w:val="2DFD6DA8"/>
    <w:rsid w:val="2F5C3B54"/>
    <w:rsid w:val="2F837F3B"/>
    <w:rsid w:val="326170B4"/>
    <w:rsid w:val="3401034F"/>
    <w:rsid w:val="365F5108"/>
    <w:rsid w:val="38451629"/>
    <w:rsid w:val="39202096"/>
    <w:rsid w:val="3956631D"/>
    <w:rsid w:val="3977637C"/>
    <w:rsid w:val="39A323C9"/>
    <w:rsid w:val="3D0656AD"/>
    <w:rsid w:val="3D995F73"/>
    <w:rsid w:val="3DD40ACC"/>
    <w:rsid w:val="3E7A3FF6"/>
    <w:rsid w:val="3F7C42B6"/>
    <w:rsid w:val="402B37FA"/>
    <w:rsid w:val="40821E95"/>
    <w:rsid w:val="417A40B0"/>
    <w:rsid w:val="42331D89"/>
    <w:rsid w:val="425A3632"/>
    <w:rsid w:val="425C413F"/>
    <w:rsid w:val="42654155"/>
    <w:rsid w:val="44AD421E"/>
    <w:rsid w:val="475C491A"/>
    <w:rsid w:val="49521D16"/>
    <w:rsid w:val="4A180A44"/>
    <w:rsid w:val="4A630034"/>
    <w:rsid w:val="4BFE4ACF"/>
    <w:rsid w:val="4D752558"/>
    <w:rsid w:val="4D841426"/>
    <w:rsid w:val="4D926C66"/>
    <w:rsid w:val="4E235B10"/>
    <w:rsid w:val="4E4A0A8E"/>
    <w:rsid w:val="4EFF657E"/>
    <w:rsid w:val="50116703"/>
    <w:rsid w:val="51EB53DF"/>
    <w:rsid w:val="53603F65"/>
    <w:rsid w:val="551C3A0B"/>
    <w:rsid w:val="555C59B4"/>
    <w:rsid w:val="56FB20EC"/>
    <w:rsid w:val="5839386D"/>
    <w:rsid w:val="58B2099D"/>
    <w:rsid w:val="58DC61B7"/>
    <w:rsid w:val="59F6057D"/>
    <w:rsid w:val="5A8121BA"/>
    <w:rsid w:val="5ABF0539"/>
    <w:rsid w:val="5B4434DF"/>
    <w:rsid w:val="65374BCA"/>
    <w:rsid w:val="6562740E"/>
    <w:rsid w:val="65FC1861"/>
    <w:rsid w:val="662E5966"/>
    <w:rsid w:val="668838E6"/>
    <w:rsid w:val="6747066A"/>
    <w:rsid w:val="699F737A"/>
    <w:rsid w:val="6B1A1662"/>
    <w:rsid w:val="6DEB7675"/>
    <w:rsid w:val="6EAC5D22"/>
    <w:rsid w:val="6F1E00AA"/>
    <w:rsid w:val="6FE07D2F"/>
    <w:rsid w:val="71DF2C74"/>
    <w:rsid w:val="72527C68"/>
    <w:rsid w:val="73136DD6"/>
    <w:rsid w:val="73231BEA"/>
    <w:rsid w:val="73922BF0"/>
    <w:rsid w:val="73B72B30"/>
    <w:rsid w:val="744F5002"/>
    <w:rsid w:val="76271B88"/>
    <w:rsid w:val="76C41664"/>
    <w:rsid w:val="77AD62C7"/>
    <w:rsid w:val="792768C4"/>
    <w:rsid w:val="7B2E5971"/>
    <w:rsid w:val="7C2E1DAD"/>
    <w:rsid w:val="7C8E0C72"/>
    <w:rsid w:val="7CE168AC"/>
    <w:rsid w:val="7D8C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6">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7">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8">
    <w:name w:val="heading 7"/>
    <w:basedOn w:val="1"/>
    <w:autoRedefine/>
    <w:qFormat/>
    <w:uiPriority w:val="1"/>
    <w:pPr>
      <w:ind w:left="577"/>
      <w:outlineLvl w:val="6"/>
    </w:pPr>
    <w:rPr>
      <w:rFonts w:ascii="宋体" w:hAnsi="宋体"/>
      <w:b/>
      <w:bCs/>
      <w:sz w:val="21"/>
      <w:szCs w:val="21"/>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left="420" w:leftChars="200" w:firstLine="420" w:firstLineChars="200"/>
    </w:pPr>
  </w:style>
  <w:style w:type="paragraph" w:styleId="3">
    <w:name w:val="Body Text Indent"/>
    <w:basedOn w:val="1"/>
    <w:next w:val="4"/>
    <w:autoRedefine/>
    <w:qFormat/>
    <w:uiPriority w:val="0"/>
    <w:pPr>
      <w:ind w:firstLine="645"/>
    </w:pPr>
    <w:rPr>
      <w:rFonts w:ascii="楷体_GB2312" w:eastAsia="楷体_GB2312"/>
      <w:kern w:val="2"/>
      <w:sz w:val="32"/>
    </w:rPr>
  </w:style>
  <w:style w:type="paragraph" w:styleId="4">
    <w:name w:val="envelope return"/>
    <w:basedOn w:val="1"/>
    <w:qFormat/>
    <w:uiPriority w:val="0"/>
    <w:pPr>
      <w:snapToGrid w:val="0"/>
    </w:pPr>
    <w:rPr>
      <w:rFonts w:ascii="Arial" w:hAnsi="Arial" w:cs="Arial"/>
      <w:szCs w:val="24"/>
    </w:rPr>
  </w:style>
  <w:style w:type="paragraph" w:styleId="9">
    <w:name w:val="annotation text"/>
    <w:basedOn w:val="1"/>
    <w:link w:val="29"/>
    <w:autoRedefine/>
    <w:semiHidden/>
    <w:unhideWhenUsed/>
    <w:qFormat/>
    <w:uiPriority w:val="99"/>
    <w:pPr>
      <w:jc w:val="left"/>
    </w:pPr>
  </w:style>
  <w:style w:type="paragraph" w:styleId="10">
    <w:name w:val="Body Text"/>
    <w:basedOn w:val="1"/>
    <w:autoRedefine/>
    <w:qFormat/>
    <w:uiPriority w:val="1"/>
    <w:pPr>
      <w:ind w:left="140"/>
    </w:pPr>
    <w:rPr>
      <w:rFonts w:ascii="宋体" w:hAnsi="宋体"/>
      <w:sz w:val="21"/>
      <w:szCs w:val="21"/>
    </w:rPr>
  </w:style>
  <w:style w:type="paragraph" w:styleId="11">
    <w:name w:val="Plain Text"/>
    <w:basedOn w:val="1"/>
    <w:autoRedefine/>
    <w:qFormat/>
    <w:uiPriority w:val="0"/>
    <w:rPr>
      <w:rFonts w:hAnsi="Courier New"/>
      <w:kern w:val="2"/>
      <w:sz w:val="21"/>
    </w:rPr>
  </w:style>
  <w:style w:type="paragraph" w:styleId="12">
    <w:name w:val="Balloon Text"/>
    <w:basedOn w:val="1"/>
    <w:link w:val="31"/>
    <w:autoRedefine/>
    <w:semiHidden/>
    <w:unhideWhenUsed/>
    <w:qFormat/>
    <w:uiPriority w:val="99"/>
    <w:rPr>
      <w:sz w:val="18"/>
      <w:szCs w:val="18"/>
    </w:rPr>
  </w:style>
  <w:style w:type="paragraph" w:styleId="13">
    <w:name w:val="footer"/>
    <w:basedOn w:val="1"/>
    <w:link w:val="27"/>
    <w:autoRedefine/>
    <w:unhideWhenUsed/>
    <w:qFormat/>
    <w:uiPriority w:val="99"/>
    <w:pPr>
      <w:tabs>
        <w:tab w:val="center" w:pos="4153"/>
        <w:tab w:val="right" w:pos="8306"/>
      </w:tabs>
      <w:snapToGrid w:val="0"/>
      <w:jc w:val="left"/>
    </w:pPr>
    <w:rPr>
      <w:sz w:val="18"/>
      <w:szCs w:val="18"/>
    </w:rPr>
  </w:style>
  <w:style w:type="paragraph" w:styleId="14">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autoRedefine/>
    <w:qFormat/>
    <w:uiPriority w:val="0"/>
    <w:pPr>
      <w:ind w:firstLine="645"/>
    </w:pPr>
    <w:rPr>
      <w:rFonts w:ascii="仿宋_GB2312" w:hAnsi="Arial" w:eastAsia="仿宋_GB2312"/>
      <w:color w:val="000000"/>
      <w:sz w:val="30"/>
    </w:rPr>
  </w:style>
  <w:style w:type="paragraph" w:styleId="16">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autoRedefine/>
    <w:unhideWhenUsed/>
    <w:qFormat/>
    <w:uiPriority w:val="99"/>
    <w:pPr>
      <w:spacing w:before="100" w:beforeAutospacing="1" w:after="100" w:afterAutospacing="1"/>
      <w:jc w:val="left"/>
    </w:pPr>
    <w:rPr>
      <w:kern w:val="0"/>
      <w:sz w:val="24"/>
      <w:szCs w:val="22"/>
    </w:rPr>
  </w:style>
  <w:style w:type="paragraph" w:styleId="18">
    <w:name w:val="annotation subject"/>
    <w:basedOn w:val="9"/>
    <w:next w:val="9"/>
    <w:link w:val="30"/>
    <w:autoRedefine/>
    <w:semiHidden/>
    <w:unhideWhenUsed/>
    <w:qFormat/>
    <w:uiPriority w:val="99"/>
    <w:rPr>
      <w:b/>
      <w:bCs/>
    </w:rPr>
  </w:style>
  <w:style w:type="table" w:styleId="20">
    <w:name w:val="Table Grid"/>
    <w:basedOn w:val="19"/>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2">
    <w:name w:val="Strong"/>
    <w:basedOn w:val="21"/>
    <w:autoRedefine/>
    <w:qFormat/>
    <w:uiPriority w:val="22"/>
    <w:rPr>
      <w:b/>
    </w:rPr>
  </w:style>
  <w:style w:type="character" w:styleId="23">
    <w:name w:val="page number"/>
    <w:basedOn w:val="21"/>
    <w:autoRedefine/>
    <w:qFormat/>
    <w:uiPriority w:val="0"/>
  </w:style>
  <w:style w:type="character" w:styleId="24">
    <w:name w:val="annotation reference"/>
    <w:basedOn w:val="21"/>
    <w:autoRedefine/>
    <w:semiHidden/>
    <w:unhideWhenUsed/>
    <w:qFormat/>
    <w:uiPriority w:val="99"/>
    <w:rPr>
      <w:sz w:val="21"/>
      <w:szCs w:val="21"/>
    </w:rPr>
  </w:style>
  <w:style w:type="paragraph" w:customStyle="1" w:styleId="25">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6">
    <w:name w:val="页眉 Char"/>
    <w:basedOn w:val="21"/>
    <w:link w:val="14"/>
    <w:autoRedefine/>
    <w:qFormat/>
    <w:uiPriority w:val="99"/>
    <w:rPr>
      <w:sz w:val="18"/>
      <w:szCs w:val="18"/>
    </w:rPr>
  </w:style>
  <w:style w:type="character" w:customStyle="1" w:styleId="27">
    <w:name w:val="页脚 Char"/>
    <w:basedOn w:val="21"/>
    <w:link w:val="13"/>
    <w:autoRedefine/>
    <w:qFormat/>
    <w:uiPriority w:val="99"/>
    <w:rPr>
      <w:sz w:val="18"/>
      <w:szCs w:val="18"/>
    </w:rPr>
  </w:style>
  <w:style w:type="paragraph" w:customStyle="1" w:styleId="28">
    <w:name w:val="Char Char Char Char Char Char Char Char Char Char"/>
    <w:basedOn w:val="1"/>
    <w:autoRedefine/>
    <w:qFormat/>
    <w:uiPriority w:val="0"/>
    <w:rPr>
      <w:rFonts w:ascii="Tahoma" w:hAnsi="Tahoma" w:eastAsia="宋体" w:cs="仿宋_GB2312"/>
      <w:sz w:val="24"/>
      <w:szCs w:val="20"/>
    </w:rPr>
  </w:style>
  <w:style w:type="character" w:customStyle="1" w:styleId="29">
    <w:name w:val="批注文字 Char"/>
    <w:basedOn w:val="21"/>
    <w:link w:val="9"/>
    <w:autoRedefine/>
    <w:semiHidden/>
    <w:qFormat/>
    <w:uiPriority w:val="99"/>
  </w:style>
  <w:style w:type="character" w:customStyle="1" w:styleId="30">
    <w:name w:val="批注主题 Char"/>
    <w:basedOn w:val="29"/>
    <w:link w:val="18"/>
    <w:autoRedefine/>
    <w:semiHidden/>
    <w:qFormat/>
    <w:uiPriority w:val="99"/>
    <w:rPr>
      <w:b/>
      <w:bCs/>
    </w:rPr>
  </w:style>
  <w:style w:type="character" w:customStyle="1" w:styleId="31">
    <w:name w:val="批注框文本 Char"/>
    <w:basedOn w:val="21"/>
    <w:link w:val="12"/>
    <w:autoRedefine/>
    <w:semiHidden/>
    <w:qFormat/>
    <w:uiPriority w:val="99"/>
    <w:rPr>
      <w:sz w:val="18"/>
      <w:szCs w:val="18"/>
    </w:rPr>
  </w:style>
  <w:style w:type="paragraph" w:styleId="32">
    <w:name w:val="List Paragraph"/>
    <w:basedOn w:val="1"/>
    <w:autoRedefine/>
    <w:unhideWhenUsed/>
    <w:qFormat/>
    <w:uiPriority w:val="99"/>
    <w:pPr>
      <w:ind w:firstLine="420" w:firstLineChars="200"/>
    </w:pPr>
  </w:style>
  <w:style w:type="paragraph" w:customStyle="1" w:styleId="33">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4">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5">
    <w:name w:val="Char Char Char Char Char Char Char1 Char"/>
    <w:basedOn w:val="1"/>
    <w:autoRedefine/>
    <w:qFormat/>
    <w:uiPriority w:val="0"/>
    <w:rPr>
      <w:rFonts w:ascii="Tahoma" w:hAnsi="Tahoma"/>
      <w:sz w:val="24"/>
    </w:rPr>
  </w:style>
  <w:style w:type="character" w:customStyle="1" w:styleId="36">
    <w:name w:val="font21"/>
    <w:basedOn w:val="21"/>
    <w:autoRedefine/>
    <w:qFormat/>
    <w:uiPriority w:val="0"/>
    <w:rPr>
      <w:rFonts w:hint="eastAsia" w:ascii="宋体" w:hAnsi="宋体" w:eastAsia="宋体" w:cs="宋体"/>
      <w:b/>
      <w:bCs/>
      <w:color w:val="000000"/>
      <w:sz w:val="40"/>
      <w:szCs w:val="40"/>
      <w:u w:val="none"/>
    </w:rPr>
  </w:style>
  <w:style w:type="character" w:customStyle="1" w:styleId="37">
    <w:name w:val="font71"/>
    <w:basedOn w:val="21"/>
    <w:autoRedefine/>
    <w:qFormat/>
    <w:uiPriority w:val="0"/>
    <w:rPr>
      <w:rFonts w:hint="eastAsia" w:ascii="宋体" w:hAnsi="宋体" w:eastAsia="宋体" w:cs="宋体"/>
      <w:b/>
      <w:bCs/>
      <w:color w:val="000000"/>
      <w:sz w:val="40"/>
      <w:szCs w:val="40"/>
      <w:u w:val="single"/>
    </w:rPr>
  </w:style>
  <w:style w:type="character" w:customStyle="1" w:styleId="38">
    <w:name w:val="font91"/>
    <w:basedOn w:val="21"/>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39">
    <w:name w:val="font111"/>
    <w:basedOn w:val="21"/>
    <w:autoRedefine/>
    <w:qFormat/>
    <w:uiPriority w:val="0"/>
    <w:rPr>
      <w:rFonts w:hint="eastAsia" w:ascii="宋体" w:hAnsi="宋体" w:eastAsia="宋体" w:cs="宋体"/>
      <w:color w:val="000000"/>
      <w:sz w:val="40"/>
      <w:szCs w:val="40"/>
      <w:u w:val="single"/>
    </w:rPr>
  </w:style>
  <w:style w:type="character" w:customStyle="1" w:styleId="40">
    <w:name w:val="font141"/>
    <w:basedOn w:val="21"/>
    <w:autoRedefine/>
    <w:qFormat/>
    <w:uiPriority w:val="0"/>
    <w:rPr>
      <w:rFonts w:hint="eastAsia" w:ascii="宋体" w:hAnsi="宋体" w:eastAsia="宋体" w:cs="宋体"/>
      <w:color w:val="000000"/>
      <w:sz w:val="20"/>
      <w:szCs w:val="20"/>
      <w:u w:val="single"/>
    </w:rPr>
  </w:style>
  <w:style w:type="character" w:customStyle="1" w:styleId="41">
    <w:name w:val="font151"/>
    <w:basedOn w:val="21"/>
    <w:autoRedefine/>
    <w:qFormat/>
    <w:uiPriority w:val="0"/>
    <w:rPr>
      <w:rFonts w:hint="eastAsia" w:ascii="宋体" w:hAnsi="宋体" w:eastAsia="宋体" w:cs="宋体"/>
      <w:color w:val="000000"/>
      <w:sz w:val="20"/>
      <w:szCs w:val="20"/>
      <w:u w:val="single"/>
    </w:rPr>
  </w:style>
  <w:style w:type="paragraph" w:customStyle="1" w:styleId="42">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3">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16</Pages>
  <Words>2985</Words>
  <Characters>3041</Characters>
  <Lines>5</Lines>
  <Paragraphs>1</Paragraphs>
  <TotalTime>4</TotalTime>
  <ScaleCrop>false</ScaleCrop>
  <LinksUpToDate>false</LinksUpToDate>
  <CharactersWithSpaces>3234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2025-06-03T01:19:00Z</cp:lastPrinted>
  <dcterms:modified xsi:type="dcterms:W3CDTF">2026-07-30T02:23:08Z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