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5"/>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5"/>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19"/>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6"/>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6631"/>
      <w:bookmarkStart w:id="3" w:name="_Toc461053086"/>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524C5984">
            <w:pPr>
              <w:snapToGrid w:val="0"/>
              <w:spacing w:line="360" w:lineRule="auto"/>
              <w:ind w:firstLine="826" w:firstLineChars="392"/>
              <w:rPr>
                <w:rFonts w:hint="default" w:hAnsi="宋体"/>
                <w:b/>
                <w:color w:val="000000"/>
                <w:highlight w:val="none"/>
                <w:u w:val="single"/>
                <w:lang w:val="en-US" w:eastAsia="zh-CN"/>
              </w:rPr>
            </w:pPr>
            <w:r>
              <w:rPr>
                <w:rFonts w:hint="eastAsia" w:hAnsi="宋体"/>
                <w:b/>
                <w:color w:val="000000"/>
                <w:highlight w:val="none"/>
                <w:u w:val="single"/>
                <w:lang w:val="en-US" w:eastAsia="zh-CN"/>
              </w:rPr>
              <w:t>金额</w:t>
            </w:r>
            <w:r>
              <w:rPr>
                <w:rFonts w:hint="default" w:hAnsi="宋体"/>
                <w:b/>
                <w:color w:val="000000"/>
                <w:highlight w:val="none"/>
                <w:u w:val="single"/>
                <w:lang w:val="en-US" w:eastAsia="zh-CN"/>
              </w:rPr>
              <w:t xml:space="preserve">           </w:t>
            </w:r>
            <w:r>
              <w:rPr>
                <w:rFonts w:hint="eastAsia" w:hAnsi="宋体"/>
                <w:b/>
                <w:color w:val="000000"/>
                <w:highlight w:val="none"/>
                <w:u w:val="single"/>
                <w:lang w:val="en-US" w:eastAsia="zh-CN"/>
              </w:rPr>
              <w:t>元</w:t>
            </w:r>
          </w:p>
          <w:p w14:paraId="050347F9">
            <w:pPr>
              <w:snapToGrid w:val="0"/>
              <w:spacing w:line="360" w:lineRule="auto"/>
              <w:ind w:firstLine="826" w:firstLineChars="392"/>
              <w:rPr>
                <w:rFonts w:hint="default" w:hAnsi="宋体"/>
                <w:b/>
                <w:color w:val="000000"/>
                <w:highlight w:val="yellow"/>
                <w:u w:val="single"/>
                <w:lang w:val="en-US" w:eastAsia="zh-CN"/>
              </w:rPr>
            </w:pP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8648630"/>
      <w:bookmarkStart w:id="7" w:name="_Toc433835936"/>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bookmarkEnd w:id="8"/>
    <w:p w14:paraId="748AC15A">
      <w:pPr>
        <w:bidi w:val="0"/>
        <w:rPr>
          <w:rFonts w:hint="eastAsia"/>
          <w:lang w:val="en-US" w:eastAsia="zh-CN"/>
        </w:rPr>
      </w:pPr>
    </w:p>
    <w:tbl>
      <w:tblPr>
        <w:tblStyle w:val="19"/>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7349"/>
      </w:tblGrid>
      <w:tr w14:paraId="66A9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018" w:type="pct"/>
            <w:noWrap w:val="0"/>
            <w:vAlign w:val="center"/>
          </w:tcPr>
          <w:p w14:paraId="4F837D09">
            <w:pPr>
              <w:ind w:firstLine="482" w:firstLineChars="200"/>
              <w:rPr>
                <w:rFonts w:hint="eastAsia" w:ascii="宋体" w:hAnsi="宋体" w:eastAsia="宋体" w:cs="宋体"/>
                <w:b/>
                <w:sz w:val="24"/>
                <w:szCs w:val="24"/>
              </w:rPr>
            </w:pPr>
            <w:bookmarkStart w:id="9" w:name="_GoBack"/>
            <w:r>
              <w:rPr>
                <w:rFonts w:hint="eastAsia" w:ascii="宋体" w:hAnsi="宋体" w:eastAsia="宋体" w:cs="宋体"/>
                <w:b/>
                <w:sz w:val="24"/>
                <w:szCs w:val="24"/>
              </w:rPr>
              <w:t>项目名称</w:t>
            </w:r>
          </w:p>
        </w:tc>
        <w:tc>
          <w:tcPr>
            <w:tcW w:w="3982" w:type="pct"/>
            <w:noWrap w:val="0"/>
            <w:vAlign w:val="center"/>
          </w:tcPr>
          <w:p w14:paraId="7B14AE18">
            <w:pPr>
              <w:pStyle w:val="5"/>
              <w:spacing w:line="360" w:lineRule="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合</w:t>
            </w:r>
            <w:r>
              <w:rPr>
                <w:rFonts w:hint="eastAsia" w:ascii="宋体" w:hAnsi="宋体" w:eastAsia="宋体" w:cs="宋体"/>
                <w:b w:val="0"/>
                <w:bCs/>
                <w:color w:val="000000"/>
                <w:kern w:val="2"/>
                <w:sz w:val="24"/>
                <w:szCs w:val="24"/>
                <w:lang w:val="en-US" w:eastAsia="zh-CN"/>
              </w:rPr>
              <w:t>经区</w:t>
            </w:r>
            <w:r>
              <w:rPr>
                <w:rFonts w:hint="eastAsia" w:ascii="宋体" w:hAnsi="宋体" w:eastAsia="宋体" w:cs="宋体"/>
                <w:b w:val="0"/>
                <w:bCs/>
                <w:color w:val="000000"/>
                <w:kern w:val="2"/>
                <w:sz w:val="24"/>
                <w:szCs w:val="24"/>
              </w:rPr>
              <w:t>高刘污水处理厂</w:t>
            </w:r>
            <w:r>
              <w:rPr>
                <w:rFonts w:hint="eastAsia" w:ascii="宋体" w:hAnsi="宋体" w:eastAsia="宋体" w:cs="宋体"/>
                <w:b w:val="0"/>
                <w:bCs/>
                <w:color w:val="000000"/>
                <w:kern w:val="2"/>
                <w:sz w:val="24"/>
                <w:szCs w:val="24"/>
                <w:lang w:val="en-US" w:eastAsia="zh-CN"/>
              </w:rPr>
              <w:t>进出</w:t>
            </w:r>
            <w:r>
              <w:rPr>
                <w:rFonts w:hint="eastAsia" w:ascii="宋体" w:hAnsi="宋体" w:eastAsia="宋体" w:cs="宋体"/>
                <w:b w:val="0"/>
                <w:bCs/>
                <w:color w:val="000000"/>
                <w:kern w:val="2"/>
                <w:sz w:val="24"/>
                <w:szCs w:val="24"/>
              </w:rPr>
              <w:t>口在线监测</w:t>
            </w:r>
            <w:r>
              <w:rPr>
                <w:rFonts w:hint="eastAsia" w:ascii="宋体" w:hAnsi="宋体" w:eastAsia="宋体" w:cs="宋体"/>
                <w:b w:val="0"/>
                <w:bCs/>
                <w:color w:val="000000"/>
                <w:kern w:val="2"/>
                <w:sz w:val="24"/>
                <w:szCs w:val="24"/>
                <w:lang w:val="en-US" w:eastAsia="zh-CN"/>
              </w:rPr>
              <w:t>系统</w:t>
            </w:r>
            <w:r>
              <w:rPr>
                <w:rFonts w:hint="eastAsia" w:ascii="宋体" w:hAnsi="宋体" w:eastAsia="宋体" w:cs="宋体"/>
                <w:b w:val="0"/>
                <w:bCs/>
                <w:color w:val="000000"/>
                <w:sz w:val="24"/>
                <w:szCs w:val="24"/>
              </w:rPr>
              <w:t>维保服务项目</w:t>
            </w:r>
          </w:p>
        </w:tc>
      </w:tr>
      <w:tr w14:paraId="72FE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18" w:type="pct"/>
            <w:noWrap w:val="0"/>
            <w:vAlign w:val="center"/>
          </w:tcPr>
          <w:p w14:paraId="435803B1">
            <w:pPr>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需求单位</w:t>
            </w:r>
          </w:p>
        </w:tc>
        <w:tc>
          <w:tcPr>
            <w:tcW w:w="3982" w:type="pct"/>
            <w:noWrap w:val="0"/>
            <w:vAlign w:val="center"/>
          </w:tcPr>
          <w:p w14:paraId="0B3D2967">
            <w:pPr>
              <w:autoSpaceDE w:val="0"/>
              <w:autoSpaceDN w:val="0"/>
              <w:adjustRightInd w:val="0"/>
              <w:spacing w:line="360" w:lineRule="auto"/>
              <w:jc w:val="left"/>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合肥金晶水务有限公司</w:t>
            </w:r>
          </w:p>
        </w:tc>
      </w:tr>
      <w:tr w14:paraId="6BC5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018" w:type="pct"/>
            <w:noWrap w:val="0"/>
            <w:vAlign w:val="center"/>
          </w:tcPr>
          <w:p w14:paraId="0BCC9421">
            <w:pPr>
              <w:jc w:val="center"/>
              <w:rPr>
                <w:rFonts w:hint="eastAsia" w:ascii="宋体" w:hAnsi="宋体" w:eastAsia="宋体" w:cs="宋体"/>
                <w:b/>
                <w:sz w:val="24"/>
                <w:szCs w:val="24"/>
              </w:rPr>
            </w:pPr>
            <w:r>
              <w:rPr>
                <w:rFonts w:hint="eastAsia" w:ascii="宋体" w:hAnsi="宋体" w:eastAsia="宋体" w:cs="宋体"/>
                <w:b/>
                <w:sz w:val="24"/>
                <w:szCs w:val="24"/>
              </w:rPr>
              <w:t>项目编号</w:t>
            </w:r>
          </w:p>
        </w:tc>
        <w:tc>
          <w:tcPr>
            <w:tcW w:w="3982" w:type="pct"/>
            <w:noWrap w:val="0"/>
            <w:vAlign w:val="center"/>
          </w:tcPr>
          <w:p w14:paraId="48091A92">
            <w:pPr>
              <w:autoSpaceDE w:val="0"/>
              <w:autoSpaceDN w:val="0"/>
              <w:adjustRightInd w:val="0"/>
              <w:spacing w:line="360" w:lineRule="auto"/>
              <w:jc w:val="left"/>
              <w:rPr>
                <w:rFonts w:hint="eastAsia" w:ascii="宋体" w:hAnsi="宋体" w:eastAsia="宋体" w:cs="宋体"/>
                <w:b w:val="0"/>
                <w:bCs/>
                <w:color w:val="000000"/>
                <w:sz w:val="24"/>
                <w:szCs w:val="24"/>
              </w:rPr>
            </w:pPr>
          </w:p>
        </w:tc>
      </w:tr>
      <w:tr w14:paraId="41DF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18" w:type="pct"/>
            <w:noWrap w:val="0"/>
            <w:vAlign w:val="center"/>
          </w:tcPr>
          <w:p w14:paraId="0782CC94">
            <w:pPr>
              <w:jc w:val="center"/>
              <w:rPr>
                <w:rFonts w:hint="eastAsia" w:ascii="宋体" w:hAnsi="宋体" w:eastAsia="宋体" w:cs="宋体"/>
                <w:b/>
                <w:sz w:val="24"/>
                <w:szCs w:val="24"/>
              </w:rPr>
            </w:pPr>
            <w:r>
              <w:rPr>
                <w:rFonts w:hint="eastAsia" w:ascii="宋体" w:hAnsi="宋体" w:eastAsia="宋体" w:cs="宋体"/>
                <w:b/>
                <w:sz w:val="24"/>
                <w:szCs w:val="24"/>
              </w:rPr>
              <w:t>项目预算</w:t>
            </w:r>
          </w:p>
        </w:tc>
        <w:tc>
          <w:tcPr>
            <w:tcW w:w="3982" w:type="pct"/>
            <w:noWrap w:val="0"/>
            <w:vAlign w:val="center"/>
          </w:tcPr>
          <w:p w14:paraId="310A6572">
            <w:pPr>
              <w:autoSpaceDE w:val="0"/>
              <w:autoSpaceDN w:val="0"/>
              <w:adjustRightInd w:val="0"/>
              <w:spacing w:line="360" w:lineRule="auto"/>
              <w:jc w:val="left"/>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105000元</w:t>
            </w:r>
          </w:p>
        </w:tc>
      </w:tr>
      <w:tr w14:paraId="0F9F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18" w:type="pct"/>
            <w:noWrap w:val="0"/>
            <w:vAlign w:val="center"/>
          </w:tcPr>
          <w:p w14:paraId="40F14F44">
            <w:pPr>
              <w:jc w:val="center"/>
              <w:rPr>
                <w:rFonts w:hint="eastAsia" w:ascii="宋体" w:hAnsi="宋体" w:eastAsia="宋体" w:cs="宋体"/>
                <w:b/>
                <w:sz w:val="24"/>
                <w:szCs w:val="24"/>
              </w:rPr>
            </w:pPr>
            <w:r>
              <w:rPr>
                <w:rFonts w:hint="eastAsia" w:ascii="宋体" w:hAnsi="宋体" w:eastAsia="宋体" w:cs="宋体"/>
                <w:b/>
                <w:sz w:val="24"/>
                <w:szCs w:val="24"/>
              </w:rPr>
              <w:t>项目概况</w:t>
            </w:r>
          </w:p>
        </w:tc>
        <w:tc>
          <w:tcPr>
            <w:tcW w:w="3982" w:type="pct"/>
            <w:noWrap w:val="0"/>
            <w:vAlign w:val="center"/>
          </w:tcPr>
          <w:p w14:paraId="107C7AEB">
            <w:pP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高</w:t>
            </w:r>
            <w:r>
              <w:rPr>
                <w:rFonts w:hint="eastAsia" w:ascii="宋体" w:hAnsi="宋体" w:eastAsia="宋体" w:cs="宋体"/>
                <w:b w:val="0"/>
                <w:bCs/>
                <w:color w:val="000000"/>
                <w:sz w:val="24"/>
                <w:szCs w:val="24"/>
                <w:lang w:val="en-US" w:eastAsia="zh-CN"/>
              </w:rPr>
              <w:t>刘</w:t>
            </w:r>
            <w:r>
              <w:rPr>
                <w:rFonts w:hint="eastAsia" w:ascii="宋体" w:hAnsi="宋体" w:eastAsia="宋体" w:cs="宋体"/>
                <w:b w:val="0"/>
                <w:bCs/>
                <w:color w:val="000000"/>
                <w:sz w:val="24"/>
                <w:szCs w:val="24"/>
              </w:rPr>
              <w:t>污水处理厂项目位于合肥经开北区高刘街道，根据2021年6月21日安徽省生态厅</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安徽省市场监督管理下发《安徽省污染源自动监控设施运行管理办法要求》，</w:t>
            </w:r>
            <w:r>
              <w:rPr>
                <w:rFonts w:hint="eastAsia" w:ascii="宋体" w:hAnsi="宋体" w:eastAsia="宋体" w:cs="宋体"/>
                <w:b w:val="0"/>
                <w:bCs/>
                <w:color w:val="000000"/>
                <w:sz w:val="24"/>
                <w:szCs w:val="24"/>
                <w:lang w:val="en-US" w:eastAsia="zh-CN"/>
              </w:rPr>
              <w:t>污水处理厂进出口在线检测设备</w:t>
            </w:r>
            <w:r>
              <w:rPr>
                <w:rFonts w:hint="eastAsia" w:ascii="宋体" w:hAnsi="宋体" w:eastAsia="宋体" w:cs="宋体"/>
                <w:b w:val="0"/>
                <w:bCs/>
                <w:color w:val="000000"/>
                <w:sz w:val="24"/>
                <w:szCs w:val="24"/>
              </w:rPr>
              <w:t>需要进行第三方托管服务。</w:t>
            </w:r>
            <w:r>
              <w:rPr>
                <w:rFonts w:hint="eastAsia" w:ascii="宋体" w:hAnsi="宋体" w:eastAsia="宋体" w:cs="宋体"/>
                <w:b w:val="0"/>
                <w:bCs/>
                <w:color w:val="000000"/>
                <w:sz w:val="24"/>
                <w:szCs w:val="24"/>
                <w:lang w:val="en-US" w:eastAsia="zh-CN"/>
              </w:rPr>
              <w:t>高刘污水处理厂项目位于</w:t>
            </w:r>
            <w:r>
              <w:rPr>
                <w:rFonts w:hint="eastAsia" w:ascii="宋体" w:hAnsi="宋体" w:eastAsia="宋体" w:cs="宋体"/>
                <w:b w:val="0"/>
                <w:bCs/>
                <w:color w:val="000000"/>
                <w:sz w:val="24"/>
                <w:szCs w:val="24"/>
              </w:rPr>
              <w:t>合肥经开北区高刘街道</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现对此项目进出口在线监测维保服务，进行招标采购。</w:t>
            </w:r>
          </w:p>
        </w:tc>
      </w:tr>
      <w:tr w14:paraId="7B81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8" w:type="pct"/>
            <w:noWrap w:val="0"/>
            <w:vAlign w:val="center"/>
          </w:tcPr>
          <w:p w14:paraId="1F17A45E">
            <w:pPr>
              <w:jc w:val="center"/>
              <w:rPr>
                <w:rFonts w:hint="eastAsia" w:ascii="宋体" w:hAnsi="宋体" w:eastAsia="宋体" w:cs="宋体"/>
                <w:b/>
                <w:sz w:val="24"/>
                <w:szCs w:val="24"/>
              </w:rPr>
            </w:pPr>
            <w:r>
              <w:rPr>
                <w:rFonts w:hint="eastAsia" w:ascii="宋体" w:hAnsi="宋体" w:eastAsia="宋体" w:cs="宋体"/>
                <w:b/>
                <w:sz w:val="24"/>
                <w:szCs w:val="24"/>
              </w:rPr>
              <w:t>采购方式</w:t>
            </w:r>
          </w:p>
        </w:tc>
        <w:tc>
          <w:tcPr>
            <w:tcW w:w="3982" w:type="pct"/>
            <w:noWrap w:val="0"/>
            <w:vAlign w:val="center"/>
          </w:tcPr>
          <w:p w14:paraId="40C56844">
            <w:pPr>
              <w:autoSpaceDE w:val="0"/>
              <w:autoSpaceDN w:val="0"/>
              <w:adjustRightInd w:val="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公开招标</w:t>
            </w:r>
          </w:p>
        </w:tc>
      </w:tr>
      <w:tr w14:paraId="4F4F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pct"/>
            <w:vMerge w:val="restart"/>
            <w:noWrap w:val="0"/>
            <w:vAlign w:val="center"/>
          </w:tcPr>
          <w:p w14:paraId="33DB16F1">
            <w:pPr>
              <w:jc w:val="center"/>
              <w:rPr>
                <w:rFonts w:hint="eastAsia" w:ascii="宋体" w:hAnsi="宋体" w:eastAsia="宋体" w:cs="宋体"/>
                <w:b/>
                <w:sz w:val="24"/>
                <w:szCs w:val="24"/>
              </w:rPr>
            </w:pPr>
            <w:r>
              <w:rPr>
                <w:rFonts w:hint="eastAsia" w:ascii="宋体" w:hAnsi="宋体" w:eastAsia="宋体" w:cs="宋体"/>
                <w:b/>
                <w:sz w:val="24"/>
                <w:szCs w:val="24"/>
              </w:rPr>
              <w:t>项目是否分包</w:t>
            </w:r>
          </w:p>
          <w:p w14:paraId="5910FB97">
            <w:pPr>
              <w:jc w:val="center"/>
              <w:rPr>
                <w:rFonts w:hint="eastAsia" w:ascii="宋体" w:hAnsi="宋体" w:eastAsia="宋体" w:cs="宋体"/>
                <w:b/>
                <w:sz w:val="24"/>
                <w:szCs w:val="24"/>
              </w:rPr>
            </w:pPr>
            <w:r>
              <w:rPr>
                <w:rFonts w:hint="eastAsia" w:ascii="宋体" w:hAnsi="宋体" w:eastAsia="宋体" w:cs="宋体"/>
                <w:b/>
                <w:sz w:val="24"/>
                <w:szCs w:val="24"/>
              </w:rPr>
              <w:t>分包预算</w:t>
            </w:r>
          </w:p>
        </w:tc>
        <w:tc>
          <w:tcPr>
            <w:tcW w:w="3982" w:type="pct"/>
            <w:noWrap w:val="0"/>
            <w:vAlign w:val="center"/>
          </w:tcPr>
          <w:p w14:paraId="43E60AD1">
            <w:pPr>
              <w:autoSpaceDE w:val="0"/>
              <w:autoSpaceDN w:val="0"/>
              <w:adjustRightInd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不分包</w:t>
            </w:r>
          </w:p>
        </w:tc>
      </w:tr>
      <w:tr w14:paraId="6151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18" w:type="pct"/>
            <w:vMerge w:val="continue"/>
            <w:noWrap w:val="0"/>
            <w:vAlign w:val="center"/>
          </w:tcPr>
          <w:p w14:paraId="75BCD09B">
            <w:pPr>
              <w:jc w:val="center"/>
              <w:rPr>
                <w:rFonts w:hint="eastAsia" w:ascii="宋体" w:hAnsi="宋体" w:eastAsia="宋体" w:cs="宋体"/>
                <w:b/>
                <w:sz w:val="24"/>
                <w:szCs w:val="24"/>
              </w:rPr>
            </w:pPr>
          </w:p>
        </w:tc>
        <w:tc>
          <w:tcPr>
            <w:tcW w:w="3982" w:type="pct"/>
            <w:noWrap w:val="0"/>
            <w:vAlign w:val="center"/>
          </w:tcPr>
          <w:p w14:paraId="7C92396E">
            <w:pPr>
              <w:autoSpaceDE w:val="0"/>
              <w:autoSpaceDN w:val="0"/>
              <w:adjustRightInd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否</w:t>
            </w:r>
          </w:p>
        </w:tc>
      </w:tr>
      <w:tr w14:paraId="6A4F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018" w:type="pct"/>
            <w:noWrap w:val="0"/>
            <w:vAlign w:val="center"/>
          </w:tcPr>
          <w:p w14:paraId="113B8BA6">
            <w:pPr>
              <w:jc w:val="center"/>
              <w:rPr>
                <w:rFonts w:hint="eastAsia" w:ascii="宋体" w:hAnsi="宋体" w:eastAsia="宋体" w:cs="宋体"/>
                <w:b/>
                <w:sz w:val="24"/>
                <w:szCs w:val="24"/>
              </w:rPr>
            </w:pPr>
            <w:r>
              <w:rPr>
                <w:rFonts w:hint="eastAsia" w:ascii="宋体" w:hAnsi="宋体" w:eastAsia="宋体" w:cs="宋体"/>
                <w:b/>
                <w:sz w:val="24"/>
                <w:szCs w:val="24"/>
              </w:rPr>
              <w:t>投标人</w:t>
            </w:r>
          </w:p>
          <w:p w14:paraId="07CF1162">
            <w:pPr>
              <w:jc w:val="center"/>
              <w:rPr>
                <w:rFonts w:hint="eastAsia" w:ascii="宋体" w:hAnsi="宋体" w:eastAsia="宋体" w:cs="宋体"/>
                <w:b/>
                <w:sz w:val="24"/>
                <w:szCs w:val="24"/>
              </w:rPr>
            </w:pPr>
            <w:r>
              <w:rPr>
                <w:rFonts w:hint="eastAsia" w:ascii="宋体" w:hAnsi="宋体" w:eastAsia="宋体" w:cs="宋体"/>
                <w:b/>
                <w:sz w:val="24"/>
                <w:szCs w:val="24"/>
              </w:rPr>
              <w:t>资格要求</w:t>
            </w:r>
          </w:p>
        </w:tc>
        <w:tc>
          <w:tcPr>
            <w:tcW w:w="3982" w:type="pct"/>
            <w:noWrap w:val="0"/>
            <w:vAlign w:val="center"/>
          </w:tcPr>
          <w:p w14:paraId="3113764D">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1.符合《中华人民共和国政府采购法》第二十二条规定；</w:t>
            </w:r>
          </w:p>
          <w:p w14:paraId="105BBEFD">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2.本项目不接受联合体投标；</w:t>
            </w:r>
          </w:p>
        </w:tc>
      </w:tr>
      <w:tr w14:paraId="1282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18" w:type="pct"/>
            <w:noWrap w:val="0"/>
            <w:vAlign w:val="center"/>
          </w:tcPr>
          <w:p w14:paraId="329BE94D">
            <w:pPr>
              <w:jc w:val="center"/>
              <w:rPr>
                <w:rFonts w:hint="eastAsia" w:ascii="宋体" w:hAnsi="宋体" w:eastAsia="宋体" w:cs="宋体"/>
                <w:b/>
                <w:sz w:val="24"/>
                <w:szCs w:val="24"/>
              </w:rPr>
            </w:pPr>
            <w:r>
              <w:rPr>
                <w:rFonts w:hint="eastAsia" w:ascii="宋体" w:hAnsi="宋体" w:eastAsia="宋体" w:cs="宋体"/>
                <w:b/>
                <w:sz w:val="24"/>
                <w:szCs w:val="24"/>
              </w:rPr>
              <w:t>付款方式及税率</w:t>
            </w:r>
          </w:p>
        </w:tc>
        <w:tc>
          <w:tcPr>
            <w:tcW w:w="3982" w:type="pct"/>
            <w:noWrap w:val="0"/>
            <w:vAlign w:val="center"/>
          </w:tcPr>
          <w:p w14:paraId="50A6F90B">
            <w:pPr>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系统设备托管服务：每半年完成现场服务后，按照合同条款规定予以支付</w:t>
            </w:r>
            <w:r>
              <w:rPr>
                <w:rFonts w:hint="eastAsia" w:ascii="宋体" w:hAnsi="宋体" w:eastAsia="宋体" w:cs="宋体"/>
                <w:b w:val="0"/>
                <w:bCs/>
                <w:color w:val="000000"/>
                <w:sz w:val="24"/>
                <w:szCs w:val="24"/>
                <w:lang w:val="en-US" w:eastAsia="zh-CN"/>
              </w:rPr>
              <w:t>运营费用</w:t>
            </w:r>
            <w:r>
              <w:rPr>
                <w:rFonts w:hint="eastAsia" w:ascii="宋体" w:hAnsi="宋体" w:eastAsia="宋体" w:cs="宋体"/>
                <w:b w:val="0"/>
                <w:bCs/>
                <w:color w:val="000000"/>
                <w:sz w:val="24"/>
                <w:szCs w:val="24"/>
              </w:rPr>
              <w:t>，共支付2次，每次付款50%。税率：开具税务部门认可的、合法有效的技术服务发票</w:t>
            </w:r>
            <w:r>
              <w:rPr>
                <w:rFonts w:hint="eastAsia" w:ascii="宋体" w:hAnsi="宋体" w:eastAsia="宋体" w:cs="宋体"/>
                <w:b w:val="0"/>
                <w:bCs/>
                <w:color w:val="000000"/>
                <w:sz w:val="24"/>
                <w:szCs w:val="24"/>
                <w:lang w:eastAsia="zh-CN"/>
              </w:rPr>
              <w:t>。</w:t>
            </w:r>
          </w:p>
        </w:tc>
      </w:tr>
      <w:tr w14:paraId="4E2B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8" w:type="pct"/>
            <w:noWrap w:val="0"/>
            <w:vAlign w:val="center"/>
          </w:tcPr>
          <w:p w14:paraId="2AA8579F">
            <w:pPr>
              <w:jc w:val="center"/>
              <w:rPr>
                <w:rFonts w:hint="eastAsia" w:ascii="宋体" w:hAnsi="宋体" w:eastAsia="宋体" w:cs="宋体"/>
                <w:b/>
                <w:sz w:val="24"/>
                <w:szCs w:val="24"/>
              </w:rPr>
            </w:pPr>
            <w:r>
              <w:rPr>
                <w:rFonts w:hint="eastAsia" w:ascii="宋体" w:hAnsi="宋体" w:eastAsia="宋体" w:cs="宋体"/>
                <w:b/>
                <w:sz w:val="24"/>
                <w:szCs w:val="24"/>
              </w:rPr>
              <w:t>服务地点</w:t>
            </w:r>
          </w:p>
        </w:tc>
        <w:tc>
          <w:tcPr>
            <w:tcW w:w="3982" w:type="pct"/>
            <w:noWrap w:val="0"/>
            <w:vAlign w:val="center"/>
          </w:tcPr>
          <w:p w14:paraId="737AB22B">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合肥市</w:t>
            </w:r>
            <w:r>
              <w:rPr>
                <w:rFonts w:hint="eastAsia" w:ascii="宋体" w:hAnsi="宋体" w:eastAsia="宋体" w:cs="宋体"/>
                <w:b w:val="0"/>
                <w:bCs/>
                <w:color w:val="000000"/>
                <w:sz w:val="24"/>
                <w:szCs w:val="24"/>
                <w:lang w:val="en-US" w:eastAsia="zh-CN"/>
              </w:rPr>
              <w:t>经开北区</w:t>
            </w:r>
            <w:r>
              <w:rPr>
                <w:rFonts w:hint="eastAsia" w:ascii="宋体" w:hAnsi="宋体" w:eastAsia="宋体" w:cs="宋体"/>
                <w:b w:val="0"/>
                <w:bCs/>
                <w:color w:val="000000"/>
                <w:sz w:val="24"/>
                <w:szCs w:val="24"/>
              </w:rPr>
              <w:t>高刘污水处理厂</w:t>
            </w:r>
          </w:p>
        </w:tc>
      </w:tr>
      <w:tr w14:paraId="49D2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18" w:type="pct"/>
            <w:noWrap w:val="0"/>
            <w:vAlign w:val="center"/>
          </w:tcPr>
          <w:p w14:paraId="479742C1">
            <w:pPr>
              <w:jc w:val="center"/>
              <w:rPr>
                <w:rFonts w:hint="eastAsia" w:ascii="宋体" w:hAnsi="宋体" w:eastAsia="宋体" w:cs="宋体"/>
                <w:b/>
                <w:sz w:val="24"/>
                <w:szCs w:val="24"/>
              </w:rPr>
            </w:pPr>
            <w:r>
              <w:rPr>
                <w:rFonts w:hint="eastAsia" w:ascii="宋体" w:hAnsi="宋体" w:eastAsia="宋体" w:cs="宋体"/>
                <w:b/>
                <w:sz w:val="24"/>
                <w:szCs w:val="24"/>
              </w:rPr>
              <w:t>服务期限、工期</w:t>
            </w:r>
          </w:p>
        </w:tc>
        <w:tc>
          <w:tcPr>
            <w:tcW w:w="3982" w:type="pct"/>
            <w:noWrap w:val="0"/>
            <w:vAlign w:val="center"/>
          </w:tcPr>
          <w:p w14:paraId="2FF93F43">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暂定1年，合同到期后，双方无异议，延续签订</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最多续签两次</w:t>
            </w:r>
            <w:r>
              <w:rPr>
                <w:rFonts w:hint="eastAsia" w:ascii="宋体" w:hAnsi="宋体" w:eastAsia="宋体" w:cs="宋体"/>
                <w:b w:val="0"/>
                <w:bCs/>
                <w:color w:val="000000"/>
                <w:sz w:val="24"/>
                <w:szCs w:val="24"/>
              </w:rPr>
              <w:t>。</w:t>
            </w:r>
          </w:p>
        </w:tc>
      </w:tr>
      <w:tr w14:paraId="7BFE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018" w:type="pct"/>
            <w:noWrap w:val="0"/>
            <w:vAlign w:val="center"/>
          </w:tcPr>
          <w:p w14:paraId="4AD96106">
            <w:pPr>
              <w:jc w:val="center"/>
              <w:rPr>
                <w:rFonts w:hint="eastAsia" w:ascii="宋体" w:hAnsi="宋体" w:eastAsia="宋体" w:cs="宋体"/>
                <w:b/>
                <w:sz w:val="24"/>
                <w:szCs w:val="24"/>
              </w:rPr>
            </w:pPr>
            <w:r>
              <w:rPr>
                <w:rFonts w:hint="eastAsia" w:ascii="宋体" w:hAnsi="宋体" w:eastAsia="宋体" w:cs="宋体"/>
                <w:b/>
                <w:sz w:val="24"/>
                <w:szCs w:val="24"/>
              </w:rPr>
              <w:t>拟采用的评标办法</w:t>
            </w:r>
          </w:p>
        </w:tc>
        <w:tc>
          <w:tcPr>
            <w:tcW w:w="3982" w:type="pct"/>
            <w:noWrap w:val="0"/>
            <w:vAlign w:val="center"/>
          </w:tcPr>
          <w:p w14:paraId="12EB378A">
            <w:pPr>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综合评分法（分值设置：技术分 70分，价格分 30分）</w:t>
            </w:r>
          </w:p>
        </w:tc>
      </w:tr>
      <w:tr w14:paraId="51BA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1018" w:type="pct"/>
            <w:noWrap w:val="0"/>
            <w:vAlign w:val="center"/>
          </w:tcPr>
          <w:p w14:paraId="25B360A0">
            <w:pPr>
              <w:jc w:val="center"/>
              <w:rPr>
                <w:rFonts w:hint="eastAsia" w:ascii="宋体" w:hAnsi="宋体" w:eastAsia="宋体" w:cs="宋体"/>
                <w:b/>
                <w:sz w:val="24"/>
                <w:szCs w:val="24"/>
              </w:rPr>
            </w:pPr>
            <w:r>
              <w:rPr>
                <w:rFonts w:hint="eastAsia" w:ascii="宋体" w:hAnsi="宋体" w:eastAsia="宋体" w:cs="宋体"/>
                <w:b/>
                <w:bCs/>
                <w:sz w:val="24"/>
                <w:szCs w:val="24"/>
              </w:rPr>
              <w:t>采购需求</w:t>
            </w:r>
          </w:p>
        </w:tc>
        <w:tc>
          <w:tcPr>
            <w:tcW w:w="3982" w:type="pct"/>
            <w:noWrap w:val="0"/>
            <w:vAlign w:val="center"/>
          </w:tcPr>
          <w:p w14:paraId="05B5522D">
            <w:pPr>
              <w:autoSpaceDE w:val="0"/>
              <w:autoSpaceDN w:val="0"/>
              <w:adjustRightInd w:val="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详见附件采购需求格式及填写要求。</w:t>
            </w:r>
          </w:p>
          <w:p w14:paraId="21C2A0D0">
            <w:pPr>
              <w:autoSpaceDE w:val="0"/>
              <w:autoSpaceDN w:val="0"/>
              <w:adjustRightInd w:val="0"/>
              <w:jc w:val="left"/>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注：为提高政府采购工作效率，请采购单位提供需求时按照采购需求格式要求提供。</w:t>
            </w:r>
          </w:p>
        </w:tc>
      </w:tr>
      <w:bookmarkEnd w:id="9"/>
    </w:tbl>
    <w:p w14:paraId="6BD6F94A">
      <w:pPr>
        <w:spacing w:line="220" w:lineRule="atLeast"/>
        <w:ind w:firstLine="560" w:firstLineChars="200"/>
        <w:rPr>
          <w:rFonts w:hint="eastAsia" w:ascii="宋体" w:hAnsi="宋体" w:eastAsia="宋体" w:cs="宋体"/>
          <w:sz w:val="28"/>
          <w:szCs w:val="28"/>
        </w:rPr>
      </w:pPr>
      <w:r>
        <w:rPr>
          <w:rFonts w:hint="eastAsia" w:ascii="宋体" w:hAnsi="宋体" w:eastAsia="宋体" w:cs="宋体"/>
          <w:sz w:val="28"/>
          <w:szCs w:val="28"/>
        </w:rPr>
        <w:t>二、服务要求</w:t>
      </w:r>
    </w:p>
    <w:p w14:paraId="0C717980">
      <w:pPr>
        <w:spacing w:line="220" w:lineRule="atLeas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1、服务方须配备专业技术人员、专用车辆及齐全的专业工具，具有完全符合开展本项目要求的运营服务工作能力和技能知识</w:t>
      </w:r>
      <w:r>
        <w:rPr>
          <w:rFonts w:hint="eastAsia" w:ascii="宋体" w:hAnsi="宋体" w:eastAsia="宋体" w:cs="宋体"/>
          <w:sz w:val="28"/>
          <w:szCs w:val="28"/>
          <w:lang w:eastAsia="zh-CN"/>
        </w:rPr>
        <w:t>。</w:t>
      </w:r>
    </w:p>
    <w:p w14:paraId="1A5AB726">
      <w:pPr>
        <w:spacing w:line="220" w:lineRule="atLeast"/>
        <w:ind w:firstLine="560" w:firstLineChars="200"/>
        <w:rPr>
          <w:rFonts w:hint="eastAsia" w:ascii="宋体" w:hAnsi="宋体" w:eastAsia="宋体" w:cs="宋体"/>
          <w:sz w:val="28"/>
          <w:szCs w:val="28"/>
        </w:rPr>
      </w:pPr>
      <w:r>
        <w:rPr>
          <w:rFonts w:hint="eastAsia" w:ascii="宋体" w:hAnsi="宋体" w:eastAsia="宋体" w:cs="宋体"/>
          <w:sz w:val="28"/>
          <w:szCs w:val="28"/>
        </w:rPr>
        <w:t>2、专业技术人员持证上岗，定岗定人，非特殊原因不得随意更换服务本</w:t>
      </w:r>
      <w:r>
        <w:rPr>
          <w:rFonts w:hint="eastAsia" w:ascii="宋体" w:hAnsi="宋体" w:eastAsia="宋体" w:cs="宋体"/>
          <w:sz w:val="28"/>
          <w:szCs w:val="28"/>
          <w:lang w:val="en-US" w:eastAsia="zh-CN"/>
        </w:rPr>
        <w:t>厂</w:t>
      </w:r>
      <w:r>
        <w:rPr>
          <w:rFonts w:hint="eastAsia" w:ascii="宋体" w:hAnsi="宋体" w:eastAsia="宋体" w:cs="宋体"/>
          <w:sz w:val="28"/>
          <w:szCs w:val="28"/>
        </w:rPr>
        <w:t>的服务人员。</w:t>
      </w:r>
    </w:p>
    <w:p w14:paraId="3263B612">
      <w:pPr>
        <w:spacing w:line="220" w:lineRule="atLeast"/>
        <w:ind w:firstLine="560" w:firstLineChars="200"/>
        <w:rPr>
          <w:rFonts w:hint="eastAsia" w:ascii="宋体" w:hAnsi="宋体" w:eastAsia="宋体" w:cs="宋体"/>
          <w:sz w:val="28"/>
          <w:szCs w:val="28"/>
        </w:rPr>
      </w:pPr>
      <w:r>
        <w:rPr>
          <w:rFonts w:hint="eastAsia" w:ascii="宋体" w:hAnsi="宋体" w:eastAsia="宋体" w:cs="宋体"/>
          <w:sz w:val="28"/>
          <w:szCs w:val="28"/>
        </w:rPr>
        <w:t>3、在线设</w:t>
      </w:r>
      <w:r>
        <w:rPr>
          <w:rFonts w:hint="eastAsia" w:ascii="宋体" w:hAnsi="宋体" w:eastAsia="宋体" w:cs="宋体"/>
          <w:color w:val="000000"/>
          <w:sz w:val="28"/>
          <w:szCs w:val="28"/>
        </w:rPr>
        <w:t>备出现故障，必须在1小时内到达现场进行维修，如不属于零部件损坏，要在4小时内无偿排除故障；如属于零部件和主板机等大件损坏，要在12小时内修复并确保正常运行，大件损坏需维修更换应及时上报环保主管部门，提出合理</w:t>
      </w:r>
      <w:r>
        <w:rPr>
          <w:rFonts w:hint="eastAsia" w:ascii="宋体" w:hAnsi="宋体" w:eastAsia="宋体" w:cs="宋体"/>
          <w:color w:val="000000"/>
          <w:sz w:val="28"/>
          <w:szCs w:val="28"/>
          <w:lang w:val="en-US" w:eastAsia="zh-CN"/>
        </w:rPr>
        <w:t>解决方案和</w:t>
      </w:r>
      <w:r>
        <w:rPr>
          <w:rFonts w:hint="eastAsia" w:ascii="宋体" w:hAnsi="宋体" w:eastAsia="宋体" w:cs="宋体"/>
          <w:color w:val="000000"/>
          <w:sz w:val="28"/>
          <w:szCs w:val="28"/>
        </w:rPr>
        <w:t>预算，</w:t>
      </w:r>
      <w:r>
        <w:rPr>
          <w:rFonts w:hint="eastAsia" w:ascii="宋体" w:hAnsi="宋体" w:eastAsia="宋体" w:cs="宋体"/>
          <w:color w:val="000000"/>
          <w:sz w:val="28"/>
          <w:szCs w:val="28"/>
          <w:lang w:val="en-US" w:eastAsia="zh-CN"/>
        </w:rPr>
        <w:t>必要时提供备用机，且无偿使用。</w:t>
      </w:r>
    </w:p>
    <w:p w14:paraId="3A51FF77">
      <w:pPr>
        <w:spacing w:line="220" w:lineRule="atLeast"/>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color w:val="000000"/>
          <w:sz w:val="28"/>
          <w:szCs w:val="28"/>
        </w:rPr>
        <w:t>在线设备每周至少校零、校标1次；</w:t>
      </w:r>
      <w:r>
        <w:rPr>
          <w:rFonts w:hint="eastAsia" w:ascii="宋体" w:hAnsi="宋体" w:eastAsia="宋体" w:cs="宋体"/>
          <w:sz w:val="28"/>
          <w:szCs w:val="28"/>
        </w:rPr>
        <w:t>在线监测采样频次情况，根据项目环境主管部门确定同意的频次为准，每周对现场组织巡查巡检，记录和上报存在问题。（有巡查巡检维护单，上报问题应以公司函的形式</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不包含应急巡检。</w:t>
      </w:r>
      <w:r>
        <w:rPr>
          <w:rFonts w:hint="eastAsia" w:ascii="宋体" w:hAnsi="宋体" w:eastAsia="宋体" w:cs="宋体"/>
          <w:sz w:val="28"/>
          <w:szCs w:val="28"/>
        </w:rPr>
        <w:t>）</w:t>
      </w:r>
    </w:p>
    <w:p w14:paraId="061FAAF6">
      <w:pPr>
        <w:spacing w:line="220" w:lineRule="atLeas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5、无条件响应甲方指派和环保主管单位安排的技术培训、数据填报、台账编写、相关环保检查迎检、污水站自查巡查整改等实际行政工作。</w:t>
      </w:r>
    </w:p>
    <w:p w14:paraId="319B347F">
      <w:pPr>
        <w:spacing w:line="220" w:lineRule="atLeast"/>
        <w:ind w:firstLine="560" w:firstLineChars="200"/>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val="en-US" w:eastAsia="zh-CN"/>
        </w:rPr>
        <w:t>无条件落实</w:t>
      </w:r>
      <w:r>
        <w:rPr>
          <w:rFonts w:hint="eastAsia" w:ascii="宋体" w:hAnsi="宋体" w:eastAsia="宋体" w:cs="宋体"/>
          <w:sz w:val="28"/>
          <w:szCs w:val="28"/>
        </w:rPr>
        <w:t>排污许可证</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皖企通等平台管理</w:t>
      </w:r>
      <w:r>
        <w:rPr>
          <w:rFonts w:hint="eastAsia" w:ascii="宋体" w:hAnsi="宋体" w:eastAsia="宋体" w:cs="宋体"/>
          <w:sz w:val="28"/>
          <w:szCs w:val="28"/>
        </w:rPr>
        <w:t>要求，</w:t>
      </w:r>
      <w:r>
        <w:rPr>
          <w:rFonts w:hint="eastAsia" w:ascii="宋体" w:hAnsi="宋体" w:eastAsia="宋体" w:cs="宋体"/>
          <w:sz w:val="28"/>
          <w:szCs w:val="28"/>
          <w:lang w:val="en-US" w:eastAsia="zh-CN"/>
        </w:rPr>
        <w:t>完成运维单位所需完成的所有工作；无条件响应配合甲方对各监管平台的管理</w:t>
      </w:r>
      <w:r>
        <w:rPr>
          <w:rFonts w:hint="eastAsia" w:ascii="宋体" w:hAnsi="宋体" w:eastAsia="宋体" w:cs="宋体"/>
          <w:sz w:val="28"/>
          <w:szCs w:val="28"/>
        </w:rPr>
        <w:t>。</w:t>
      </w:r>
    </w:p>
    <w:p w14:paraId="33261402">
      <w:pPr>
        <w:pStyle w:val="2"/>
        <w:ind w:left="0" w:leftChars="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7、严格按照各级政府主管部门要求，以及相关行业规范，落实在线监测系统维护工作。</w:t>
      </w:r>
    </w:p>
    <w:p w14:paraId="7FC0EADB">
      <w:pPr>
        <w:ind w:firstLine="560" w:firstLineChars="200"/>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8、积极主动与厂区第三方检测单位沟通，配合做好在线设备月度比对工作。</w:t>
      </w:r>
    </w:p>
    <w:p w14:paraId="4162D1AA">
      <w:pPr>
        <w:spacing w:line="220" w:lineRule="atLeast"/>
        <w:ind w:firstLine="560" w:firstLineChars="20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三、</w:t>
      </w:r>
      <w:r>
        <w:rPr>
          <w:rFonts w:hint="eastAsia" w:ascii="宋体" w:hAnsi="宋体" w:cs="宋体"/>
          <w:sz w:val="28"/>
          <w:szCs w:val="28"/>
        </w:rPr>
        <w:t>项目清单</w:t>
      </w:r>
    </w:p>
    <w:tbl>
      <w:tblPr>
        <w:tblStyle w:val="19"/>
        <w:tblpPr w:leftFromText="180" w:rightFromText="180" w:vertAnchor="text" w:horzAnchor="page" w:tblpX="1897" w:tblpY="601"/>
        <w:tblOverlap w:val="never"/>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767"/>
        <w:gridCol w:w="1317"/>
        <w:gridCol w:w="1050"/>
        <w:gridCol w:w="2667"/>
      </w:tblGrid>
      <w:tr w14:paraId="0338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8505" w:type="dxa"/>
            <w:gridSpan w:val="5"/>
            <w:noWrap w:val="0"/>
            <w:vAlign w:val="center"/>
          </w:tcPr>
          <w:p w14:paraId="5431AA73">
            <w:pPr>
              <w:jc w:val="center"/>
              <w:rPr>
                <w:rFonts w:hint="default" w:eastAsia="宋体"/>
                <w:lang w:val="en-US" w:eastAsia="zh-CN"/>
              </w:rPr>
            </w:pPr>
            <w:r>
              <w:rPr>
                <w:rFonts w:hint="eastAsia" w:ascii="宋体" w:hAnsi="宋体" w:cs="宋体"/>
                <w:color w:val="000000"/>
                <w:sz w:val="28"/>
                <w:szCs w:val="28"/>
              </w:rPr>
              <w:t>合肥市高刘污水处理厂</w:t>
            </w:r>
            <w:r>
              <w:rPr>
                <w:rFonts w:hint="eastAsia" w:ascii="宋体" w:hAnsi="宋体" w:cs="宋体"/>
                <w:color w:val="000000"/>
                <w:sz w:val="28"/>
                <w:szCs w:val="28"/>
                <w:lang w:val="en-US" w:eastAsia="zh-CN"/>
              </w:rPr>
              <w:t>进</w:t>
            </w:r>
            <w:r>
              <w:rPr>
                <w:rFonts w:hint="eastAsia" w:ascii="宋体" w:hAnsi="宋体" w:cs="宋体"/>
                <w:color w:val="000000"/>
                <w:sz w:val="28"/>
                <w:szCs w:val="28"/>
              </w:rPr>
              <w:t>水口在线监测系统设备运营服务部分</w:t>
            </w:r>
          </w:p>
        </w:tc>
      </w:tr>
      <w:tr w14:paraId="4647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4" w:type="dxa"/>
            <w:noWrap w:val="0"/>
            <w:vAlign w:val="center"/>
          </w:tcPr>
          <w:p w14:paraId="0412BD23">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序号</w:t>
            </w:r>
          </w:p>
        </w:tc>
        <w:tc>
          <w:tcPr>
            <w:tcW w:w="2767" w:type="dxa"/>
            <w:noWrap w:val="0"/>
            <w:vAlign w:val="center"/>
          </w:tcPr>
          <w:p w14:paraId="76DFD353">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在线设备名称和型号</w:t>
            </w:r>
          </w:p>
        </w:tc>
        <w:tc>
          <w:tcPr>
            <w:tcW w:w="1317" w:type="dxa"/>
            <w:noWrap w:val="0"/>
            <w:vAlign w:val="center"/>
          </w:tcPr>
          <w:p w14:paraId="2E74A5A2">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生产单位</w:t>
            </w:r>
          </w:p>
        </w:tc>
        <w:tc>
          <w:tcPr>
            <w:tcW w:w="1050" w:type="dxa"/>
            <w:noWrap w:val="0"/>
            <w:vAlign w:val="center"/>
          </w:tcPr>
          <w:p w14:paraId="6D5931EC">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数量</w:t>
            </w:r>
          </w:p>
        </w:tc>
        <w:tc>
          <w:tcPr>
            <w:tcW w:w="2667" w:type="dxa"/>
            <w:noWrap w:val="0"/>
            <w:vAlign w:val="center"/>
          </w:tcPr>
          <w:p w14:paraId="0C0829A3">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备   注</w:t>
            </w:r>
          </w:p>
        </w:tc>
      </w:tr>
      <w:tr w14:paraId="72D7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04" w:type="dxa"/>
            <w:noWrap w:val="0"/>
            <w:vAlign w:val="center"/>
          </w:tcPr>
          <w:p w14:paraId="62FEDAC7">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w:t>
            </w:r>
          </w:p>
        </w:tc>
        <w:tc>
          <w:tcPr>
            <w:tcW w:w="2767" w:type="dxa"/>
            <w:noWrap w:val="0"/>
            <w:vAlign w:val="center"/>
          </w:tcPr>
          <w:p w14:paraId="15CF3A5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BS-2008型</w:t>
            </w:r>
            <w:r>
              <w:rPr>
                <w:rFonts w:hint="eastAsia" w:ascii="宋体" w:hAnsi="Times New Roman" w:eastAsia="宋体" w:cs="Times New Roman"/>
                <w:b w:val="0"/>
                <w:bCs/>
                <w:color w:val="000000"/>
                <w:sz w:val="24"/>
                <w:szCs w:val="24"/>
                <w:lang w:val="en-US" w:eastAsia="zh-CN"/>
              </w:rPr>
              <w:t>COD</w:t>
            </w:r>
            <w:r>
              <w:rPr>
                <w:rFonts w:hint="eastAsia" w:ascii="宋体" w:hAnsi="Times New Roman" w:eastAsia="宋体" w:cs="Times New Roman"/>
                <w:b w:val="0"/>
                <w:bCs/>
                <w:color w:val="000000"/>
                <w:sz w:val="24"/>
                <w:szCs w:val="24"/>
              </w:rPr>
              <w:t>在线监测设备</w:t>
            </w:r>
          </w:p>
        </w:tc>
        <w:tc>
          <w:tcPr>
            <w:tcW w:w="1317" w:type="dxa"/>
            <w:noWrap w:val="0"/>
            <w:vAlign w:val="center"/>
          </w:tcPr>
          <w:p w14:paraId="4E98AC97">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1050" w:type="dxa"/>
            <w:noWrap w:val="0"/>
            <w:vAlign w:val="center"/>
          </w:tcPr>
          <w:p w14:paraId="764B895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67" w:type="dxa"/>
            <w:noWrap w:val="0"/>
            <w:vAlign w:val="top"/>
          </w:tcPr>
          <w:p w14:paraId="61A33EB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包含仪器所有的易损件、管路、电路、阀等。</w:t>
            </w:r>
          </w:p>
        </w:tc>
      </w:tr>
      <w:tr w14:paraId="4509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04" w:type="dxa"/>
            <w:noWrap w:val="0"/>
            <w:vAlign w:val="center"/>
          </w:tcPr>
          <w:p w14:paraId="7EBC0116">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2</w:t>
            </w:r>
          </w:p>
        </w:tc>
        <w:tc>
          <w:tcPr>
            <w:tcW w:w="2767" w:type="dxa"/>
            <w:noWrap w:val="0"/>
            <w:vAlign w:val="center"/>
          </w:tcPr>
          <w:p w14:paraId="1236B6A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BS-NH3-N</w:t>
            </w:r>
            <w:r>
              <w:rPr>
                <w:rFonts w:hint="eastAsia" w:ascii="宋体" w:hAnsi="Times New Roman" w:eastAsia="宋体" w:cs="Times New Roman"/>
                <w:b w:val="0"/>
                <w:bCs/>
                <w:color w:val="000000"/>
                <w:sz w:val="24"/>
                <w:szCs w:val="24"/>
              </w:rPr>
              <w:t>型氨氮在线监测设备</w:t>
            </w:r>
          </w:p>
        </w:tc>
        <w:tc>
          <w:tcPr>
            <w:tcW w:w="1317" w:type="dxa"/>
            <w:noWrap w:val="0"/>
            <w:vAlign w:val="center"/>
          </w:tcPr>
          <w:p w14:paraId="634C212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1050" w:type="dxa"/>
            <w:noWrap w:val="0"/>
            <w:vAlign w:val="center"/>
          </w:tcPr>
          <w:p w14:paraId="0C539A17">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67" w:type="dxa"/>
            <w:noWrap w:val="0"/>
            <w:vAlign w:val="top"/>
          </w:tcPr>
          <w:p w14:paraId="5250C4BA">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包含仪器所有的易损件、管路、电路、阀等。</w:t>
            </w:r>
          </w:p>
        </w:tc>
      </w:tr>
      <w:tr w14:paraId="71D9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04" w:type="dxa"/>
            <w:noWrap w:val="0"/>
            <w:vAlign w:val="center"/>
          </w:tcPr>
          <w:p w14:paraId="49232665">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3</w:t>
            </w:r>
          </w:p>
        </w:tc>
        <w:tc>
          <w:tcPr>
            <w:tcW w:w="2767" w:type="dxa"/>
            <w:noWrap w:val="0"/>
            <w:vAlign w:val="center"/>
          </w:tcPr>
          <w:p w14:paraId="5BCFD846">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WHJJ无线环境数据采集记录传输仪</w:t>
            </w:r>
          </w:p>
        </w:tc>
        <w:tc>
          <w:tcPr>
            <w:tcW w:w="1317" w:type="dxa"/>
            <w:noWrap w:val="0"/>
            <w:vAlign w:val="center"/>
          </w:tcPr>
          <w:p w14:paraId="2DDC0766">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1050" w:type="dxa"/>
            <w:noWrap w:val="0"/>
            <w:vAlign w:val="center"/>
          </w:tcPr>
          <w:p w14:paraId="3FD222B7">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67" w:type="dxa"/>
            <w:noWrap w:val="0"/>
            <w:vAlign w:val="top"/>
          </w:tcPr>
          <w:p w14:paraId="2409A207">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包含仪器所有的易损件、管路、电路、阀、探头等。</w:t>
            </w:r>
          </w:p>
        </w:tc>
      </w:tr>
      <w:tr w14:paraId="11FF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704" w:type="dxa"/>
            <w:noWrap w:val="0"/>
            <w:vAlign w:val="center"/>
          </w:tcPr>
          <w:p w14:paraId="76F7AEEB">
            <w:pPr>
              <w:jc w:val="center"/>
              <w:rPr>
                <w:rFonts w:hint="eastAsia"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4</w:t>
            </w:r>
          </w:p>
        </w:tc>
        <w:tc>
          <w:tcPr>
            <w:tcW w:w="2767" w:type="dxa"/>
            <w:noWrap w:val="0"/>
            <w:vAlign w:val="center"/>
          </w:tcPr>
          <w:p w14:paraId="4D89545E">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进口取水样管线</w:t>
            </w:r>
          </w:p>
        </w:tc>
        <w:tc>
          <w:tcPr>
            <w:tcW w:w="1317" w:type="dxa"/>
            <w:noWrap w:val="0"/>
            <w:vAlign w:val="center"/>
          </w:tcPr>
          <w:p w14:paraId="1B04BD4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5A938212">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1套/年</w:t>
            </w:r>
          </w:p>
        </w:tc>
        <w:tc>
          <w:tcPr>
            <w:tcW w:w="2667" w:type="dxa"/>
            <w:noWrap w:val="0"/>
            <w:vAlign w:val="top"/>
          </w:tcPr>
          <w:p w14:paraId="16B11EDC">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w:t>
            </w:r>
            <w:r>
              <w:rPr>
                <w:rFonts w:hint="eastAsia" w:ascii="宋体" w:hAnsi="Times New Roman" w:eastAsia="宋体" w:cs="Times New Roman"/>
                <w:b w:val="0"/>
                <w:bCs/>
                <w:color w:val="000000"/>
                <w:sz w:val="24"/>
                <w:szCs w:val="24"/>
                <w:lang w:val="en-US" w:eastAsia="zh-CN"/>
              </w:rPr>
              <w:t>各</w:t>
            </w:r>
            <w:r>
              <w:rPr>
                <w:rFonts w:hint="eastAsia" w:ascii="宋体" w:hAnsi="Times New Roman" w:eastAsia="宋体" w:cs="Times New Roman"/>
                <w:b w:val="0"/>
                <w:bCs/>
                <w:color w:val="000000"/>
                <w:sz w:val="24"/>
                <w:szCs w:val="24"/>
              </w:rPr>
              <w:t>易损件、管路、电路、阀、</w:t>
            </w:r>
            <w:r>
              <w:rPr>
                <w:rFonts w:hint="eastAsia" w:ascii="宋体" w:hAnsi="Times New Roman" w:eastAsia="宋体" w:cs="Times New Roman"/>
                <w:b w:val="0"/>
                <w:bCs/>
                <w:color w:val="000000"/>
                <w:sz w:val="24"/>
                <w:szCs w:val="24"/>
                <w:lang w:val="en-US" w:eastAsia="zh-CN"/>
              </w:rPr>
              <w:t>水泵</w:t>
            </w:r>
            <w:r>
              <w:rPr>
                <w:rFonts w:hint="eastAsia" w:ascii="宋体" w:hAnsi="Times New Roman" w:eastAsia="宋体" w:cs="Times New Roman"/>
                <w:b w:val="0"/>
                <w:bCs/>
                <w:color w:val="000000"/>
                <w:sz w:val="24"/>
                <w:szCs w:val="24"/>
              </w:rPr>
              <w:t>等。</w:t>
            </w:r>
          </w:p>
        </w:tc>
      </w:tr>
      <w:tr w14:paraId="32D6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04" w:type="dxa"/>
            <w:noWrap w:val="0"/>
            <w:vAlign w:val="center"/>
          </w:tcPr>
          <w:p w14:paraId="46FB27A3">
            <w:pPr>
              <w:jc w:val="center"/>
              <w:rPr>
                <w:rFonts w:hint="eastAsia"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5</w:t>
            </w:r>
          </w:p>
        </w:tc>
        <w:tc>
          <w:tcPr>
            <w:tcW w:w="2767" w:type="dxa"/>
            <w:noWrap w:val="0"/>
            <w:vAlign w:val="center"/>
          </w:tcPr>
          <w:p w14:paraId="4FEF95B1">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COD在线监测设备使用试剂及标液</w:t>
            </w:r>
          </w:p>
        </w:tc>
        <w:tc>
          <w:tcPr>
            <w:tcW w:w="1317" w:type="dxa"/>
            <w:noWrap w:val="0"/>
            <w:vAlign w:val="center"/>
          </w:tcPr>
          <w:p w14:paraId="3A8E2E4C">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28A51FE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1套/1年</w:t>
            </w:r>
          </w:p>
        </w:tc>
        <w:tc>
          <w:tcPr>
            <w:tcW w:w="2667" w:type="dxa"/>
            <w:noWrap w:val="0"/>
            <w:vAlign w:val="top"/>
          </w:tcPr>
          <w:p w14:paraId="5C3F5B2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1小时测量一次，运行消耗整套试剂(预18-20套)</w:t>
            </w:r>
          </w:p>
        </w:tc>
      </w:tr>
      <w:tr w14:paraId="7764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04" w:type="dxa"/>
            <w:noWrap w:val="0"/>
            <w:vAlign w:val="center"/>
          </w:tcPr>
          <w:p w14:paraId="7F782692">
            <w:pPr>
              <w:jc w:val="center"/>
              <w:rPr>
                <w:rFonts w:hint="eastAsia"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6</w:t>
            </w:r>
          </w:p>
        </w:tc>
        <w:tc>
          <w:tcPr>
            <w:tcW w:w="2767" w:type="dxa"/>
            <w:noWrap w:val="0"/>
            <w:vAlign w:val="center"/>
          </w:tcPr>
          <w:p w14:paraId="5894F1B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氨氮在线监测设备使用试剂及标液</w:t>
            </w:r>
          </w:p>
        </w:tc>
        <w:tc>
          <w:tcPr>
            <w:tcW w:w="1317" w:type="dxa"/>
            <w:noWrap w:val="0"/>
            <w:vAlign w:val="center"/>
          </w:tcPr>
          <w:p w14:paraId="1E95BE9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58C1B27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1套/1年</w:t>
            </w:r>
          </w:p>
        </w:tc>
        <w:tc>
          <w:tcPr>
            <w:tcW w:w="2667" w:type="dxa"/>
            <w:noWrap w:val="0"/>
            <w:vAlign w:val="top"/>
          </w:tcPr>
          <w:p w14:paraId="751EDFB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1小时测量一次，运行消耗整套试剂(预18-20套)</w:t>
            </w:r>
          </w:p>
        </w:tc>
      </w:tr>
      <w:tr w14:paraId="752E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4" w:type="dxa"/>
            <w:noWrap w:val="0"/>
            <w:vAlign w:val="center"/>
          </w:tcPr>
          <w:p w14:paraId="1D99E9A3">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7</w:t>
            </w:r>
          </w:p>
        </w:tc>
        <w:tc>
          <w:tcPr>
            <w:tcW w:w="2767" w:type="dxa"/>
            <w:noWrap w:val="0"/>
            <w:vAlign w:val="center"/>
          </w:tcPr>
          <w:p w14:paraId="52B1053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运营服务人工、车辆、保险、技术培训费用</w:t>
            </w:r>
          </w:p>
        </w:tc>
        <w:tc>
          <w:tcPr>
            <w:tcW w:w="1317" w:type="dxa"/>
            <w:noWrap w:val="0"/>
            <w:vAlign w:val="center"/>
          </w:tcPr>
          <w:p w14:paraId="2F014822">
            <w:pPr>
              <w:rPr>
                <w:rFonts w:hint="eastAsia"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rPr>
              <w:t>-----</w:t>
            </w:r>
          </w:p>
        </w:tc>
        <w:tc>
          <w:tcPr>
            <w:tcW w:w="1050" w:type="dxa"/>
            <w:noWrap w:val="0"/>
            <w:vAlign w:val="center"/>
          </w:tcPr>
          <w:p w14:paraId="1272F6D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2套/1年</w:t>
            </w:r>
          </w:p>
        </w:tc>
        <w:tc>
          <w:tcPr>
            <w:tcW w:w="2667" w:type="dxa"/>
            <w:noWrap w:val="0"/>
            <w:vAlign w:val="top"/>
          </w:tcPr>
          <w:p w14:paraId="0C198E17">
            <w:pPr>
              <w:rPr>
                <w:rFonts w:hint="eastAsia" w:ascii="宋体" w:hAnsi="Times New Roman" w:eastAsia="宋体" w:cs="Times New Roman"/>
                <w:b w:val="0"/>
                <w:bCs/>
                <w:color w:val="000000"/>
                <w:sz w:val="24"/>
                <w:szCs w:val="24"/>
              </w:rPr>
            </w:pPr>
          </w:p>
        </w:tc>
      </w:tr>
      <w:tr w14:paraId="5769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04" w:type="dxa"/>
            <w:noWrap w:val="0"/>
            <w:vAlign w:val="center"/>
          </w:tcPr>
          <w:p w14:paraId="2393D5C4">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8</w:t>
            </w:r>
          </w:p>
        </w:tc>
        <w:tc>
          <w:tcPr>
            <w:tcW w:w="2767" w:type="dxa"/>
            <w:noWrap w:val="0"/>
            <w:vAlign w:val="center"/>
          </w:tcPr>
          <w:p w14:paraId="24A6A14C">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进口在线房管理</w:t>
            </w:r>
          </w:p>
        </w:tc>
        <w:tc>
          <w:tcPr>
            <w:tcW w:w="1317" w:type="dxa"/>
            <w:noWrap w:val="0"/>
            <w:vAlign w:val="center"/>
          </w:tcPr>
          <w:p w14:paraId="056A235E">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147796E4">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1间/年</w:t>
            </w:r>
          </w:p>
        </w:tc>
        <w:tc>
          <w:tcPr>
            <w:tcW w:w="2667" w:type="dxa"/>
            <w:noWrap w:val="0"/>
            <w:vAlign w:val="top"/>
          </w:tcPr>
          <w:p w14:paraId="19F1A98C">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保持房间干净、整齐，负责上墙制度换新、更新。</w:t>
            </w:r>
          </w:p>
        </w:tc>
      </w:tr>
      <w:tr w14:paraId="3968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704" w:type="dxa"/>
            <w:noWrap w:val="0"/>
            <w:vAlign w:val="center"/>
          </w:tcPr>
          <w:p w14:paraId="1C0FEEA1">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9</w:t>
            </w:r>
          </w:p>
        </w:tc>
        <w:tc>
          <w:tcPr>
            <w:tcW w:w="2767" w:type="dxa"/>
            <w:noWrap w:val="0"/>
            <w:vAlign w:val="center"/>
          </w:tcPr>
          <w:p w14:paraId="51B9D290">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在线废液</w:t>
            </w:r>
          </w:p>
        </w:tc>
        <w:tc>
          <w:tcPr>
            <w:tcW w:w="1317" w:type="dxa"/>
            <w:noWrap w:val="0"/>
            <w:vAlign w:val="center"/>
          </w:tcPr>
          <w:p w14:paraId="03090819">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78919863">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全年</w:t>
            </w:r>
          </w:p>
        </w:tc>
        <w:tc>
          <w:tcPr>
            <w:tcW w:w="2667" w:type="dxa"/>
            <w:noWrap w:val="0"/>
            <w:vAlign w:val="top"/>
          </w:tcPr>
          <w:p w14:paraId="451EAF79">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负责将产生的危废，安全转移至危废间，并记录。负责提供各消耗品，如废液瓶等。</w:t>
            </w:r>
          </w:p>
        </w:tc>
      </w:tr>
      <w:tr w14:paraId="519B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704" w:type="dxa"/>
            <w:noWrap w:val="0"/>
            <w:vAlign w:val="center"/>
          </w:tcPr>
          <w:p w14:paraId="2B121863">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10</w:t>
            </w:r>
          </w:p>
        </w:tc>
        <w:tc>
          <w:tcPr>
            <w:tcW w:w="2767" w:type="dxa"/>
            <w:noWrap w:val="0"/>
            <w:vAlign w:val="center"/>
          </w:tcPr>
          <w:p w14:paraId="1833E783">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无条件响应</w:t>
            </w:r>
            <w:r>
              <w:rPr>
                <w:rFonts w:hint="eastAsia" w:ascii="宋体" w:hAnsi="Times New Roman" w:eastAsia="宋体" w:cs="Times New Roman"/>
                <w:b w:val="0"/>
                <w:bCs/>
                <w:color w:val="000000"/>
                <w:sz w:val="24"/>
                <w:szCs w:val="24"/>
                <w:lang w:val="en-US" w:eastAsia="zh-CN"/>
              </w:rPr>
              <w:t>招标人</w:t>
            </w:r>
            <w:r>
              <w:rPr>
                <w:rFonts w:hint="eastAsia" w:ascii="宋体" w:hAnsi="Times New Roman" w:eastAsia="宋体" w:cs="Times New Roman"/>
                <w:b w:val="0"/>
                <w:bCs/>
                <w:color w:val="000000"/>
                <w:sz w:val="24"/>
                <w:szCs w:val="24"/>
              </w:rPr>
              <w:t>指派和环保主管单位安排的技术培训、数据填报、台账编写、相关环保检查迎检、污水站自查整改等实际行政工作。</w:t>
            </w:r>
          </w:p>
        </w:tc>
        <w:tc>
          <w:tcPr>
            <w:tcW w:w="1317" w:type="dxa"/>
            <w:noWrap w:val="0"/>
            <w:vAlign w:val="center"/>
          </w:tcPr>
          <w:p w14:paraId="4334C100">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1050" w:type="dxa"/>
            <w:noWrap w:val="0"/>
            <w:vAlign w:val="center"/>
          </w:tcPr>
          <w:p w14:paraId="598CD48A">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2667" w:type="dxa"/>
            <w:noWrap w:val="0"/>
            <w:vAlign w:val="top"/>
          </w:tcPr>
          <w:p w14:paraId="250B5226">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严格按照各级政府主管部门要求，以及相关行业规范，落实在线监测系统维护工作。</w:t>
            </w:r>
          </w:p>
        </w:tc>
      </w:tr>
    </w:tbl>
    <w:p w14:paraId="75817CA9">
      <w:pPr>
        <w:pStyle w:val="2"/>
        <w:ind w:left="0" w:leftChars="0" w:firstLine="0" w:firstLineChars="0"/>
        <w:rPr>
          <w:rFonts w:hint="default" w:eastAsia="楷体_GB2312"/>
          <w:lang w:val="en-US" w:eastAsia="zh-CN"/>
        </w:rPr>
      </w:pPr>
      <w:r>
        <w:rPr>
          <w:rFonts w:hint="eastAsia" w:ascii="宋体" w:hAnsi="宋体" w:cs="宋体"/>
          <w:sz w:val="28"/>
          <w:szCs w:val="28"/>
          <w:lang w:val="en-US" w:eastAsia="zh-CN"/>
        </w:rPr>
        <w:t>表1：</w:t>
      </w:r>
    </w:p>
    <w:p w14:paraId="2FB0D46B">
      <w:pPr>
        <w:pStyle w:val="2"/>
        <w:numPr>
          <w:ilvl w:val="0"/>
          <w:numId w:val="0"/>
        </w:numPr>
        <w:rPr>
          <w:rFonts w:hint="eastAsia"/>
          <w:lang w:val="en-US" w:eastAsia="zh-CN"/>
        </w:rPr>
      </w:pPr>
    </w:p>
    <w:p w14:paraId="3CBB7A17">
      <w:pPr>
        <w:pStyle w:val="2"/>
        <w:numPr>
          <w:ilvl w:val="0"/>
          <w:numId w:val="0"/>
        </w:numPr>
        <w:rPr>
          <w:rFonts w:hint="eastAsia"/>
          <w:lang w:val="en-US" w:eastAsia="zh-CN"/>
        </w:rPr>
      </w:pPr>
    </w:p>
    <w:p w14:paraId="70323280">
      <w:pPr>
        <w:pStyle w:val="2"/>
        <w:numPr>
          <w:ilvl w:val="0"/>
          <w:numId w:val="0"/>
        </w:numPr>
        <w:rPr>
          <w:rFonts w:hint="default" w:eastAsia="楷体_GB2312"/>
          <w:lang w:val="en-US" w:eastAsia="zh-CN"/>
        </w:rPr>
      </w:pPr>
      <w:r>
        <w:rPr>
          <w:rFonts w:hint="eastAsia"/>
          <w:lang w:val="en-US" w:eastAsia="zh-CN"/>
        </w:rPr>
        <w:t>表2：</w:t>
      </w:r>
    </w:p>
    <w:tbl>
      <w:tblPr>
        <w:tblStyle w:val="19"/>
        <w:tblW w:w="852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834"/>
        <w:gridCol w:w="1283"/>
        <w:gridCol w:w="967"/>
        <w:gridCol w:w="2637"/>
      </w:tblGrid>
      <w:tr w14:paraId="084E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525" w:type="dxa"/>
            <w:gridSpan w:val="5"/>
            <w:noWrap w:val="0"/>
            <w:vAlign w:val="center"/>
          </w:tcPr>
          <w:p w14:paraId="33458C74">
            <w:pPr>
              <w:jc w:val="center"/>
              <w:rPr>
                <w:rFonts w:hint="eastAsia"/>
                <w:sz w:val="28"/>
                <w:szCs w:val="28"/>
              </w:rPr>
            </w:pPr>
            <w:r>
              <w:rPr>
                <w:rFonts w:hint="eastAsia" w:ascii="宋体" w:hAnsi="宋体" w:cs="宋体"/>
                <w:color w:val="000000"/>
                <w:sz w:val="28"/>
                <w:szCs w:val="28"/>
              </w:rPr>
              <w:t>合肥市高刘污水处理厂</w:t>
            </w:r>
            <w:r>
              <w:rPr>
                <w:rFonts w:hint="eastAsia" w:ascii="宋体" w:hAnsi="宋体" w:cs="宋体"/>
                <w:color w:val="000000"/>
                <w:sz w:val="28"/>
                <w:szCs w:val="28"/>
                <w:lang w:val="en-US" w:eastAsia="zh-CN"/>
              </w:rPr>
              <w:t>排</w:t>
            </w:r>
            <w:r>
              <w:rPr>
                <w:rFonts w:hint="eastAsia" w:ascii="宋体" w:hAnsi="宋体" w:cs="宋体"/>
                <w:color w:val="000000"/>
                <w:sz w:val="28"/>
                <w:szCs w:val="28"/>
              </w:rPr>
              <w:t>水口在线监测系统设备运营服务部分</w:t>
            </w:r>
          </w:p>
        </w:tc>
      </w:tr>
      <w:tr w14:paraId="086E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04" w:type="dxa"/>
            <w:noWrap w:val="0"/>
            <w:vAlign w:val="center"/>
          </w:tcPr>
          <w:p w14:paraId="2536142D">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序号</w:t>
            </w:r>
          </w:p>
        </w:tc>
        <w:tc>
          <w:tcPr>
            <w:tcW w:w="2834" w:type="dxa"/>
            <w:noWrap w:val="0"/>
            <w:vAlign w:val="center"/>
          </w:tcPr>
          <w:p w14:paraId="1ADCEDF1">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在线设备名称和型号</w:t>
            </w:r>
          </w:p>
        </w:tc>
        <w:tc>
          <w:tcPr>
            <w:tcW w:w="1283" w:type="dxa"/>
            <w:noWrap w:val="0"/>
            <w:vAlign w:val="center"/>
          </w:tcPr>
          <w:p w14:paraId="1272BC2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生产单位</w:t>
            </w:r>
          </w:p>
        </w:tc>
        <w:tc>
          <w:tcPr>
            <w:tcW w:w="967" w:type="dxa"/>
            <w:noWrap w:val="0"/>
            <w:vAlign w:val="center"/>
          </w:tcPr>
          <w:p w14:paraId="5702B7AE">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数量</w:t>
            </w:r>
          </w:p>
        </w:tc>
        <w:tc>
          <w:tcPr>
            <w:tcW w:w="2637" w:type="dxa"/>
            <w:noWrap w:val="0"/>
            <w:vAlign w:val="center"/>
          </w:tcPr>
          <w:p w14:paraId="1E4B637A">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备   注</w:t>
            </w:r>
          </w:p>
        </w:tc>
      </w:tr>
      <w:tr w14:paraId="6C33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804" w:type="dxa"/>
            <w:noWrap w:val="0"/>
            <w:vAlign w:val="center"/>
          </w:tcPr>
          <w:p w14:paraId="16904849">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w:t>
            </w:r>
          </w:p>
        </w:tc>
        <w:tc>
          <w:tcPr>
            <w:tcW w:w="2834" w:type="dxa"/>
            <w:noWrap w:val="0"/>
            <w:vAlign w:val="center"/>
          </w:tcPr>
          <w:p w14:paraId="1F848E6A">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BS-2008型</w:t>
            </w:r>
            <w:r>
              <w:rPr>
                <w:rFonts w:hint="eastAsia" w:ascii="宋体" w:hAnsi="Times New Roman" w:eastAsia="宋体" w:cs="Times New Roman"/>
                <w:b w:val="0"/>
                <w:bCs/>
                <w:color w:val="000000"/>
                <w:sz w:val="24"/>
                <w:szCs w:val="24"/>
                <w:lang w:val="en-US" w:eastAsia="zh-CN"/>
              </w:rPr>
              <w:t>COD</w:t>
            </w:r>
            <w:r>
              <w:rPr>
                <w:rFonts w:hint="eastAsia" w:ascii="宋体" w:hAnsi="Times New Roman" w:eastAsia="宋体" w:cs="Times New Roman"/>
                <w:b w:val="0"/>
                <w:bCs/>
                <w:color w:val="000000"/>
                <w:sz w:val="24"/>
                <w:szCs w:val="24"/>
              </w:rPr>
              <w:t>在线监测设备</w:t>
            </w:r>
          </w:p>
        </w:tc>
        <w:tc>
          <w:tcPr>
            <w:tcW w:w="1283" w:type="dxa"/>
            <w:noWrap w:val="0"/>
            <w:vAlign w:val="center"/>
          </w:tcPr>
          <w:p w14:paraId="33DDE84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967" w:type="dxa"/>
            <w:noWrap w:val="0"/>
            <w:vAlign w:val="center"/>
          </w:tcPr>
          <w:p w14:paraId="5695E19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37" w:type="dxa"/>
            <w:noWrap w:val="0"/>
            <w:vAlign w:val="top"/>
          </w:tcPr>
          <w:p w14:paraId="65F803D0">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包含仪器所有的易损件、管路、电路、阀等。</w:t>
            </w:r>
          </w:p>
        </w:tc>
      </w:tr>
      <w:tr w14:paraId="7F7A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04" w:type="dxa"/>
            <w:noWrap w:val="0"/>
            <w:vAlign w:val="center"/>
          </w:tcPr>
          <w:p w14:paraId="721FA154">
            <w:pPr>
              <w:jc w:val="cente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2</w:t>
            </w:r>
          </w:p>
        </w:tc>
        <w:tc>
          <w:tcPr>
            <w:tcW w:w="2834" w:type="dxa"/>
            <w:noWrap w:val="0"/>
            <w:vAlign w:val="center"/>
          </w:tcPr>
          <w:p w14:paraId="74D2BA3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BS-NH3-N</w:t>
            </w:r>
            <w:r>
              <w:rPr>
                <w:rFonts w:hint="eastAsia" w:ascii="宋体" w:hAnsi="Times New Roman" w:eastAsia="宋体" w:cs="Times New Roman"/>
                <w:b w:val="0"/>
                <w:bCs/>
                <w:color w:val="000000"/>
                <w:sz w:val="24"/>
                <w:szCs w:val="24"/>
              </w:rPr>
              <w:t>型氨氮在线监测设备</w:t>
            </w:r>
          </w:p>
        </w:tc>
        <w:tc>
          <w:tcPr>
            <w:tcW w:w="1283" w:type="dxa"/>
            <w:noWrap w:val="0"/>
            <w:vAlign w:val="center"/>
          </w:tcPr>
          <w:p w14:paraId="221DAB5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967" w:type="dxa"/>
            <w:noWrap w:val="0"/>
            <w:vAlign w:val="center"/>
          </w:tcPr>
          <w:p w14:paraId="042BF289">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37" w:type="dxa"/>
            <w:noWrap w:val="0"/>
            <w:vAlign w:val="top"/>
          </w:tcPr>
          <w:p w14:paraId="7C7F3EEC">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包含仪器所有的易损件、管路、电路、阀等。</w:t>
            </w:r>
          </w:p>
        </w:tc>
      </w:tr>
      <w:tr w14:paraId="7833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04" w:type="dxa"/>
            <w:noWrap w:val="0"/>
            <w:vAlign w:val="center"/>
          </w:tcPr>
          <w:p w14:paraId="0834D08E">
            <w:pPr>
              <w:jc w:val="center"/>
              <w:rPr>
                <w:rFonts w:hint="eastAsia"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3</w:t>
            </w:r>
          </w:p>
        </w:tc>
        <w:tc>
          <w:tcPr>
            <w:tcW w:w="2834" w:type="dxa"/>
            <w:noWrap w:val="0"/>
            <w:vAlign w:val="center"/>
          </w:tcPr>
          <w:p w14:paraId="3FE1D556">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BS-</w:t>
            </w:r>
            <w:r>
              <w:rPr>
                <w:rFonts w:hint="eastAsia" w:ascii="宋体" w:hAnsi="Times New Roman" w:eastAsia="宋体" w:cs="Times New Roman"/>
                <w:b w:val="0"/>
                <w:bCs/>
                <w:color w:val="000000"/>
                <w:sz w:val="24"/>
                <w:szCs w:val="24"/>
                <w:lang w:val="en-US" w:eastAsia="zh-CN"/>
              </w:rPr>
              <w:t>TP</w:t>
            </w:r>
            <w:r>
              <w:rPr>
                <w:rFonts w:hint="eastAsia" w:ascii="宋体" w:hAnsi="Times New Roman" w:eastAsia="宋体" w:cs="Times New Roman"/>
                <w:b w:val="0"/>
                <w:bCs/>
                <w:color w:val="000000"/>
                <w:sz w:val="24"/>
                <w:szCs w:val="24"/>
              </w:rPr>
              <w:t>型在线监测设备</w:t>
            </w:r>
          </w:p>
        </w:tc>
        <w:tc>
          <w:tcPr>
            <w:tcW w:w="1283" w:type="dxa"/>
            <w:noWrap w:val="0"/>
            <w:vAlign w:val="center"/>
          </w:tcPr>
          <w:p w14:paraId="010C1612">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967" w:type="dxa"/>
            <w:noWrap w:val="0"/>
            <w:vAlign w:val="center"/>
          </w:tcPr>
          <w:p w14:paraId="59EF643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37" w:type="dxa"/>
            <w:noWrap w:val="0"/>
            <w:vAlign w:val="top"/>
          </w:tcPr>
          <w:p w14:paraId="759D53D2">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包含仪器所有的易损件、管路、电路、阀等。</w:t>
            </w:r>
          </w:p>
        </w:tc>
      </w:tr>
      <w:tr w14:paraId="3A3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04" w:type="dxa"/>
            <w:noWrap w:val="0"/>
            <w:vAlign w:val="center"/>
          </w:tcPr>
          <w:p w14:paraId="4DE79FE7">
            <w:pPr>
              <w:jc w:val="center"/>
              <w:rPr>
                <w:rFonts w:hint="eastAsia" w:ascii="宋体" w:hAnsi="Times New Roman" w:eastAsia="宋体" w:cs="Times New Roman"/>
                <w:b w:val="0"/>
                <w:bCs/>
                <w:color w:val="000000"/>
                <w:sz w:val="24"/>
                <w:szCs w:val="24"/>
                <w:lang w:eastAsia="zh-CN"/>
              </w:rPr>
            </w:pPr>
            <w:r>
              <w:rPr>
                <w:rFonts w:hint="eastAsia" w:ascii="宋体" w:hAnsi="Times New Roman" w:eastAsia="宋体" w:cs="Times New Roman"/>
                <w:b w:val="0"/>
                <w:bCs/>
                <w:color w:val="000000"/>
                <w:sz w:val="24"/>
                <w:szCs w:val="24"/>
                <w:lang w:val="en-US" w:eastAsia="zh-CN"/>
              </w:rPr>
              <w:t>4</w:t>
            </w:r>
          </w:p>
        </w:tc>
        <w:tc>
          <w:tcPr>
            <w:tcW w:w="2834" w:type="dxa"/>
            <w:noWrap w:val="0"/>
            <w:vAlign w:val="center"/>
          </w:tcPr>
          <w:p w14:paraId="47C68CF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WHJJ无线环境数据采集记录传输仪</w:t>
            </w:r>
          </w:p>
        </w:tc>
        <w:tc>
          <w:tcPr>
            <w:tcW w:w="1283" w:type="dxa"/>
            <w:noWrap w:val="0"/>
            <w:vAlign w:val="center"/>
          </w:tcPr>
          <w:p w14:paraId="4EEFE05A">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967" w:type="dxa"/>
            <w:noWrap w:val="0"/>
            <w:vAlign w:val="center"/>
          </w:tcPr>
          <w:p w14:paraId="6F735E4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37" w:type="dxa"/>
            <w:noWrap w:val="0"/>
            <w:vAlign w:val="top"/>
          </w:tcPr>
          <w:p w14:paraId="62E00C02">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包含仪器所有的易损件、管路、电路、阀、探头等。</w:t>
            </w:r>
          </w:p>
        </w:tc>
      </w:tr>
      <w:tr w14:paraId="3198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04" w:type="dxa"/>
            <w:noWrap w:val="0"/>
            <w:vAlign w:val="center"/>
          </w:tcPr>
          <w:p w14:paraId="4E5B49D7">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5</w:t>
            </w:r>
          </w:p>
        </w:tc>
        <w:tc>
          <w:tcPr>
            <w:tcW w:w="2834" w:type="dxa"/>
            <w:noWrap w:val="0"/>
            <w:vAlign w:val="center"/>
          </w:tcPr>
          <w:p w14:paraId="24FD6F8A">
            <w:pP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BS2000A自动取样器</w:t>
            </w:r>
          </w:p>
        </w:tc>
        <w:tc>
          <w:tcPr>
            <w:tcW w:w="1283" w:type="dxa"/>
            <w:noWrap w:val="0"/>
            <w:vAlign w:val="center"/>
          </w:tcPr>
          <w:p w14:paraId="415698D1">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安徽碧水</w:t>
            </w:r>
          </w:p>
        </w:tc>
        <w:tc>
          <w:tcPr>
            <w:tcW w:w="967" w:type="dxa"/>
            <w:noWrap w:val="0"/>
            <w:vAlign w:val="center"/>
          </w:tcPr>
          <w:p w14:paraId="5ACC2236">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1台/年</w:t>
            </w:r>
          </w:p>
        </w:tc>
        <w:tc>
          <w:tcPr>
            <w:tcW w:w="2637" w:type="dxa"/>
            <w:noWrap w:val="0"/>
            <w:vAlign w:val="top"/>
          </w:tcPr>
          <w:p w14:paraId="097AEE5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包含仪器所有的易损件、管路、电路、阀、探头等。</w:t>
            </w:r>
          </w:p>
        </w:tc>
      </w:tr>
      <w:tr w14:paraId="3825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804" w:type="dxa"/>
            <w:noWrap w:val="0"/>
            <w:vAlign w:val="center"/>
          </w:tcPr>
          <w:p w14:paraId="2751CC45">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6</w:t>
            </w:r>
          </w:p>
        </w:tc>
        <w:tc>
          <w:tcPr>
            <w:tcW w:w="2834" w:type="dxa"/>
            <w:noWrap w:val="0"/>
            <w:vAlign w:val="center"/>
          </w:tcPr>
          <w:p w14:paraId="0821089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COD在线监测设备使用试剂及标液</w:t>
            </w:r>
          </w:p>
        </w:tc>
        <w:tc>
          <w:tcPr>
            <w:tcW w:w="1283" w:type="dxa"/>
            <w:noWrap w:val="0"/>
            <w:vAlign w:val="center"/>
          </w:tcPr>
          <w:p w14:paraId="523323A5">
            <w:pPr>
              <w:rPr>
                <w:rFonts w:hint="eastAsia" w:ascii="宋体" w:hAnsi="Times New Roman" w:eastAsia="宋体" w:cs="Times New Roman"/>
                <w:b w:val="0"/>
                <w:bCs/>
                <w:color w:val="000000"/>
                <w:sz w:val="24"/>
                <w:szCs w:val="24"/>
              </w:rPr>
            </w:pPr>
            <w:r>
              <w:rPr>
                <w:rFonts w:hint="eastAsia" w:ascii="宋体" w:hAnsi="宋体" w:cs="宋体"/>
                <w:sz w:val="24"/>
                <w:szCs w:val="24"/>
              </w:rPr>
              <w:t>-----</w:t>
            </w:r>
          </w:p>
        </w:tc>
        <w:tc>
          <w:tcPr>
            <w:tcW w:w="967" w:type="dxa"/>
            <w:noWrap w:val="0"/>
            <w:vAlign w:val="center"/>
          </w:tcPr>
          <w:p w14:paraId="2B5AC6F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1套/1年</w:t>
            </w:r>
          </w:p>
        </w:tc>
        <w:tc>
          <w:tcPr>
            <w:tcW w:w="2637" w:type="dxa"/>
            <w:noWrap w:val="0"/>
            <w:vAlign w:val="top"/>
          </w:tcPr>
          <w:p w14:paraId="2C4F794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1小时测量一次，运行消耗整套试剂(预18-20套)</w:t>
            </w:r>
          </w:p>
        </w:tc>
      </w:tr>
      <w:tr w14:paraId="6189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804" w:type="dxa"/>
            <w:noWrap w:val="0"/>
            <w:vAlign w:val="center"/>
          </w:tcPr>
          <w:p w14:paraId="7D4720D2">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7</w:t>
            </w:r>
          </w:p>
        </w:tc>
        <w:tc>
          <w:tcPr>
            <w:tcW w:w="2834" w:type="dxa"/>
            <w:noWrap w:val="0"/>
            <w:vAlign w:val="center"/>
          </w:tcPr>
          <w:p w14:paraId="23D5C9A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氨氮在线监测设备使用试剂及标液</w:t>
            </w:r>
          </w:p>
        </w:tc>
        <w:tc>
          <w:tcPr>
            <w:tcW w:w="1283" w:type="dxa"/>
            <w:noWrap w:val="0"/>
            <w:vAlign w:val="center"/>
          </w:tcPr>
          <w:p w14:paraId="1F86075F">
            <w:pPr>
              <w:rPr>
                <w:rFonts w:hint="eastAsia" w:ascii="宋体" w:hAnsi="Times New Roman" w:eastAsia="宋体" w:cs="Times New Roman"/>
                <w:b w:val="0"/>
                <w:bCs/>
                <w:color w:val="000000"/>
                <w:sz w:val="24"/>
                <w:szCs w:val="24"/>
              </w:rPr>
            </w:pPr>
            <w:r>
              <w:rPr>
                <w:rFonts w:hint="eastAsia" w:ascii="宋体" w:hAnsi="宋体" w:cs="宋体"/>
                <w:sz w:val="24"/>
                <w:szCs w:val="24"/>
              </w:rPr>
              <w:t>-----</w:t>
            </w:r>
          </w:p>
        </w:tc>
        <w:tc>
          <w:tcPr>
            <w:tcW w:w="967" w:type="dxa"/>
            <w:noWrap w:val="0"/>
            <w:vAlign w:val="center"/>
          </w:tcPr>
          <w:p w14:paraId="3BEDAD2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1套/1年</w:t>
            </w:r>
          </w:p>
        </w:tc>
        <w:tc>
          <w:tcPr>
            <w:tcW w:w="2637" w:type="dxa"/>
            <w:noWrap w:val="0"/>
            <w:vAlign w:val="top"/>
          </w:tcPr>
          <w:p w14:paraId="440CEE47">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1小时测量一次，运行消耗整套试剂(预18-20套)</w:t>
            </w:r>
          </w:p>
        </w:tc>
      </w:tr>
      <w:tr w14:paraId="504C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04" w:type="dxa"/>
            <w:noWrap w:val="0"/>
            <w:vAlign w:val="center"/>
          </w:tcPr>
          <w:p w14:paraId="168EE76D">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8</w:t>
            </w:r>
          </w:p>
        </w:tc>
        <w:tc>
          <w:tcPr>
            <w:tcW w:w="2834" w:type="dxa"/>
            <w:noWrap w:val="0"/>
            <w:vAlign w:val="center"/>
          </w:tcPr>
          <w:p w14:paraId="3D854199">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TP</w:t>
            </w:r>
            <w:r>
              <w:rPr>
                <w:rFonts w:hint="eastAsia" w:ascii="宋体" w:hAnsi="Times New Roman" w:eastAsia="宋体" w:cs="Times New Roman"/>
                <w:b w:val="0"/>
                <w:bCs/>
                <w:color w:val="000000"/>
                <w:sz w:val="24"/>
                <w:szCs w:val="24"/>
              </w:rPr>
              <w:t>在线监测设备使用试剂及标液</w:t>
            </w:r>
          </w:p>
        </w:tc>
        <w:tc>
          <w:tcPr>
            <w:tcW w:w="1283" w:type="dxa"/>
            <w:noWrap w:val="0"/>
            <w:vAlign w:val="center"/>
          </w:tcPr>
          <w:p w14:paraId="775B67E2">
            <w:pPr>
              <w:rPr>
                <w:rFonts w:hint="eastAsia" w:ascii="宋体" w:hAnsi="Times New Roman" w:eastAsia="宋体" w:cs="Times New Roman"/>
                <w:b w:val="0"/>
                <w:bCs/>
                <w:color w:val="000000"/>
                <w:sz w:val="24"/>
                <w:szCs w:val="24"/>
              </w:rPr>
            </w:pPr>
            <w:r>
              <w:rPr>
                <w:rFonts w:hint="eastAsia" w:ascii="宋体" w:hAnsi="宋体" w:cs="宋体"/>
                <w:sz w:val="24"/>
                <w:szCs w:val="24"/>
              </w:rPr>
              <w:t>-----</w:t>
            </w:r>
          </w:p>
        </w:tc>
        <w:tc>
          <w:tcPr>
            <w:tcW w:w="967" w:type="dxa"/>
            <w:noWrap w:val="0"/>
            <w:vAlign w:val="center"/>
          </w:tcPr>
          <w:p w14:paraId="2168E551">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1套/1年</w:t>
            </w:r>
          </w:p>
        </w:tc>
        <w:tc>
          <w:tcPr>
            <w:tcW w:w="2637" w:type="dxa"/>
            <w:noWrap w:val="0"/>
            <w:vAlign w:val="top"/>
          </w:tcPr>
          <w:p w14:paraId="020ED8A0">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1小时测量一次，运行消耗整套试剂(预18-20套)</w:t>
            </w:r>
          </w:p>
        </w:tc>
      </w:tr>
      <w:tr w14:paraId="1065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04" w:type="dxa"/>
            <w:noWrap w:val="0"/>
            <w:vAlign w:val="center"/>
          </w:tcPr>
          <w:p w14:paraId="2E0F9C9B">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9</w:t>
            </w:r>
          </w:p>
        </w:tc>
        <w:tc>
          <w:tcPr>
            <w:tcW w:w="2834" w:type="dxa"/>
            <w:noWrap w:val="0"/>
            <w:vAlign w:val="center"/>
          </w:tcPr>
          <w:p w14:paraId="3E7DB9E6">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运营服务人工、车辆、保险、技术培训费用</w:t>
            </w:r>
          </w:p>
        </w:tc>
        <w:tc>
          <w:tcPr>
            <w:tcW w:w="1283" w:type="dxa"/>
            <w:noWrap w:val="0"/>
            <w:vAlign w:val="center"/>
          </w:tcPr>
          <w:p w14:paraId="2A28080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967" w:type="dxa"/>
            <w:noWrap w:val="0"/>
            <w:vAlign w:val="center"/>
          </w:tcPr>
          <w:p w14:paraId="72A64BC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2套/1年</w:t>
            </w:r>
          </w:p>
        </w:tc>
        <w:tc>
          <w:tcPr>
            <w:tcW w:w="2637" w:type="dxa"/>
            <w:noWrap w:val="0"/>
            <w:vAlign w:val="top"/>
          </w:tcPr>
          <w:p w14:paraId="132D38F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每周一次、不含应急处理</w:t>
            </w:r>
          </w:p>
        </w:tc>
      </w:tr>
      <w:tr w14:paraId="2E5D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04" w:type="dxa"/>
            <w:noWrap w:val="0"/>
            <w:vAlign w:val="center"/>
          </w:tcPr>
          <w:p w14:paraId="065ACE75">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10</w:t>
            </w:r>
          </w:p>
        </w:tc>
        <w:tc>
          <w:tcPr>
            <w:tcW w:w="2834" w:type="dxa"/>
            <w:noWrap w:val="0"/>
            <w:vAlign w:val="center"/>
          </w:tcPr>
          <w:p w14:paraId="23F50F01">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进口在线房管理</w:t>
            </w:r>
          </w:p>
        </w:tc>
        <w:tc>
          <w:tcPr>
            <w:tcW w:w="1283" w:type="dxa"/>
            <w:noWrap w:val="0"/>
            <w:vAlign w:val="center"/>
          </w:tcPr>
          <w:p w14:paraId="58B2A503">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967" w:type="dxa"/>
            <w:noWrap w:val="0"/>
            <w:vAlign w:val="center"/>
          </w:tcPr>
          <w:p w14:paraId="47E9675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1间/年</w:t>
            </w:r>
          </w:p>
        </w:tc>
        <w:tc>
          <w:tcPr>
            <w:tcW w:w="2637" w:type="dxa"/>
            <w:noWrap w:val="0"/>
            <w:vAlign w:val="top"/>
          </w:tcPr>
          <w:p w14:paraId="466AC34D">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保持房间干净、整齐，负责上墙制度换新、更新。</w:t>
            </w:r>
          </w:p>
        </w:tc>
      </w:tr>
      <w:tr w14:paraId="0E5A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804" w:type="dxa"/>
            <w:noWrap w:val="0"/>
            <w:vAlign w:val="center"/>
          </w:tcPr>
          <w:p w14:paraId="10C8583C">
            <w:pPr>
              <w:jc w:val="center"/>
              <w:rPr>
                <w:rFonts w:hint="default" w:ascii="宋体" w:hAnsi="Times New Roman" w:eastAsia="宋体" w:cs="Times New Roman"/>
                <w:b w:val="0"/>
                <w:bCs/>
                <w:color w:val="000000"/>
                <w:sz w:val="24"/>
                <w:szCs w:val="24"/>
                <w:lang w:val="en-US" w:eastAsia="zh-CN"/>
              </w:rPr>
            </w:pPr>
            <w:r>
              <w:rPr>
                <w:rFonts w:hint="eastAsia" w:ascii="宋体" w:hAnsi="Times New Roman" w:eastAsia="宋体" w:cs="Times New Roman"/>
                <w:b w:val="0"/>
                <w:bCs/>
                <w:color w:val="000000"/>
                <w:sz w:val="24"/>
                <w:szCs w:val="24"/>
                <w:lang w:val="en-US" w:eastAsia="zh-CN"/>
              </w:rPr>
              <w:t>11</w:t>
            </w:r>
          </w:p>
        </w:tc>
        <w:tc>
          <w:tcPr>
            <w:tcW w:w="2834" w:type="dxa"/>
            <w:noWrap w:val="0"/>
            <w:vAlign w:val="center"/>
          </w:tcPr>
          <w:p w14:paraId="7819E365">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在线废液</w:t>
            </w:r>
          </w:p>
        </w:tc>
        <w:tc>
          <w:tcPr>
            <w:tcW w:w="1283" w:type="dxa"/>
            <w:noWrap w:val="0"/>
            <w:vAlign w:val="center"/>
          </w:tcPr>
          <w:p w14:paraId="2B9E5B6B">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rPr>
              <w:t>-----</w:t>
            </w:r>
          </w:p>
        </w:tc>
        <w:tc>
          <w:tcPr>
            <w:tcW w:w="967" w:type="dxa"/>
            <w:noWrap w:val="0"/>
            <w:vAlign w:val="center"/>
          </w:tcPr>
          <w:p w14:paraId="6CCB1244">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全年</w:t>
            </w:r>
          </w:p>
        </w:tc>
        <w:tc>
          <w:tcPr>
            <w:tcW w:w="2637" w:type="dxa"/>
            <w:noWrap w:val="0"/>
            <w:vAlign w:val="top"/>
          </w:tcPr>
          <w:p w14:paraId="3D0820C8">
            <w:pPr>
              <w:rPr>
                <w:rFonts w:hint="eastAsia" w:ascii="宋体" w:hAnsi="Times New Roman" w:eastAsia="宋体" w:cs="Times New Roman"/>
                <w:b w:val="0"/>
                <w:bCs/>
                <w:color w:val="000000"/>
                <w:sz w:val="24"/>
                <w:szCs w:val="24"/>
              </w:rPr>
            </w:pPr>
            <w:r>
              <w:rPr>
                <w:rFonts w:hint="eastAsia" w:ascii="宋体" w:hAnsi="Times New Roman" w:eastAsia="宋体" w:cs="Times New Roman"/>
                <w:b w:val="0"/>
                <w:bCs/>
                <w:color w:val="000000"/>
                <w:sz w:val="24"/>
                <w:szCs w:val="24"/>
                <w:lang w:val="en-US" w:eastAsia="zh-CN"/>
              </w:rPr>
              <w:t>负责将产生的危废，安全转移至危废间，并记录。负责提高各消耗品，如废液瓶等。</w:t>
            </w:r>
          </w:p>
        </w:tc>
      </w:tr>
      <w:tr w14:paraId="6268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804" w:type="dxa"/>
            <w:noWrap w:val="0"/>
            <w:vAlign w:val="center"/>
          </w:tcPr>
          <w:p w14:paraId="36AC29CB">
            <w:pPr>
              <w:spacing w:before="156" w:beforeLines="50" w:after="156" w:afterLines="50"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834" w:type="dxa"/>
            <w:noWrap w:val="0"/>
            <w:vAlign w:val="center"/>
          </w:tcPr>
          <w:p w14:paraId="78014490">
            <w:pPr>
              <w:spacing w:before="156" w:beforeLines="50" w:after="156" w:afterLines="50" w:line="360" w:lineRule="auto"/>
              <w:rPr>
                <w:rFonts w:ascii="宋体" w:hAnsi="宋体" w:cs="宋体"/>
                <w:sz w:val="24"/>
                <w:szCs w:val="24"/>
              </w:rPr>
            </w:pPr>
            <w:r>
              <w:rPr>
                <w:rFonts w:hint="eastAsia" w:ascii="宋体" w:hAnsi="宋体" w:cs="宋体"/>
                <w:sz w:val="24"/>
                <w:szCs w:val="24"/>
              </w:rPr>
              <w:t>无条件响应</w:t>
            </w:r>
            <w:r>
              <w:rPr>
                <w:rFonts w:hint="eastAsia" w:ascii="宋体" w:hAnsi="宋体" w:cs="宋体"/>
                <w:sz w:val="24"/>
                <w:szCs w:val="24"/>
                <w:lang w:val="en-US" w:eastAsia="zh-CN"/>
              </w:rPr>
              <w:t>污水厂</w:t>
            </w:r>
            <w:r>
              <w:rPr>
                <w:rFonts w:hint="eastAsia" w:ascii="宋体" w:hAnsi="宋体" w:cs="宋体"/>
                <w:sz w:val="24"/>
                <w:szCs w:val="24"/>
              </w:rPr>
              <w:t>和环保主管单位安排的技术培训、数据填报、台账编写、相关环保检查迎检、污水站自查整改等实际行政工作。</w:t>
            </w:r>
          </w:p>
        </w:tc>
        <w:tc>
          <w:tcPr>
            <w:tcW w:w="1283" w:type="dxa"/>
            <w:noWrap w:val="0"/>
            <w:vAlign w:val="center"/>
          </w:tcPr>
          <w:p w14:paraId="311EFDDB">
            <w:pPr>
              <w:spacing w:before="156" w:beforeLines="50" w:after="156" w:afterLines="50" w:line="360" w:lineRule="auto"/>
              <w:rPr>
                <w:rFonts w:ascii="宋体" w:hAnsi="宋体" w:cs="宋体"/>
                <w:sz w:val="24"/>
                <w:szCs w:val="24"/>
              </w:rPr>
            </w:pPr>
            <w:r>
              <w:rPr>
                <w:rFonts w:hint="eastAsia" w:ascii="宋体" w:hAnsi="宋体" w:cs="宋体"/>
                <w:sz w:val="24"/>
                <w:szCs w:val="24"/>
              </w:rPr>
              <w:t>-----</w:t>
            </w:r>
          </w:p>
        </w:tc>
        <w:tc>
          <w:tcPr>
            <w:tcW w:w="967" w:type="dxa"/>
            <w:noWrap w:val="0"/>
            <w:vAlign w:val="center"/>
          </w:tcPr>
          <w:p w14:paraId="77A0400B">
            <w:pPr>
              <w:spacing w:before="156" w:beforeLines="50" w:after="156" w:afterLines="50" w:line="360" w:lineRule="auto"/>
              <w:rPr>
                <w:rFonts w:ascii="宋体" w:hAnsi="宋体" w:cs="宋体"/>
                <w:sz w:val="24"/>
                <w:szCs w:val="24"/>
              </w:rPr>
            </w:pPr>
            <w:r>
              <w:rPr>
                <w:rFonts w:hint="eastAsia" w:ascii="宋体" w:hAnsi="宋体" w:cs="宋体"/>
                <w:sz w:val="24"/>
                <w:szCs w:val="24"/>
              </w:rPr>
              <w:t>-----</w:t>
            </w:r>
          </w:p>
        </w:tc>
        <w:tc>
          <w:tcPr>
            <w:tcW w:w="2637" w:type="dxa"/>
            <w:noWrap w:val="0"/>
            <w:vAlign w:val="top"/>
          </w:tcPr>
          <w:p w14:paraId="5C35600D">
            <w:pPr>
              <w:spacing w:before="156" w:beforeLines="50" w:after="156" w:afterLines="50" w:line="360" w:lineRule="auto"/>
              <w:rPr>
                <w:rFonts w:ascii="宋体" w:hAnsi="宋体" w:cs="宋体"/>
                <w:color w:val="FF0000"/>
                <w:sz w:val="24"/>
                <w:szCs w:val="24"/>
              </w:rPr>
            </w:pPr>
            <w:r>
              <w:rPr>
                <w:rFonts w:hint="eastAsia" w:ascii="宋体" w:hAnsi="Times New Roman" w:eastAsia="宋体" w:cs="Times New Roman"/>
                <w:b w:val="0"/>
                <w:bCs/>
                <w:color w:val="000000"/>
                <w:sz w:val="24"/>
                <w:szCs w:val="24"/>
                <w:lang w:val="en-US" w:eastAsia="zh-CN"/>
              </w:rPr>
              <w:t>严格按照各级政府主管部门要求，以及相关行业规范，落实在线监测系统维护工作。</w:t>
            </w:r>
          </w:p>
        </w:tc>
      </w:tr>
    </w:tbl>
    <w:p w14:paraId="6588BBF2">
      <w:pPr>
        <w:rPr>
          <w:rFonts w:hint="eastAsia"/>
          <w:sz w:val="32"/>
          <w:szCs w:val="32"/>
          <w:lang w:val="zh-CN"/>
        </w:rPr>
      </w:pPr>
    </w:p>
    <w:p w14:paraId="72025B2D">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四、报价要求</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24"/>
        <w:gridCol w:w="708"/>
        <w:gridCol w:w="636"/>
        <w:gridCol w:w="1968"/>
        <w:gridCol w:w="1380"/>
        <w:gridCol w:w="1063"/>
      </w:tblGrid>
      <w:tr w14:paraId="2EF8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7B348A74">
            <w:pPr>
              <w:spacing w:line="360" w:lineRule="auto"/>
              <w:jc w:val="center"/>
              <w:rPr>
                <w:szCs w:val="28"/>
              </w:rPr>
            </w:pPr>
            <w:r>
              <w:rPr>
                <w:rFonts w:hint="eastAsia"/>
                <w:szCs w:val="28"/>
              </w:rPr>
              <w:t>序号</w:t>
            </w:r>
          </w:p>
        </w:tc>
        <w:tc>
          <w:tcPr>
            <w:tcW w:w="2124" w:type="dxa"/>
            <w:noWrap w:val="0"/>
            <w:vAlign w:val="center"/>
          </w:tcPr>
          <w:p w14:paraId="48BD573F">
            <w:pPr>
              <w:spacing w:line="360" w:lineRule="auto"/>
              <w:jc w:val="center"/>
              <w:rPr>
                <w:rFonts w:hint="eastAsia" w:eastAsia="宋体"/>
                <w:szCs w:val="28"/>
                <w:lang w:val="en-US" w:eastAsia="zh-CN"/>
              </w:rPr>
            </w:pPr>
            <w:r>
              <w:rPr>
                <w:rFonts w:hint="eastAsia"/>
                <w:szCs w:val="28"/>
                <w:lang w:val="en-US" w:eastAsia="zh-CN"/>
              </w:rPr>
              <w:t>项目</w:t>
            </w:r>
          </w:p>
        </w:tc>
        <w:tc>
          <w:tcPr>
            <w:tcW w:w="708" w:type="dxa"/>
            <w:noWrap w:val="0"/>
            <w:vAlign w:val="center"/>
          </w:tcPr>
          <w:p w14:paraId="03AED6F2">
            <w:pPr>
              <w:spacing w:line="360" w:lineRule="auto"/>
              <w:jc w:val="center"/>
              <w:rPr>
                <w:rFonts w:hint="eastAsia" w:eastAsia="宋体"/>
                <w:szCs w:val="28"/>
                <w:lang w:eastAsia="zh-CN"/>
              </w:rPr>
            </w:pPr>
            <w:r>
              <w:rPr>
                <w:rFonts w:hint="eastAsia"/>
                <w:szCs w:val="28"/>
                <w:lang w:val="en-US" w:eastAsia="zh-CN"/>
              </w:rPr>
              <w:t>数量</w:t>
            </w:r>
          </w:p>
        </w:tc>
        <w:tc>
          <w:tcPr>
            <w:tcW w:w="636" w:type="dxa"/>
            <w:noWrap w:val="0"/>
            <w:vAlign w:val="center"/>
          </w:tcPr>
          <w:p w14:paraId="45F84DD2">
            <w:pPr>
              <w:spacing w:line="360" w:lineRule="auto"/>
              <w:jc w:val="center"/>
              <w:rPr>
                <w:rFonts w:hint="default" w:eastAsia="宋体"/>
                <w:szCs w:val="28"/>
                <w:lang w:val="en-US" w:eastAsia="zh-CN"/>
              </w:rPr>
            </w:pPr>
            <w:r>
              <w:rPr>
                <w:rFonts w:hint="eastAsia"/>
                <w:szCs w:val="28"/>
                <w:lang w:val="en-US" w:eastAsia="zh-CN"/>
              </w:rPr>
              <w:t>单位</w:t>
            </w:r>
          </w:p>
        </w:tc>
        <w:tc>
          <w:tcPr>
            <w:tcW w:w="1968" w:type="dxa"/>
            <w:noWrap w:val="0"/>
            <w:vAlign w:val="center"/>
          </w:tcPr>
          <w:p w14:paraId="32C60751">
            <w:pPr>
              <w:spacing w:line="360" w:lineRule="auto"/>
              <w:jc w:val="center"/>
              <w:rPr>
                <w:rFonts w:hint="eastAsia" w:eastAsia="宋体"/>
                <w:szCs w:val="28"/>
                <w:lang w:eastAsia="zh-CN"/>
              </w:rPr>
            </w:pPr>
            <w:r>
              <w:rPr>
                <w:rFonts w:hint="eastAsia"/>
                <w:szCs w:val="28"/>
                <w:lang w:val="en-US" w:eastAsia="zh-CN"/>
              </w:rPr>
              <w:t>含税</w:t>
            </w:r>
            <w:r>
              <w:rPr>
                <w:rFonts w:hint="eastAsia"/>
                <w:szCs w:val="28"/>
              </w:rPr>
              <w:t>控制单价</w:t>
            </w:r>
            <w:r>
              <w:rPr>
                <w:rFonts w:hint="eastAsia"/>
                <w:szCs w:val="28"/>
                <w:lang w:eastAsia="zh-CN"/>
              </w:rPr>
              <w:t>（</w:t>
            </w:r>
            <w:r>
              <w:rPr>
                <w:rFonts w:hint="eastAsia"/>
                <w:szCs w:val="28"/>
                <w:lang w:val="en-US" w:eastAsia="zh-CN"/>
              </w:rPr>
              <w:t>元</w:t>
            </w:r>
            <w:r>
              <w:rPr>
                <w:rFonts w:hint="eastAsia"/>
                <w:szCs w:val="28"/>
                <w:lang w:eastAsia="zh-CN"/>
              </w:rPr>
              <w:t>）</w:t>
            </w:r>
          </w:p>
        </w:tc>
        <w:tc>
          <w:tcPr>
            <w:tcW w:w="1380" w:type="dxa"/>
            <w:noWrap w:val="0"/>
            <w:vAlign w:val="center"/>
          </w:tcPr>
          <w:p w14:paraId="1EA05D62">
            <w:pPr>
              <w:spacing w:line="360" w:lineRule="auto"/>
              <w:jc w:val="center"/>
              <w:rPr>
                <w:rFonts w:hint="eastAsia" w:eastAsia="宋体"/>
                <w:szCs w:val="28"/>
                <w:lang w:val="en-US" w:eastAsia="zh-CN"/>
              </w:rPr>
            </w:pPr>
            <w:r>
              <w:rPr>
                <w:rFonts w:hint="eastAsia"/>
                <w:szCs w:val="28"/>
                <w:lang w:val="en-US" w:eastAsia="zh-CN"/>
              </w:rPr>
              <w:t>合计（元）</w:t>
            </w:r>
          </w:p>
        </w:tc>
        <w:tc>
          <w:tcPr>
            <w:tcW w:w="1063" w:type="dxa"/>
            <w:noWrap w:val="0"/>
            <w:vAlign w:val="center"/>
          </w:tcPr>
          <w:p w14:paraId="16BEDEFE">
            <w:pPr>
              <w:spacing w:line="360" w:lineRule="auto"/>
              <w:jc w:val="center"/>
              <w:rPr>
                <w:rFonts w:hint="eastAsia"/>
                <w:szCs w:val="28"/>
              </w:rPr>
            </w:pPr>
            <w:r>
              <w:rPr>
                <w:rFonts w:hint="eastAsia"/>
                <w:szCs w:val="28"/>
              </w:rPr>
              <w:t>运维期限</w:t>
            </w:r>
          </w:p>
        </w:tc>
      </w:tr>
      <w:tr w14:paraId="15DC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3" w:type="dxa"/>
            <w:noWrap w:val="0"/>
            <w:vAlign w:val="center"/>
          </w:tcPr>
          <w:p w14:paraId="7A484F8E">
            <w:pPr>
              <w:spacing w:line="360" w:lineRule="auto"/>
              <w:jc w:val="center"/>
              <w:rPr>
                <w:rFonts w:hint="eastAsia" w:eastAsia="宋体"/>
                <w:szCs w:val="28"/>
                <w:lang w:val="en-US" w:eastAsia="zh-CN"/>
              </w:rPr>
            </w:pPr>
            <w:r>
              <w:rPr>
                <w:rFonts w:hint="eastAsia"/>
                <w:szCs w:val="28"/>
                <w:lang w:val="en-US" w:eastAsia="zh-CN"/>
              </w:rPr>
              <w:t>1</w:t>
            </w:r>
          </w:p>
        </w:tc>
        <w:tc>
          <w:tcPr>
            <w:tcW w:w="2124" w:type="dxa"/>
            <w:noWrap w:val="0"/>
            <w:vAlign w:val="center"/>
          </w:tcPr>
          <w:p w14:paraId="14FFB346">
            <w:pPr>
              <w:spacing w:line="360" w:lineRule="auto"/>
              <w:jc w:val="center"/>
              <w:rPr>
                <w:rFonts w:hint="eastAsia"/>
                <w:lang w:val="en-US" w:eastAsia="zh-CN"/>
              </w:rPr>
            </w:pPr>
            <w:r>
              <w:rPr>
                <w:rFonts w:hint="eastAsia" w:ascii="Times New Roman" w:hAnsi="Times New Roman" w:eastAsia="宋体" w:cs="Times New Roman"/>
                <w:szCs w:val="28"/>
                <w:lang w:val="en-US" w:eastAsia="zh-CN"/>
              </w:rPr>
              <w:t>进口</w:t>
            </w:r>
            <w:r>
              <w:rPr>
                <w:rFonts w:hint="eastAsia" w:ascii="Times New Roman" w:hAnsi="Times New Roman" w:eastAsia="宋体" w:cs="Times New Roman"/>
                <w:szCs w:val="28"/>
              </w:rPr>
              <w:t>在线监测</w:t>
            </w:r>
            <w:r>
              <w:rPr>
                <w:rFonts w:hint="eastAsia" w:ascii="Times New Roman" w:hAnsi="Times New Roman" w:eastAsia="宋体" w:cs="Times New Roman"/>
                <w:szCs w:val="28"/>
                <w:lang w:val="en-US" w:eastAsia="zh-CN"/>
              </w:rPr>
              <w:t>维保</w:t>
            </w:r>
          </w:p>
        </w:tc>
        <w:tc>
          <w:tcPr>
            <w:tcW w:w="708" w:type="dxa"/>
            <w:noWrap w:val="0"/>
            <w:vAlign w:val="center"/>
          </w:tcPr>
          <w:p w14:paraId="44264C57">
            <w:pPr>
              <w:spacing w:line="360" w:lineRule="auto"/>
              <w:jc w:val="center"/>
              <w:rPr>
                <w:rFonts w:hint="default"/>
                <w:szCs w:val="28"/>
                <w:lang w:val="en-US" w:eastAsia="zh-CN"/>
              </w:rPr>
            </w:pPr>
            <w:r>
              <w:rPr>
                <w:rFonts w:hint="eastAsia"/>
                <w:szCs w:val="28"/>
                <w:lang w:val="en-US" w:eastAsia="zh-CN"/>
              </w:rPr>
              <w:t>1</w:t>
            </w:r>
          </w:p>
        </w:tc>
        <w:tc>
          <w:tcPr>
            <w:tcW w:w="636" w:type="dxa"/>
            <w:noWrap w:val="0"/>
            <w:vAlign w:val="center"/>
          </w:tcPr>
          <w:p w14:paraId="037DF79F">
            <w:pPr>
              <w:spacing w:line="360" w:lineRule="auto"/>
              <w:jc w:val="center"/>
              <w:rPr>
                <w:rFonts w:hint="default"/>
                <w:szCs w:val="28"/>
                <w:lang w:val="en-US" w:eastAsia="zh-CN"/>
              </w:rPr>
            </w:pPr>
            <w:r>
              <w:rPr>
                <w:rFonts w:hint="eastAsia"/>
                <w:szCs w:val="28"/>
                <w:lang w:val="en-US" w:eastAsia="zh-CN"/>
              </w:rPr>
              <w:t>处</w:t>
            </w:r>
          </w:p>
        </w:tc>
        <w:tc>
          <w:tcPr>
            <w:tcW w:w="1968" w:type="dxa"/>
            <w:noWrap w:val="0"/>
            <w:vAlign w:val="center"/>
          </w:tcPr>
          <w:p w14:paraId="6027F062">
            <w:pPr>
              <w:spacing w:line="360" w:lineRule="auto"/>
              <w:jc w:val="center"/>
              <w:rPr>
                <w:rFonts w:hint="default"/>
                <w:szCs w:val="28"/>
                <w:lang w:val="en-US" w:eastAsia="zh-CN"/>
              </w:rPr>
            </w:pPr>
            <w:r>
              <w:rPr>
                <w:rFonts w:hint="eastAsia"/>
                <w:szCs w:val="28"/>
                <w:lang w:val="en-US" w:eastAsia="zh-CN"/>
              </w:rPr>
              <w:t>41500</w:t>
            </w:r>
          </w:p>
        </w:tc>
        <w:tc>
          <w:tcPr>
            <w:tcW w:w="1380" w:type="dxa"/>
            <w:noWrap w:val="0"/>
            <w:vAlign w:val="center"/>
          </w:tcPr>
          <w:p w14:paraId="7342633E">
            <w:pPr>
              <w:spacing w:line="360" w:lineRule="auto"/>
              <w:jc w:val="center"/>
              <w:rPr>
                <w:rFonts w:hint="default"/>
                <w:szCs w:val="28"/>
                <w:lang w:val="en-US" w:eastAsia="zh-CN"/>
              </w:rPr>
            </w:pPr>
            <w:r>
              <w:rPr>
                <w:rFonts w:hint="eastAsia"/>
                <w:szCs w:val="28"/>
                <w:lang w:val="en-US" w:eastAsia="zh-CN"/>
              </w:rPr>
              <w:t>41500</w:t>
            </w:r>
          </w:p>
        </w:tc>
        <w:tc>
          <w:tcPr>
            <w:tcW w:w="1063" w:type="dxa"/>
            <w:noWrap w:val="0"/>
            <w:vAlign w:val="center"/>
          </w:tcPr>
          <w:p w14:paraId="6CE37291">
            <w:pPr>
              <w:spacing w:line="360" w:lineRule="auto"/>
              <w:jc w:val="center"/>
              <w:rPr>
                <w:rFonts w:hint="default"/>
                <w:szCs w:val="28"/>
                <w:lang w:val="en-US" w:eastAsia="zh-CN"/>
              </w:rPr>
            </w:pPr>
            <w:r>
              <w:rPr>
                <w:rFonts w:hint="eastAsia"/>
                <w:szCs w:val="28"/>
                <w:lang w:val="en-US" w:eastAsia="zh-CN"/>
              </w:rPr>
              <w:t>1年</w:t>
            </w:r>
          </w:p>
        </w:tc>
      </w:tr>
      <w:tr w14:paraId="194E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43" w:type="dxa"/>
            <w:noWrap w:val="0"/>
            <w:vAlign w:val="center"/>
          </w:tcPr>
          <w:p w14:paraId="572268E2">
            <w:pPr>
              <w:spacing w:line="360" w:lineRule="auto"/>
              <w:jc w:val="center"/>
              <w:rPr>
                <w:rFonts w:hint="eastAsia" w:eastAsia="宋体"/>
                <w:szCs w:val="28"/>
                <w:lang w:val="en-US" w:eastAsia="zh-CN"/>
              </w:rPr>
            </w:pPr>
            <w:r>
              <w:rPr>
                <w:rFonts w:hint="eastAsia"/>
                <w:szCs w:val="28"/>
                <w:lang w:val="en-US" w:eastAsia="zh-CN"/>
              </w:rPr>
              <w:t>2</w:t>
            </w:r>
          </w:p>
        </w:tc>
        <w:tc>
          <w:tcPr>
            <w:tcW w:w="2124" w:type="dxa"/>
            <w:noWrap w:val="0"/>
            <w:vAlign w:val="center"/>
          </w:tcPr>
          <w:p w14:paraId="03DD3518">
            <w:pPr>
              <w:spacing w:line="360" w:lineRule="auto"/>
              <w:jc w:val="center"/>
              <w:rPr>
                <w:rFonts w:hint="eastAsia" w:ascii="宋体" w:hAnsi="宋体" w:eastAsia="宋体" w:cs="宋体"/>
                <w:sz w:val="24"/>
                <w:szCs w:val="24"/>
                <w:lang w:val="en-US" w:eastAsia="zh-CN"/>
              </w:rPr>
            </w:pPr>
            <w:r>
              <w:rPr>
                <w:rFonts w:hint="eastAsia" w:ascii="Times New Roman" w:hAnsi="Times New Roman" w:eastAsia="宋体" w:cs="Times New Roman"/>
                <w:szCs w:val="28"/>
                <w:lang w:val="en-US" w:eastAsia="zh-CN"/>
              </w:rPr>
              <w:t>排口</w:t>
            </w:r>
            <w:r>
              <w:rPr>
                <w:rFonts w:hint="eastAsia" w:ascii="Times New Roman" w:hAnsi="Times New Roman" w:eastAsia="宋体" w:cs="Times New Roman"/>
                <w:szCs w:val="28"/>
              </w:rPr>
              <w:t>在线监测</w:t>
            </w:r>
            <w:r>
              <w:rPr>
                <w:rFonts w:hint="eastAsia" w:ascii="Times New Roman" w:hAnsi="Times New Roman" w:eastAsia="宋体" w:cs="Times New Roman"/>
                <w:szCs w:val="28"/>
                <w:lang w:val="en-US" w:eastAsia="zh-CN"/>
              </w:rPr>
              <w:t>维保</w:t>
            </w:r>
          </w:p>
        </w:tc>
        <w:tc>
          <w:tcPr>
            <w:tcW w:w="708" w:type="dxa"/>
            <w:noWrap w:val="0"/>
            <w:vAlign w:val="center"/>
          </w:tcPr>
          <w:p w14:paraId="537EA794">
            <w:pPr>
              <w:spacing w:line="360" w:lineRule="auto"/>
              <w:jc w:val="center"/>
              <w:rPr>
                <w:rFonts w:hint="default"/>
                <w:szCs w:val="28"/>
                <w:lang w:val="en-US" w:eastAsia="zh-CN"/>
              </w:rPr>
            </w:pPr>
            <w:r>
              <w:rPr>
                <w:rFonts w:hint="eastAsia"/>
                <w:szCs w:val="28"/>
                <w:lang w:val="en-US" w:eastAsia="zh-CN"/>
              </w:rPr>
              <w:t>1</w:t>
            </w:r>
          </w:p>
        </w:tc>
        <w:tc>
          <w:tcPr>
            <w:tcW w:w="636" w:type="dxa"/>
            <w:noWrap w:val="0"/>
            <w:vAlign w:val="center"/>
          </w:tcPr>
          <w:p w14:paraId="434764A3">
            <w:pPr>
              <w:spacing w:line="360" w:lineRule="auto"/>
              <w:jc w:val="center"/>
              <w:rPr>
                <w:rFonts w:hint="default"/>
                <w:szCs w:val="28"/>
                <w:lang w:val="en-US" w:eastAsia="zh-CN"/>
              </w:rPr>
            </w:pPr>
            <w:r>
              <w:rPr>
                <w:rFonts w:hint="eastAsia"/>
                <w:szCs w:val="28"/>
                <w:lang w:val="en-US" w:eastAsia="zh-CN"/>
              </w:rPr>
              <w:t>处</w:t>
            </w:r>
          </w:p>
        </w:tc>
        <w:tc>
          <w:tcPr>
            <w:tcW w:w="1968" w:type="dxa"/>
            <w:noWrap w:val="0"/>
            <w:vAlign w:val="center"/>
          </w:tcPr>
          <w:p w14:paraId="703C7119">
            <w:pPr>
              <w:spacing w:line="360" w:lineRule="auto"/>
              <w:jc w:val="center"/>
              <w:rPr>
                <w:rFonts w:hint="default"/>
                <w:szCs w:val="28"/>
                <w:lang w:val="en-US" w:eastAsia="zh-CN"/>
              </w:rPr>
            </w:pPr>
            <w:r>
              <w:rPr>
                <w:rFonts w:hint="eastAsia"/>
                <w:szCs w:val="28"/>
                <w:lang w:val="en-US" w:eastAsia="zh-CN"/>
              </w:rPr>
              <w:t>63500</w:t>
            </w:r>
          </w:p>
        </w:tc>
        <w:tc>
          <w:tcPr>
            <w:tcW w:w="1380" w:type="dxa"/>
            <w:noWrap w:val="0"/>
            <w:vAlign w:val="center"/>
          </w:tcPr>
          <w:p w14:paraId="29D499E6">
            <w:pPr>
              <w:spacing w:line="360" w:lineRule="auto"/>
              <w:jc w:val="center"/>
              <w:rPr>
                <w:rFonts w:hint="default"/>
                <w:szCs w:val="28"/>
                <w:lang w:val="en-US" w:eastAsia="zh-CN"/>
              </w:rPr>
            </w:pPr>
            <w:r>
              <w:rPr>
                <w:rFonts w:hint="eastAsia"/>
                <w:szCs w:val="28"/>
                <w:lang w:val="en-US" w:eastAsia="zh-CN"/>
              </w:rPr>
              <w:t>63500</w:t>
            </w:r>
          </w:p>
        </w:tc>
        <w:tc>
          <w:tcPr>
            <w:tcW w:w="1063" w:type="dxa"/>
            <w:noWrap w:val="0"/>
            <w:vAlign w:val="center"/>
          </w:tcPr>
          <w:p w14:paraId="19F1BF28">
            <w:pPr>
              <w:spacing w:line="360" w:lineRule="auto"/>
              <w:jc w:val="center"/>
              <w:rPr>
                <w:rFonts w:hint="default"/>
                <w:szCs w:val="28"/>
                <w:lang w:val="en-US" w:eastAsia="zh-CN"/>
              </w:rPr>
            </w:pPr>
            <w:r>
              <w:rPr>
                <w:rFonts w:hint="eastAsia"/>
                <w:szCs w:val="28"/>
                <w:lang w:val="en-US" w:eastAsia="zh-CN"/>
              </w:rPr>
              <w:t>1年</w:t>
            </w:r>
          </w:p>
        </w:tc>
      </w:tr>
      <w:tr w14:paraId="2AAE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9" w:type="dxa"/>
            <w:gridSpan w:val="5"/>
            <w:noWrap w:val="0"/>
            <w:vAlign w:val="center"/>
          </w:tcPr>
          <w:p w14:paraId="00F36EE8">
            <w:pPr>
              <w:spacing w:line="360" w:lineRule="auto"/>
              <w:jc w:val="center"/>
              <w:rPr>
                <w:rFonts w:hint="default" w:eastAsia="宋体"/>
                <w:szCs w:val="28"/>
                <w:lang w:val="en-US" w:eastAsia="zh-CN"/>
              </w:rPr>
            </w:pPr>
            <w:r>
              <w:rPr>
                <w:rFonts w:hint="eastAsia"/>
                <w:szCs w:val="28"/>
                <w:lang w:val="en-US" w:eastAsia="zh-CN"/>
              </w:rPr>
              <w:t>控制总价（元）</w:t>
            </w:r>
          </w:p>
        </w:tc>
        <w:tc>
          <w:tcPr>
            <w:tcW w:w="1380" w:type="dxa"/>
            <w:noWrap w:val="0"/>
            <w:vAlign w:val="center"/>
          </w:tcPr>
          <w:p w14:paraId="689FBABE">
            <w:pPr>
              <w:spacing w:line="360" w:lineRule="auto"/>
              <w:jc w:val="center"/>
              <w:rPr>
                <w:rFonts w:hint="default" w:eastAsia="宋体"/>
                <w:szCs w:val="28"/>
                <w:lang w:val="en-US" w:eastAsia="zh-CN"/>
              </w:rPr>
            </w:pPr>
            <w:r>
              <w:rPr>
                <w:rFonts w:hint="eastAsia" w:eastAsia="宋体"/>
                <w:szCs w:val="28"/>
                <w:lang w:val="en-US" w:eastAsia="zh-CN"/>
              </w:rPr>
              <w:t>105000</w:t>
            </w:r>
          </w:p>
        </w:tc>
        <w:tc>
          <w:tcPr>
            <w:tcW w:w="1063" w:type="dxa"/>
            <w:noWrap w:val="0"/>
            <w:vAlign w:val="center"/>
          </w:tcPr>
          <w:p w14:paraId="2A116F57">
            <w:pPr>
              <w:spacing w:line="360" w:lineRule="auto"/>
              <w:ind w:left="1314" w:hanging="438"/>
              <w:jc w:val="center"/>
              <w:rPr>
                <w:szCs w:val="28"/>
              </w:rPr>
            </w:pPr>
          </w:p>
        </w:tc>
      </w:tr>
      <w:tr w14:paraId="31B9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9" w:type="dxa"/>
            <w:gridSpan w:val="6"/>
            <w:noWrap w:val="0"/>
            <w:vAlign w:val="center"/>
          </w:tcPr>
          <w:p w14:paraId="4CD2A75B">
            <w:pPr>
              <w:spacing w:line="360" w:lineRule="auto"/>
              <w:rPr>
                <w:szCs w:val="28"/>
              </w:rPr>
            </w:pPr>
            <w:r>
              <w:rPr>
                <w:rFonts w:hint="eastAsia"/>
                <w:szCs w:val="28"/>
              </w:rPr>
              <w:t>备注：①报价为含税金额，须提供增值税</w:t>
            </w:r>
            <w:r>
              <w:rPr>
                <w:rFonts w:hint="eastAsia"/>
                <w:szCs w:val="28"/>
                <w:lang w:val="en-US" w:eastAsia="zh-CN"/>
              </w:rPr>
              <w:t>普通</w:t>
            </w:r>
            <w:r>
              <w:rPr>
                <w:rFonts w:hint="eastAsia"/>
                <w:szCs w:val="28"/>
              </w:rPr>
              <w:t>全额发票（按合同具体要求）；</w:t>
            </w:r>
            <w:r>
              <w:rPr>
                <w:rFonts w:hint="eastAsia"/>
                <w:szCs w:val="28"/>
                <w:lang w:val="en-US" w:eastAsia="zh-CN"/>
              </w:rPr>
              <w:t>③日常维护</w:t>
            </w:r>
            <w:r>
              <w:rPr>
                <w:rFonts w:hint="eastAsia"/>
                <w:szCs w:val="28"/>
              </w:rPr>
              <w:t>包括所有消耗品、易损件</w:t>
            </w:r>
            <w:r>
              <w:rPr>
                <w:rFonts w:hint="eastAsia"/>
                <w:szCs w:val="28"/>
                <w:lang w:eastAsia="zh-CN"/>
              </w:rPr>
              <w:t>、</w:t>
            </w:r>
            <w:r>
              <w:rPr>
                <w:rFonts w:hint="eastAsia"/>
                <w:szCs w:val="28"/>
              </w:rPr>
              <w:t>配件</w:t>
            </w:r>
            <w:r>
              <w:rPr>
                <w:rFonts w:hint="eastAsia"/>
                <w:szCs w:val="28"/>
                <w:lang w:eastAsia="zh-CN"/>
              </w:rPr>
              <w:t>、</w:t>
            </w:r>
            <w:r>
              <w:rPr>
                <w:rFonts w:hint="eastAsia"/>
                <w:szCs w:val="28"/>
                <w:lang w:val="en-US" w:eastAsia="zh-CN"/>
              </w:rPr>
              <w:t>备用机</w:t>
            </w:r>
            <w:r>
              <w:rPr>
                <w:rFonts w:hint="eastAsia"/>
                <w:szCs w:val="28"/>
              </w:rPr>
              <w:t>；人员工资、保险</w:t>
            </w:r>
            <w:r>
              <w:rPr>
                <w:rFonts w:hint="eastAsia"/>
                <w:szCs w:val="28"/>
                <w:lang w:eastAsia="zh-CN"/>
              </w:rPr>
              <w:t>、</w:t>
            </w:r>
            <w:r>
              <w:rPr>
                <w:rFonts w:hint="eastAsia"/>
                <w:szCs w:val="28"/>
                <w:lang w:val="en-US" w:eastAsia="zh-CN"/>
              </w:rPr>
              <w:t>管理费</w:t>
            </w:r>
            <w:r>
              <w:rPr>
                <w:rFonts w:hint="eastAsia"/>
                <w:szCs w:val="28"/>
              </w:rPr>
              <w:t>等；车辆保险、保养、折旧、油费等；</w:t>
            </w:r>
          </w:p>
        </w:tc>
        <w:tc>
          <w:tcPr>
            <w:tcW w:w="1063" w:type="dxa"/>
            <w:noWrap w:val="0"/>
            <w:vAlign w:val="center"/>
          </w:tcPr>
          <w:p w14:paraId="56F5145C">
            <w:pPr>
              <w:spacing w:line="360" w:lineRule="auto"/>
              <w:rPr>
                <w:rFonts w:hint="eastAsia"/>
                <w:szCs w:val="28"/>
              </w:rPr>
            </w:pPr>
          </w:p>
        </w:tc>
      </w:tr>
    </w:tbl>
    <w:p w14:paraId="1EC4260A">
      <w:pPr>
        <w:numPr>
          <w:ilvl w:val="0"/>
          <w:numId w:val="0"/>
        </w:numPr>
        <w:rPr>
          <w:rFonts w:hint="eastAsia"/>
          <w:sz w:val="32"/>
          <w:szCs w:val="32"/>
          <w:lang w:val="zh-CN"/>
        </w:rPr>
      </w:pPr>
    </w:p>
    <w:p w14:paraId="4D8D7C00">
      <w:pPr>
        <w:numPr>
          <w:ilvl w:val="0"/>
          <w:numId w:val="0"/>
        </w:numPr>
        <w:jc w:val="center"/>
        <w:rPr>
          <w:rFonts w:hint="eastAsia"/>
          <w:sz w:val="32"/>
          <w:szCs w:val="32"/>
          <w:lang w:val="zh-CN"/>
        </w:rPr>
      </w:pPr>
    </w:p>
    <w:p w14:paraId="1BD4FE46">
      <w:pPr>
        <w:numPr>
          <w:ilvl w:val="0"/>
          <w:numId w:val="0"/>
        </w:numPr>
        <w:jc w:val="center"/>
        <w:rPr>
          <w:rFonts w:hint="eastAsia"/>
          <w:sz w:val="32"/>
          <w:szCs w:val="32"/>
          <w:lang w:val="zh-CN"/>
        </w:rPr>
      </w:pPr>
    </w:p>
    <w:p w14:paraId="51DAA341">
      <w:pPr>
        <w:numPr>
          <w:ilvl w:val="0"/>
          <w:numId w:val="0"/>
        </w:numPr>
        <w:jc w:val="center"/>
        <w:rPr>
          <w:rFonts w:hint="eastAsia"/>
          <w:sz w:val="32"/>
          <w:szCs w:val="32"/>
          <w:lang w:val="zh-CN"/>
        </w:rPr>
      </w:pPr>
    </w:p>
    <w:p w14:paraId="7B65DD6E">
      <w:pPr>
        <w:numPr>
          <w:ilvl w:val="0"/>
          <w:numId w:val="0"/>
        </w:numPr>
        <w:jc w:val="center"/>
        <w:rPr>
          <w:rFonts w:hint="eastAsia"/>
          <w:sz w:val="32"/>
          <w:szCs w:val="32"/>
          <w:lang w:val="zh-CN"/>
        </w:rPr>
      </w:pPr>
    </w:p>
    <w:p w14:paraId="575BD88C">
      <w:pPr>
        <w:numPr>
          <w:ilvl w:val="0"/>
          <w:numId w:val="0"/>
        </w:numPr>
        <w:jc w:val="center"/>
        <w:rPr>
          <w:rFonts w:hint="eastAsia"/>
          <w:sz w:val="32"/>
          <w:szCs w:val="32"/>
          <w:lang w:val="zh-CN"/>
        </w:rPr>
      </w:pPr>
    </w:p>
    <w:p w14:paraId="631277EF">
      <w:pPr>
        <w:numPr>
          <w:ilvl w:val="0"/>
          <w:numId w:val="0"/>
        </w:numPr>
        <w:jc w:val="center"/>
        <w:rPr>
          <w:rFonts w:hint="eastAsia"/>
          <w:sz w:val="32"/>
          <w:szCs w:val="32"/>
          <w:lang w:val="zh-CN"/>
        </w:rPr>
      </w:pPr>
    </w:p>
    <w:p w14:paraId="0420F610">
      <w:pPr>
        <w:numPr>
          <w:ilvl w:val="0"/>
          <w:numId w:val="0"/>
        </w:numPr>
        <w:jc w:val="center"/>
        <w:rPr>
          <w:rFonts w:hint="eastAsia"/>
          <w:sz w:val="32"/>
          <w:szCs w:val="32"/>
          <w:lang w:val="zh-CN"/>
        </w:rPr>
      </w:pPr>
    </w:p>
    <w:p w14:paraId="6850327F">
      <w:pPr>
        <w:numPr>
          <w:ilvl w:val="0"/>
          <w:numId w:val="0"/>
        </w:numPr>
        <w:jc w:val="center"/>
        <w:rPr>
          <w:rFonts w:hint="eastAsia"/>
          <w:sz w:val="32"/>
          <w:szCs w:val="32"/>
          <w:lang w:val="zh-CN"/>
        </w:rPr>
      </w:pPr>
    </w:p>
    <w:p w14:paraId="10F471B3">
      <w:pPr>
        <w:numPr>
          <w:ilvl w:val="0"/>
          <w:numId w:val="0"/>
        </w:numPr>
        <w:jc w:val="center"/>
        <w:rPr>
          <w:rFonts w:hint="eastAsia"/>
          <w:sz w:val="32"/>
          <w:szCs w:val="32"/>
          <w:lang w:val="zh-CN"/>
        </w:rPr>
      </w:pPr>
    </w:p>
    <w:p w14:paraId="3559E9C3">
      <w:pPr>
        <w:numPr>
          <w:ilvl w:val="0"/>
          <w:numId w:val="0"/>
        </w:numPr>
        <w:jc w:val="center"/>
        <w:rPr>
          <w:rFonts w:hint="eastAsia" w:ascii="宋体" w:hAnsi="Courier New"/>
          <w:bCs/>
          <w:sz w:val="24"/>
          <w:szCs w:val="24"/>
        </w:rPr>
      </w:pPr>
      <w:r>
        <w:rPr>
          <w:rFonts w:hint="eastAsia"/>
          <w:sz w:val="32"/>
          <w:szCs w:val="32"/>
          <w:lang w:val="zh-CN"/>
        </w:rPr>
        <w:t>评分</w:t>
      </w:r>
      <w:r>
        <w:rPr>
          <w:rFonts w:hint="eastAsia"/>
          <w:sz w:val="32"/>
          <w:szCs w:val="32"/>
          <w:lang w:val="en-US" w:eastAsia="zh-CN"/>
        </w:rPr>
        <w:t>标准</w:t>
      </w:r>
    </w:p>
    <w:tbl>
      <w:tblPr>
        <w:tblStyle w:val="19"/>
        <w:tblpPr w:leftFromText="180" w:rightFromText="180" w:vertAnchor="text" w:horzAnchor="page" w:tblpX="1112" w:tblpY="407"/>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510"/>
        <w:gridCol w:w="1200"/>
        <w:gridCol w:w="6990"/>
      </w:tblGrid>
      <w:tr w14:paraId="2DC0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620" w:type="dxa"/>
            <w:gridSpan w:val="2"/>
            <w:noWrap w:val="0"/>
            <w:vAlign w:val="center"/>
          </w:tcPr>
          <w:p w14:paraId="040CFEBC">
            <w:pPr>
              <w:widowControl/>
              <w:tabs>
                <w:tab w:val="left" w:pos="360"/>
                <w:tab w:val="left" w:pos="540"/>
                <w:tab w:val="left" w:pos="3600"/>
                <w:tab w:val="left" w:pos="3780"/>
                <w:tab w:val="left" w:pos="8460"/>
                <w:tab w:val="left" w:pos="9180"/>
              </w:tabs>
              <w:adjustRightInd w:val="0"/>
              <w:snapToGrid w:val="0"/>
              <w:spacing w:before="156" w:beforeLines="50" w:after="200" w:line="360" w:lineRule="auto"/>
              <w:ind w:right="-21" w:rightChars="-10" w:firstLine="440" w:firstLineChars="200"/>
              <w:jc w:val="center"/>
              <w:rPr>
                <w:rFonts w:ascii="宋体" w:hAnsi="Courier New" w:eastAsia="微软雅黑"/>
                <w:bCs/>
                <w:kern w:val="0"/>
                <w:sz w:val="22"/>
              </w:rPr>
            </w:pPr>
            <w:r>
              <w:rPr>
                <w:rFonts w:hint="eastAsia" w:ascii="宋体" w:hAnsi="Courier New" w:eastAsia="微软雅黑"/>
                <w:bCs/>
                <w:kern w:val="0"/>
                <w:sz w:val="22"/>
              </w:rPr>
              <w:t>序号</w:t>
            </w:r>
          </w:p>
        </w:tc>
        <w:tc>
          <w:tcPr>
            <w:tcW w:w="1200" w:type="dxa"/>
            <w:noWrap w:val="0"/>
            <w:vAlign w:val="center"/>
          </w:tcPr>
          <w:p w14:paraId="20BB44C9">
            <w:pPr>
              <w:widowControl/>
              <w:tabs>
                <w:tab w:val="left" w:pos="360"/>
                <w:tab w:val="left" w:pos="540"/>
                <w:tab w:val="left" w:pos="3600"/>
                <w:tab w:val="left" w:pos="3780"/>
                <w:tab w:val="left" w:pos="8460"/>
                <w:tab w:val="left" w:pos="9180"/>
              </w:tabs>
              <w:adjustRightInd w:val="0"/>
              <w:snapToGrid w:val="0"/>
              <w:spacing w:before="156" w:beforeLines="50" w:after="200" w:line="360" w:lineRule="auto"/>
              <w:ind w:right="-21" w:rightChars="-10"/>
              <w:jc w:val="left"/>
              <w:rPr>
                <w:rFonts w:ascii="宋体" w:hAnsi="Courier New" w:eastAsia="微软雅黑"/>
                <w:bCs/>
                <w:kern w:val="0"/>
                <w:sz w:val="22"/>
              </w:rPr>
            </w:pPr>
            <w:r>
              <w:rPr>
                <w:rFonts w:hint="eastAsia" w:ascii="宋体" w:hAnsi="Courier New" w:eastAsia="微软雅黑"/>
                <w:bCs/>
                <w:kern w:val="0"/>
                <w:sz w:val="22"/>
              </w:rPr>
              <w:t>评分项目</w:t>
            </w:r>
          </w:p>
        </w:tc>
        <w:tc>
          <w:tcPr>
            <w:tcW w:w="6990" w:type="dxa"/>
            <w:noWrap w:val="0"/>
            <w:vAlign w:val="center"/>
          </w:tcPr>
          <w:p w14:paraId="30EC8339">
            <w:pPr>
              <w:widowControl/>
              <w:tabs>
                <w:tab w:val="left" w:pos="360"/>
                <w:tab w:val="left" w:pos="540"/>
                <w:tab w:val="left" w:pos="3600"/>
                <w:tab w:val="left" w:pos="3780"/>
                <w:tab w:val="left" w:pos="8460"/>
                <w:tab w:val="left" w:pos="9180"/>
              </w:tabs>
              <w:adjustRightInd w:val="0"/>
              <w:snapToGrid w:val="0"/>
              <w:spacing w:before="156" w:beforeLines="50" w:after="200" w:line="360" w:lineRule="auto"/>
              <w:ind w:right="-21" w:rightChars="-10" w:firstLine="440" w:firstLineChars="200"/>
              <w:jc w:val="center"/>
              <w:rPr>
                <w:rFonts w:ascii="宋体" w:hAnsi="Courier New" w:eastAsia="微软雅黑"/>
                <w:bCs/>
                <w:kern w:val="0"/>
                <w:sz w:val="22"/>
              </w:rPr>
            </w:pPr>
            <w:r>
              <w:rPr>
                <w:rFonts w:hint="eastAsia" w:ascii="宋体" w:hAnsi="Courier New" w:eastAsia="微软雅黑"/>
                <w:bCs/>
                <w:kern w:val="0"/>
                <w:sz w:val="22"/>
              </w:rPr>
              <w:t>评标内容及标准</w:t>
            </w:r>
          </w:p>
        </w:tc>
      </w:tr>
      <w:tr w14:paraId="4976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1110" w:type="dxa"/>
            <w:noWrap w:val="0"/>
            <w:vAlign w:val="center"/>
          </w:tcPr>
          <w:p w14:paraId="75EA4BB8">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报价（30分）</w:t>
            </w:r>
          </w:p>
        </w:tc>
        <w:tc>
          <w:tcPr>
            <w:tcW w:w="510" w:type="dxa"/>
            <w:noWrap w:val="0"/>
            <w:vAlign w:val="center"/>
          </w:tcPr>
          <w:p w14:paraId="5A4E27B0">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1</w:t>
            </w:r>
          </w:p>
        </w:tc>
        <w:tc>
          <w:tcPr>
            <w:tcW w:w="1200" w:type="dxa"/>
            <w:noWrap w:val="0"/>
            <w:vAlign w:val="center"/>
          </w:tcPr>
          <w:p w14:paraId="002C5093">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报价部分</w:t>
            </w:r>
          </w:p>
          <w:p w14:paraId="71890C3C">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tc>
        <w:tc>
          <w:tcPr>
            <w:tcW w:w="6990" w:type="dxa"/>
            <w:noWrap w:val="0"/>
            <w:vAlign w:val="center"/>
          </w:tcPr>
          <w:p w14:paraId="3A824773">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只有通过资格性评审和符合性评审的供应商的最终报价为有效报价，参加报价评审。即满足招标文件要求且最后报价最低的供应商的价格为基准价，其价格分为满分。其他供应商的价格分统一按下列公式计算：报价得分=(基准价／最终报价)×30×100%。（结果保留小数点后两位，小数点后第三位四舍五入）</w:t>
            </w:r>
          </w:p>
        </w:tc>
      </w:tr>
      <w:tr w14:paraId="3018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trPr>
        <w:tc>
          <w:tcPr>
            <w:tcW w:w="1110" w:type="dxa"/>
            <w:vMerge w:val="restart"/>
            <w:noWrap w:val="0"/>
            <w:vAlign w:val="center"/>
          </w:tcPr>
          <w:p w14:paraId="747B85A7">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综合实力比较（70分）</w:t>
            </w:r>
          </w:p>
        </w:tc>
        <w:tc>
          <w:tcPr>
            <w:tcW w:w="510" w:type="dxa"/>
            <w:noWrap w:val="0"/>
            <w:vAlign w:val="center"/>
          </w:tcPr>
          <w:p w14:paraId="0FEBC199">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00" w:type="dxa"/>
            <w:noWrap w:val="0"/>
            <w:vAlign w:val="center"/>
          </w:tcPr>
          <w:p w14:paraId="20C39FD2">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运营服务方案（</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tc>
        <w:tc>
          <w:tcPr>
            <w:tcW w:w="6990" w:type="dxa"/>
            <w:noWrap w:val="0"/>
            <w:vAlign w:val="center"/>
          </w:tcPr>
          <w:p w14:paraId="36ECD79B">
            <w:pPr>
              <w:spacing w:before="156" w:beforeLines="50" w:after="156" w:afterLines="50" w:line="360" w:lineRule="auto"/>
              <w:rPr>
                <w:rFonts w:hint="eastAsia" w:ascii="宋体" w:hAnsi="宋体" w:eastAsia="宋体" w:cs="宋体"/>
                <w:sz w:val="21"/>
                <w:szCs w:val="21"/>
                <w:lang w:eastAsia="zh-CN"/>
              </w:rPr>
            </w:pPr>
            <w:r>
              <w:rPr>
                <w:rFonts w:hint="eastAsia" w:ascii="宋体" w:hAnsi="宋体" w:eastAsia="宋体" w:cs="宋体"/>
                <w:sz w:val="21"/>
                <w:szCs w:val="21"/>
              </w:rPr>
              <w:t>投标单位能根据本项目在线监测设备情况提供项目运维方案和运行管理制度、操作规程等开展本项目的合理化在线运营服务方案。优得</w:t>
            </w:r>
            <w:r>
              <w:rPr>
                <w:rFonts w:hint="eastAsia" w:ascii="宋体" w:hAnsi="宋体" w:eastAsia="宋体" w:cs="宋体"/>
                <w:sz w:val="21"/>
                <w:szCs w:val="21"/>
                <w:lang w:val="en-US" w:eastAsia="zh-CN"/>
              </w:rPr>
              <w:t>6</w:t>
            </w:r>
            <w:r>
              <w:rPr>
                <w:rFonts w:hint="eastAsia" w:ascii="宋体" w:hAnsi="宋体" w:eastAsia="宋体" w:cs="宋体"/>
                <w:sz w:val="21"/>
                <w:szCs w:val="21"/>
              </w:rPr>
              <w:t>&lt;F≤</w:t>
            </w:r>
            <w:r>
              <w:rPr>
                <w:rFonts w:hint="eastAsia" w:ascii="宋体" w:hAnsi="宋体" w:eastAsia="宋体" w:cs="宋体"/>
                <w:sz w:val="21"/>
                <w:szCs w:val="21"/>
                <w:lang w:val="en-US" w:eastAsia="zh-CN"/>
              </w:rPr>
              <w:t>10</w:t>
            </w:r>
            <w:r>
              <w:rPr>
                <w:rFonts w:hint="eastAsia" w:ascii="宋体" w:hAnsi="宋体" w:eastAsia="宋体" w:cs="宋体"/>
                <w:sz w:val="21"/>
                <w:szCs w:val="21"/>
              </w:rPr>
              <w:t>分、良得</w:t>
            </w:r>
            <w:r>
              <w:rPr>
                <w:rFonts w:hint="eastAsia" w:ascii="宋体" w:hAnsi="宋体" w:eastAsia="宋体" w:cs="宋体"/>
                <w:sz w:val="21"/>
                <w:szCs w:val="21"/>
                <w:lang w:val="en-US" w:eastAsia="zh-CN"/>
              </w:rPr>
              <w:t>3</w:t>
            </w:r>
            <w:r>
              <w:rPr>
                <w:rFonts w:hint="eastAsia" w:ascii="宋体" w:hAnsi="宋体" w:eastAsia="宋体" w:cs="宋体"/>
                <w:sz w:val="21"/>
                <w:szCs w:val="21"/>
              </w:rPr>
              <w:t>&lt;F≤</w:t>
            </w:r>
            <w:r>
              <w:rPr>
                <w:rFonts w:hint="eastAsia" w:ascii="宋体" w:hAnsi="宋体" w:eastAsia="宋体" w:cs="宋体"/>
                <w:sz w:val="21"/>
                <w:szCs w:val="21"/>
                <w:lang w:val="en-US" w:eastAsia="zh-CN"/>
              </w:rPr>
              <w:t>6</w:t>
            </w:r>
            <w:r>
              <w:rPr>
                <w:rFonts w:hint="eastAsia" w:ascii="宋体" w:hAnsi="宋体" w:eastAsia="宋体" w:cs="宋体"/>
                <w:sz w:val="21"/>
                <w:szCs w:val="21"/>
              </w:rPr>
              <w:t>分、一般得1≤F≤3分</w:t>
            </w:r>
            <w:r>
              <w:rPr>
                <w:rFonts w:hint="eastAsia" w:ascii="宋体" w:hAnsi="宋体" w:eastAsia="宋体" w:cs="宋体"/>
                <w:sz w:val="21"/>
                <w:szCs w:val="21"/>
                <w:lang w:eastAsia="zh-CN"/>
              </w:rPr>
              <w:t>，</w:t>
            </w:r>
            <w:r>
              <w:rPr>
                <w:rFonts w:hint="eastAsia" w:ascii="宋体" w:hAnsi="宋体" w:eastAsia="宋体" w:cs="宋体"/>
                <w:sz w:val="21"/>
                <w:szCs w:val="21"/>
              </w:rPr>
              <w:t>无此内容不得分</w:t>
            </w:r>
            <w:r>
              <w:rPr>
                <w:rFonts w:hint="eastAsia" w:ascii="宋体" w:hAnsi="宋体" w:eastAsia="宋体" w:cs="宋体"/>
                <w:sz w:val="21"/>
                <w:szCs w:val="21"/>
                <w:lang w:eastAsia="zh-CN"/>
              </w:rPr>
              <w:t>。</w:t>
            </w:r>
            <w:r>
              <w:rPr>
                <w:rFonts w:hint="eastAsia" w:ascii="宋体" w:hAnsi="宋体" w:eastAsia="宋体" w:cs="宋体"/>
                <w:sz w:val="21"/>
                <w:szCs w:val="21"/>
              </w:rPr>
              <w:t>(本项篇幅建议不超过10页)</w:t>
            </w:r>
          </w:p>
        </w:tc>
      </w:tr>
      <w:tr w14:paraId="267B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0" w:type="dxa"/>
            <w:vMerge w:val="continue"/>
            <w:noWrap w:val="0"/>
            <w:vAlign w:val="center"/>
          </w:tcPr>
          <w:p w14:paraId="0C165AD3">
            <w:pPr>
              <w:spacing w:before="156" w:beforeLines="50" w:after="156" w:afterLines="50" w:line="360" w:lineRule="auto"/>
              <w:rPr>
                <w:rFonts w:hint="eastAsia" w:ascii="宋体" w:hAnsi="宋体" w:eastAsia="宋体" w:cs="宋体"/>
                <w:sz w:val="21"/>
                <w:szCs w:val="21"/>
              </w:rPr>
            </w:pPr>
          </w:p>
        </w:tc>
        <w:tc>
          <w:tcPr>
            <w:tcW w:w="510" w:type="dxa"/>
            <w:noWrap w:val="0"/>
            <w:vAlign w:val="center"/>
          </w:tcPr>
          <w:p w14:paraId="747A1B6B">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200" w:type="dxa"/>
            <w:noWrap w:val="0"/>
            <w:vAlign w:val="center"/>
          </w:tcPr>
          <w:p w14:paraId="6FBFEA9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lang w:val="en-US" w:eastAsia="zh-CN"/>
              </w:rPr>
              <w:t>应急处置方案（10分）</w:t>
            </w:r>
          </w:p>
        </w:tc>
        <w:tc>
          <w:tcPr>
            <w:tcW w:w="6990" w:type="dxa"/>
            <w:noWrap w:val="0"/>
            <w:vAlign w:val="center"/>
          </w:tcPr>
          <w:p w14:paraId="49B730F6">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投标人制定应急处理方案，包括但不限于临时性断电、长期断电、数据异常、设备故障、停水、夜间检查等设备运行过程中可能会出现的突发情况，评标委员会根据方案的合理性、针对性、可行性进行综合评分。优秀的，得6&lt;F≤10分;良好的，得3&lt;F≤6分;一般的，得1≤F≤3分;未提供或不符合要求的，不得分。(本项篇幅建议不超过10页)</w:t>
            </w:r>
          </w:p>
        </w:tc>
      </w:tr>
      <w:tr w14:paraId="4041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110" w:type="dxa"/>
            <w:vMerge w:val="continue"/>
            <w:noWrap w:val="0"/>
            <w:vAlign w:val="center"/>
          </w:tcPr>
          <w:p w14:paraId="5BAC88FB">
            <w:pPr>
              <w:spacing w:before="156" w:beforeLines="50" w:after="156" w:afterLines="50" w:line="360" w:lineRule="auto"/>
              <w:rPr>
                <w:rFonts w:hint="eastAsia" w:ascii="宋体" w:hAnsi="宋体" w:eastAsia="宋体" w:cs="宋体"/>
                <w:sz w:val="21"/>
                <w:szCs w:val="21"/>
              </w:rPr>
            </w:pPr>
          </w:p>
        </w:tc>
        <w:tc>
          <w:tcPr>
            <w:tcW w:w="510" w:type="dxa"/>
            <w:noWrap w:val="0"/>
            <w:vAlign w:val="center"/>
          </w:tcPr>
          <w:p w14:paraId="43F177D4">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00" w:type="dxa"/>
            <w:noWrap w:val="0"/>
            <w:vAlign w:val="center"/>
          </w:tcPr>
          <w:p w14:paraId="36F65473">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color w:val="000000"/>
                <w:sz w:val="21"/>
                <w:szCs w:val="21"/>
              </w:rPr>
              <w:t>业绩（</w:t>
            </w:r>
            <w:r>
              <w:rPr>
                <w:rFonts w:hint="eastAsia" w:ascii="宋体" w:hAnsi="宋体" w:eastAsia="宋体" w:cs="宋体"/>
                <w:color w:val="000000"/>
                <w:sz w:val="21"/>
                <w:szCs w:val="21"/>
                <w:lang w:val="en-US" w:eastAsia="zh-CN"/>
              </w:rPr>
              <w:t>15</w:t>
            </w:r>
            <w:r>
              <w:rPr>
                <w:rFonts w:hint="eastAsia" w:ascii="宋体" w:hAnsi="宋体" w:eastAsia="宋体" w:cs="宋体"/>
                <w:color w:val="000000"/>
                <w:sz w:val="21"/>
                <w:szCs w:val="21"/>
              </w:rPr>
              <w:t>分）</w:t>
            </w:r>
          </w:p>
        </w:tc>
        <w:tc>
          <w:tcPr>
            <w:tcW w:w="6990" w:type="dxa"/>
            <w:noWrap w:val="0"/>
            <w:vAlign w:val="center"/>
          </w:tcPr>
          <w:p w14:paraId="3E2FB8C7">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自2021年</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月</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日以来（以合同签订时间为准），投标人在中华人民共和国境内（不含港澳台）具备污水处理工程的在线监测设备运维服务业绩的，每个得</w:t>
            </w:r>
            <w:r>
              <w:rPr>
                <w:rFonts w:hint="default" w:ascii="宋体" w:hAnsi="宋体" w:eastAsia="宋体" w:cs="宋体"/>
                <w:sz w:val="21"/>
                <w:szCs w:val="21"/>
                <w:lang w:val="en-US" w:eastAsia="zh-CN"/>
              </w:rPr>
              <w:t>3</w:t>
            </w:r>
            <w:r>
              <w:rPr>
                <w:rFonts w:hint="eastAsia" w:ascii="宋体" w:hAnsi="宋体" w:eastAsia="宋体" w:cs="宋体"/>
                <w:sz w:val="21"/>
                <w:szCs w:val="21"/>
                <w:lang w:val="en-US" w:eastAsia="zh-CN"/>
              </w:rPr>
              <w:t>分，满分</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5分。注：上述要求的业绩须为已完成的业绩，投标文件中须同时提供证明材料：（</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）业绩合同扫描件；（</w:t>
            </w: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上述材料未能明确反映评审因素的（如合同签订时间、服务内容等），评标委员会不予认可。（3）同一合同仅计分一次。为同一个污水处理工程提供在线监测设备运维服务的，只认可为一个业绩，不重复计分。</w:t>
            </w:r>
          </w:p>
          <w:p w14:paraId="4DEF646B">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rPr>
              <w:t>运营维护合同</w:t>
            </w:r>
            <w:r>
              <w:rPr>
                <w:rFonts w:hint="eastAsia" w:ascii="宋体" w:hAnsi="宋体" w:eastAsia="宋体" w:cs="宋体"/>
                <w:sz w:val="21"/>
                <w:szCs w:val="21"/>
                <w:lang w:val="en-US" w:eastAsia="zh-CN"/>
              </w:rPr>
              <w:t>提供复印件并</w:t>
            </w:r>
            <w:r>
              <w:rPr>
                <w:rFonts w:hint="eastAsia" w:ascii="宋体" w:hAnsi="宋体" w:eastAsia="宋体" w:cs="宋体"/>
                <w:sz w:val="21"/>
                <w:szCs w:val="21"/>
              </w:rPr>
              <w:t>加盖公章，原件备查</w:t>
            </w:r>
            <w:r>
              <w:rPr>
                <w:rFonts w:hint="eastAsia" w:ascii="宋体" w:hAnsi="宋体" w:eastAsia="宋体" w:cs="宋体"/>
                <w:sz w:val="21"/>
                <w:szCs w:val="21"/>
                <w:lang w:eastAsia="zh-CN"/>
              </w:rPr>
              <w:t>。</w:t>
            </w:r>
          </w:p>
        </w:tc>
      </w:tr>
      <w:tr w14:paraId="0D47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trPr>
        <w:tc>
          <w:tcPr>
            <w:tcW w:w="1110" w:type="dxa"/>
            <w:vMerge w:val="continue"/>
            <w:noWrap w:val="0"/>
            <w:vAlign w:val="center"/>
          </w:tcPr>
          <w:p w14:paraId="5E6DB164">
            <w:pPr>
              <w:spacing w:before="156" w:beforeLines="50" w:after="156" w:afterLines="50" w:line="360" w:lineRule="auto"/>
              <w:rPr>
                <w:rFonts w:hint="eastAsia" w:ascii="宋体" w:hAnsi="宋体" w:eastAsia="宋体" w:cs="宋体"/>
                <w:sz w:val="21"/>
                <w:szCs w:val="21"/>
              </w:rPr>
            </w:pPr>
          </w:p>
        </w:tc>
        <w:tc>
          <w:tcPr>
            <w:tcW w:w="510" w:type="dxa"/>
            <w:noWrap w:val="0"/>
            <w:vAlign w:val="center"/>
          </w:tcPr>
          <w:p w14:paraId="024A2470">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00" w:type="dxa"/>
            <w:noWrap w:val="0"/>
            <w:vAlign w:val="center"/>
          </w:tcPr>
          <w:p w14:paraId="51A585A4">
            <w:pPr>
              <w:spacing w:before="156" w:beforeLines="50" w:after="156" w:afterLines="50" w:line="360" w:lineRule="auto"/>
              <w:rPr>
                <w:rFonts w:hint="eastAsia" w:ascii="宋体" w:hAnsi="宋体" w:eastAsia="宋体" w:cs="宋体"/>
                <w:sz w:val="21"/>
                <w:szCs w:val="21"/>
              </w:rPr>
            </w:pPr>
          </w:p>
          <w:p w14:paraId="2D76DB0A">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运营人员综合实力</w:t>
            </w:r>
          </w:p>
          <w:p w14:paraId="47F905CA">
            <w:pPr>
              <w:spacing w:before="156" w:beforeLines="50" w:after="156" w:afterLines="50"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tc>
        <w:tc>
          <w:tcPr>
            <w:tcW w:w="6990" w:type="dxa"/>
            <w:noWrap w:val="0"/>
            <w:vAlign w:val="center"/>
          </w:tcPr>
          <w:p w14:paraId="669F9F4C">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投标人提供配备具有环境保护设施运行人员技能培训合格证书且证书中岗位为“自动监控（污废水）运行工”或“自动监控（水）运行工”的运营维护技术人员，满足3人得5分，每增加一人得1分，满分得10分。</w:t>
            </w:r>
          </w:p>
          <w:p w14:paraId="7359027B">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注：投标文件中需提供上述人员相关证书扫描件（需在有效期内）和投标人所属社保机构出具的上述人员自</w:t>
            </w:r>
            <w:r>
              <w:rPr>
                <w:rFonts w:hint="default" w:ascii="宋体" w:hAnsi="宋体" w:eastAsia="宋体" w:cs="宋体"/>
                <w:sz w:val="21"/>
                <w:szCs w:val="21"/>
                <w:lang w:val="en-US" w:eastAsia="zh-CN"/>
              </w:rPr>
              <w:t>2025</w:t>
            </w:r>
            <w:r>
              <w:rPr>
                <w:rFonts w:hint="eastAsia" w:ascii="宋体" w:hAnsi="宋体" w:eastAsia="宋体" w:cs="宋体"/>
                <w:sz w:val="21"/>
                <w:szCs w:val="21"/>
                <w:lang w:val="en-US" w:eastAsia="zh-CN"/>
              </w:rPr>
              <w:t>年</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月</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日以来任意连续</w:t>
            </w:r>
            <w:r>
              <w:rPr>
                <w:rFonts w:hint="default" w:ascii="宋体" w:hAnsi="宋体" w:eastAsia="宋体" w:cs="宋体"/>
                <w:sz w:val="21"/>
                <w:szCs w:val="21"/>
                <w:lang w:val="en-US" w:eastAsia="zh-CN"/>
              </w:rPr>
              <w:t>6</w:t>
            </w:r>
            <w:r>
              <w:rPr>
                <w:rFonts w:hint="eastAsia" w:ascii="宋体" w:hAnsi="宋体" w:eastAsia="宋体" w:cs="宋体"/>
                <w:sz w:val="21"/>
                <w:szCs w:val="21"/>
                <w:lang w:val="en-US" w:eastAsia="zh-CN"/>
              </w:rPr>
              <w:t>个月的社保缴费证明（或其他能够证明上述人员参加社保的有效证明）材料，上述人员的社保缴纳单位应当是投标人或者投标人不具备独立法人资格的分支机构。（社保缴费证明或社保的有效证明材料至少含养老保险）</w:t>
            </w:r>
          </w:p>
        </w:tc>
      </w:tr>
      <w:tr w14:paraId="2171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trPr>
        <w:tc>
          <w:tcPr>
            <w:tcW w:w="1110" w:type="dxa"/>
            <w:vMerge w:val="continue"/>
            <w:noWrap w:val="0"/>
            <w:vAlign w:val="center"/>
          </w:tcPr>
          <w:p w14:paraId="6ADA38FD">
            <w:pPr>
              <w:spacing w:before="156" w:beforeLines="50" w:after="156" w:afterLines="50" w:line="360" w:lineRule="auto"/>
              <w:rPr>
                <w:rFonts w:hint="eastAsia" w:ascii="宋体" w:hAnsi="宋体" w:eastAsia="宋体" w:cs="宋体"/>
                <w:sz w:val="21"/>
                <w:szCs w:val="21"/>
              </w:rPr>
            </w:pPr>
          </w:p>
        </w:tc>
        <w:tc>
          <w:tcPr>
            <w:tcW w:w="510" w:type="dxa"/>
            <w:noWrap w:val="0"/>
            <w:vAlign w:val="center"/>
          </w:tcPr>
          <w:p w14:paraId="2679E371">
            <w:pPr>
              <w:spacing w:before="156" w:beforeLines="50" w:after="156" w:afterLines="50"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200" w:type="dxa"/>
            <w:noWrap w:val="0"/>
            <w:vAlign w:val="center"/>
          </w:tcPr>
          <w:p w14:paraId="7CE914B6">
            <w:pPr>
              <w:spacing w:before="156" w:beforeLines="50" w:after="156" w:afterLines="50" w:line="360" w:lineRule="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车辆保障</w:t>
            </w:r>
          </w:p>
          <w:p w14:paraId="4CE4DE25">
            <w:pPr>
              <w:spacing w:before="156" w:beforeLines="50" w:after="156" w:afterLines="50" w:line="360" w:lineRule="auto"/>
              <w:rPr>
                <w:rFonts w:hint="default"/>
                <w:sz w:val="21"/>
                <w:szCs w:val="21"/>
                <w:lang w:val="en-US" w:eastAsia="zh-CN"/>
              </w:rPr>
            </w:pPr>
            <w:r>
              <w:rPr>
                <w:rFonts w:hint="eastAsia" w:ascii="宋体" w:hAnsi="宋体" w:eastAsia="宋体" w:cs="宋体"/>
                <w:color w:val="000000"/>
                <w:sz w:val="21"/>
                <w:szCs w:val="21"/>
                <w:lang w:val="en-US" w:eastAsia="zh-CN"/>
              </w:rPr>
              <w:t>（10分）</w:t>
            </w:r>
          </w:p>
        </w:tc>
        <w:tc>
          <w:tcPr>
            <w:tcW w:w="6990" w:type="dxa"/>
            <w:noWrap w:val="0"/>
            <w:vAlign w:val="center"/>
          </w:tcPr>
          <w:p w14:paraId="155C4F5D">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投标人提供可供项目使用运维车辆，满足3辆得5分，每多提供</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 xml:space="preserve">台车辆加1分；本项满分10分。 </w:t>
            </w:r>
          </w:p>
          <w:p w14:paraId="3928A2D3">
            <w:pPr>
              <w:spacing w:before="156" w:beforeLines="50" w:after="156" w:afterLines="50" w:line="360" w:lineRule="auto"/>
              <w:rPr>
                <w:rFonts w:hint="eastAsia" w:ascii="宋体" w:hAnsi="宋体" w:eastAsia="宋体" w:cs="宋体"/>
                <w:sz w:val="21"/>
                <w:szCs w:val="21"/>
              </w:rPr>
            </w:pPr>
            <w:r>
              <w:rPr>
                <w:rFonts w:hint="eastAsia" w:ascii="宋体" w:hAnsi="宋体" w:eastAsia="宋体" w:cs="宋体"/>
                <w:sz w:val="21"/>
                <w:szCs w:val="21"/>
                <w:lang w:val="en-US" w:eastAsia="zh-CN"/>
              </w:rPr>
              <w:t>注：每辆运维服务车的照片、行驶证、车辆产权证明（归属投标人）、有效期内的车辆年审证明，无法提供车辆产权证明的须提供车辆租赁证明（提供租赁合同），保证服务响应时间；否则不得分。</w:t>
            </w:r>
          </w:p>
        </w:tc>
      </w:tr>
      <w:tr w14:paraId="1A9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trPr>
        <w:tc>
          <w:tcPr>
            <w:tcW w:w="1110" w:type="dxa"/>
            <w:vMerge w:val="continue"/>
            <w:noWrap w:val="0"/>
            <w:vAlign w:val="center"/>
          </w:tcPr>
          <w:p w14:paraId="3B2B2DA9">
            <w:pPr>
              <w:spacing w:before="156" w:beforeLines="50" w:after="156" w:afterLines="50" w:line="360" w:lineRule="auto"/>
              <w:rPr>
                <w:rFonts w:hint="eastAsia" w:ascii="宋体" w:hAnsi="宋体" w:eastAsia="宋体" w:cs="宋体"/>
                <w:sz w:val="24"/>
                <w:szCs w:val="24"/>
              </w:rPr>
            </w:pPr>
          </w:p>
        </w:tc>
        <w:tc>
          <w:tcPr>
            <w:tcW w:w="510" w:type="dxa"/>
            <w:noWrap w:val="0"/>
            <w:vAlign w:val="center"/>
          </w:tcPr>
          <w:p w14:paraId="227703FD">
            <w:pPr>
              <w:spacing w:before="156" w:beforeLines="50" w:after="156" w:afterLines="50"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200" w:type="dxa"/>
            <w:noWrap w:val="0"/>
            <w:vAlign w:val="center"/>
          </w:tcPr>
          <w:p w14:paraId="13A42A3E">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投标人运维能力</w:t>
            </w:r>
          </w:p>
          <w:p w14:paraId="60811174">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（7分）</w:t>
            </w:r>
          </w:p>
        </w:tc>
        <w:tc>
          <w:tcPr>
            <w:tcW w:w="6990" w:type="dxa"/>
            <w:noWrap w:val="0"/>
            <w:vAlign w:val="center"/>
          </w:tcPr>
          <w:p w14:paraId="1AA43B1A">
            <w:pPr>
              <w:spacing w:before="156" w:beforeLines="50" w:after="156" w:afterLines="50"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能提供水质在线自动监测仪（或水质在线自动分析仪）备用设备，</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套备用设备</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一套指</w:t>
            </w:r>
            <w:r>
              <w:rPr>
                <w:rFonts w:hint="default" w:ascii="宋体" w:hAnsi="宋体" w:eastAsia="宋体" w:cs="宋体"/>
                <w:sz w:val="21"/>
                <w:szCs w:val="21"/>
                <w:lang w:val="en-US" w:eastAsia="zh-CN"/>
              </w:rPr>
              <w:t>COD</w:t>
            </w:r>
            <w:r>
              <w:rPr>
                <w:rFonts w:hint="eastAsia" w:ascii="宋体" w:hAnsi="宋体" w:eastAsia="宋体" w:cs="宋体"/>
                <w:sz w:val="21"/>
                <w:szCs w:val="21"/>
                <w:lang w:val="en-US" w:eastAsia="zh-CN"/>
              </w:rPr>
              <w:t>、氨氮、总磷、总氮四台备用仪器</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得5分，2套得7分，满分7分。明确备用机套数，提供现状照片、存放位置等资料，实物备用机备查。</w:t>
            </w:r>
          </w:p>
          <w:p w14:paraId="1C0F0F48">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注：如为投标人采购，投标文件中须提供设备采购发票扫描件；如投标人为生产制造商，投标文件中须提供有</w:t>
            </w:r>
            <w:r>
              <w:rPr>
                <w:rFonts w:hint="default" w:ascii="宋体" w:hAnsi="宋体" w:eastAsia="宋体" w:cs="宋体"/>
                <w:sz w:val="21"/>
                <w:szCs w:val="21"/>
                <w:lang w:val="en-US" w:eastAsia="zh-CN"/>
              </w:rPr>
              <w:t>CMA</w:t>
            </w:r>
            <w:r>
              <w:rPr>
                <w:rFonts w:hint="eastAsia" w:ascii="宋体" w:hAnsi="宋体" w:eastAsia="宋体" w:cs="宋体"/>
                <w:sz w:val="21"/>
                <w:szCs w:val="21"/>
                <w:lang w:val="en-US" w:eastAsia="zh-CN"/>
              </w:rPr>
              <w:t xml:space="preserve">标识的检测报告。 </w:t>
            </w:r>
          </w:p>
        </w:tc>
      </w:tr>
      <w:tr w14:paraId="7B8D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1110" w:type="dxa"/>
            <w:vMerge w:val="continue"/>
            <w:noWrap w:val="0"/>
            <w:vAlign w:val="center"/>
          </w:tcPr>
          <w:p w14:paraId="2F7E53C8">
            <w:pPr>
              <w:spacing w:before="156" w:beforeLines="50" w:after="156" w:afterLines="50" w:line="360" w:lineRule="auto"/>
              <w:rPr>
                <w:rFonts w:hint="eastAsia" w:ascii="宋体" w:hAnsi="宋体" w:eastAsia="宋体" w:cs="宋体"/>
                <w:sz w:val="24"/>
                <w:szCs w:val="24"/>
              </w:rPr>
            </w:pPr>
          </w:p>
        </w:tc>
        <w:tc>
          <w:tcPr>
            <w:tcW w:w="510" w:type="dxa"/>
            <w:noWrap w:val="0"/>
            <w:vAlign w:val="center"/>
          </w:tcPr>
          <w:p w14:paraId="2FACA860">
            <w:pPr>
              <w:spacing w:before="156" w:beforeLines="50" w:after="156" w:afterLines="50"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200" w:type="dxa"/>
            <w:noWrap w:val="0"/>
            <w:vAlign w:val="center"/>
          </w:tcPr>
          <w:p w14:paraId="73C4CB7E">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投标人资信</w:t>
            </w:r>
          </w:p>
          <w:p w14:paraId="06A16ECD">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（8分）</w:t>
            </w:r>
          </w:p>
        </w:tc>
        <w:tc>
          <w:tcPr>
            <w:tcW w:w="6990" w:type="dxa"/>
            <w:noWrap w:val="0"/>
            <w:vAlign w:val="center"/>
          </w:tcPr>
          <w:p w14:paraId="5FDF4DFD">
            <w:pPr>
              <w:spacing w:before="156" w:beforeLines="50" w:after="156" w:afterLines="50"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具有中国环境服务认证证书二级以上证书（包含二级），其中服务项目为水污染源在线监测系统运营服务，且服务项目至少同时包含化学需氧量、氨氮、总磷、总氮，得8分，缺一项不得分，本项最多得8分。注：投标文件中同时提供下列证明材料：（</w:t>
            </w:r>
            <w:r>
              <w:rPr>
                <w:rFonts w:hint="default" w:ascii="宋体" w:hAnsi="宋体" w:eastAsia="宋体" w:cs="宋体"/>
                <w:sz w:val="21"/>
                <w:szCs w:val="21"/>
                <w:lang w:val="en-US" w:eastAsia="zh-CN"/>
              </w:rPr>
              <w:t>1</w:t>
            </w:r>
            <w:r>
              <w:rPr>
                <w:rFonts w:hint="eastAsia" w:ascii="宋体" w:hAnsi="宋体" w:eastAsia="宋体" w:cs="宋体"/>
                <w:sz w:val="21"/>
                <w:szCs w:val="21"/>
                <w:lang w:val="en-US" w:eastAsia="zh-CN"/>
              </w:rPr>
              <w:t>）相关证书扫描件；（</w:t>
            </w: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）发证单位官方网站查询截图。</w:t>
            </w:r>
          </w:p>
        </w:tc>
      </w:tr>
    </w:tbl>
    <w:p w14:paraId="75D4C680">
      <w:pPr>
        <w:rPr>
          <w:rFonts w:hint="eastAsia"/>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2F837F3B"/>
    <w:rsid w:val="326170B4"/>
    <w:rsid w:val="3401034F"/>
    <w:rsid w:val="365F5108"/>
    <w:rsid w:val="38451629"/>
    <w:rsid w:val="39202096"/>
    <w:rsid w:val="3956631D"/>
    <w:rsid w:val="3977637C"/>
    <w:rsid w:val="39A323C9"/>
    <w:rsid w:val="3D0656AD"/>
    <w:rsid w:val="3D995F73"/>
    <w:rsid w:val="3DD40ACC"/>
    <w:rsid w:val="3E7A3FF6"/>
    <w:rsid w:val="3F7C42B6"/>
    <w:rsid w:val="402B37FA"/>
    <w:rsid w:val="40821E95"/>
    <w:rsid w:val="417A40B0"/>
    <w:rsid w:val="42331D89"/>
    <w:rsid w:val="425A3632"/>
    <w:rsid w:val="425C413F"/>
    <w:rsid w:val="42654155"/>
    <w:rsid w:val="44AD421E"/>
    <w:rsid w:val="475C491A"/>
    <w:rsid w:val="49521D16"/>
    <w:rsid w:val="4A180A44"/>
    <w:rsid w:val="4A630034"/>
    <w:rsid w:val="4BFE4ACF"/>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8083587"/>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6">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7">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7"/>
    <w:basedOn w:val="1"/>
    <w:autoRedefine/>
    <w:qFormat/>
    <w:uiPriority w:val="1"/>
    <w:pPr>
      <w:ind w:left="577"/>
      <w:outlineLvl w:val="6"/>
    </w:pPr>
    <w:rPr>
      <w:rFonts w:ascii="宋体" w:hAnsi="宋体"/>
      <w:b/>
      <w:bCs/>
      <w:sz w:val="21"/>
      <w:szCs w:val="21"/>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left="420" w:leftChars="200" w:firstLine="420" w:firstLineChars="200"/>
    </w:pPr>
  </w:style>
  <w:style w:type="paragraph" w:styleId="3">
    <w:name w:val="Body Text Indent"/>
    <w:basedOn w:val="1"/>
    <w:next w:val="4"/>
    <w:autoRedefine/>
    <w:qFormat/>
    <w:uiPriority w:val="0"/>
    <w:pPr>
      <w:ind w:firstLine="645"/>
    </w:pPr>
    <w:rPr>
      <w:rFonts w:ascii="楷体_GB2312" w:eastAsia="楷体_GB2312"/>
      <w:kern w:val="2"/>
      <w:sz w:val="32"/>
    </w:rPr>
  </w:style>
  <w:style w:type="paragraph" w:styleId="4">
    <w:name w:val="envelope return"/>
    <w:basedOn w:val="1"/>
    <w:qFormat/>
    <w:uiPriority w:val="0"/>
    <w:pPr>
      <w:snapToGrid w:val="0"/>
    </w:pPr>
    <w:rPr>
      <w:rFonts w:ascii="Arial" w:hAnsi="Arial" w:cs="Arial"/>
      <w:szCs w:val="24"/>
    </w:rPr>
  </w:style>
  <w:style w:type="paragraph" w:styleId="9">
    <w:name w:val="annotation text"/>
    <w:basedOn w:val="1"/>
    <w:link w:val="29"/>
    <w:autoRedefine/>
    <w:semiHidden/>
    <w:unhideWhenUsed/>
    <w:qFormat/>
    <w:uiPriority w:val="99"/>
    <w:pPr>
      <w:jc w:val="left"/>
    </w:pPr>
  </w:style>
  <w:style w:type="paragraph" w:styleId="10">
    <w:name w:val="Body Text"/>
    <w:basedOn w:val="1"/>
    <w:autoRedefine/>
    <w:qFormat/>
    <w:uiPriority w:val="1"/>
    <w:pPr>
      <w:ind w:left="140"/>
    </w:pPr>
    <w:rPr>
      <w:rFonts w:ascii="宋体" w:hAnsi="宋体"/>
      <w:sz w:val="21"/>
      <w:szCs w:val="21"/>
    </w:rPr>
  </w:style>
  <w:style w:type="paragraph" w:styleId="11">
    <w:name w:val="Plain Text"/>
    <w:basedOn w:val="1"/>
    <w:autoRedefine/>
    <w:qFormat/>
    <w:uiPriority w:val="0"/>
    <w:rPr>
      <w:rFonts w:hAnsi="Courier New"/>
      <w:kern w:val="2"/>
      <w:sz w:val="21"/>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27"/>
    <w:autoRedefine/>
    <w:unhideWhenUsed/>
    <w:qFormat/>
    <w:uiPriority w:val="99"/>
    <w:pPr>
      <w:tabs>
        <w:tab w:val="center" w:pos="4153"/>
        <w:tab w:val="right" w:pos="8306"/>
      </w:tabs>
      <w:snapToGrid w:val="0"/>
      <w:jc w:val="left"/>
    </w:pPr>
    <w:rPr>
      <w:sz w:val="18"/>
      <w:szCs w:val="18"/>
    </w:rPr>
  </w:style>
  <w:style w:type="paragraph" w:styleId="14">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9"/>
    <w:next w:val="9"/>
    <w:link w:val="30"/>
    <w:autoRedefine/>
    <w:semiHidden/>
    <w:unhideWhenUsed/>
    <w:qFormat/>
    <w:uiPriority w:val="99"/>
    <w:rPr>
      <w:b/>
      <w:bCs/>
    </w:rPr>
  </w:style>
  <w:style w:type="table" w:styleId="20">
    <w:name w:val="Table Grid"/>
    <w:basedOn w:val="19"/>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autoRedefine/>
    <w:qFormat/>
    <w:uiPriority w:val="22"/>
    <w:rPr>
      <w:b/>
    </w:rPr>
  </w:style>
  <w:style w:type="character" w:styleId="23">
    <w:name w:val="page number"/>
    <w:basedOn w:val="21"/>
    <w:autoRedefine/>
    <w:qFormat/>
    <w:uiPriority w:val="0"/>
  </w:style>
  <w:style w:type="character" w:styleId="24">
    <w:name w:val="annotation reference"/>
    <w:basedOn w:val="21"/>
    <w:autoRedefine/>
    <w:semiHidden/>
    <w:unhideWhenUsed/>
    <w:qFormat/>
    <w:uiPriority w:val="99"/>
    <w:rPr>
      <w:sz w:val="21"/>
      <w:szCs w:val="21"/>
    </w:rPr>
  </w:style>
  <w:style w:type="paragraph" w:customStyle="1" w:styleId="25">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6">
    <w:name w:val="页眉 Char"/>
    <w:basedOn w:val="21"/>
    <w:link w:val="14"/>
    <w:autoRedefine/>
    <w:qFormat/>
    <w:uiPriority w:val="99"/>
    <w:rPr>
      <w:sz w:val="18"/>
      <w:szCs w:val="18"/>
    </w:rPr>
  </w:style>
  <w:style w:type="character" w:customStyle="1" w:styleId="27">
    <w:name w:val="页脚 Char"/>
    <w:basedOn w:val="21"/>
    <w:link w:val="13"/>
    <w:autoRedefine/>
    <w:qFormat/>
    <w:uiPriority w:val="99"/>
    <w:rPr>
      <w:sz w:val="18"/>
      <w:szCs w:val="18"/>
    </w:rPr>
  </w:style>
  <w:style w:type="paragraph" w:customStyle="1" w:styleId="28">
    <w:name w:val="Char Char Char Char Char Char Char Char Char Char"/>
    <w:basedOn w:val="1"/>
    <w:autoRedefine/>
    <w:qFormat/>
    <w:uiPriority w:val="0"/>
    <w:rPr>
      <w:rFonts w:ascii="Tahoma" w:hAnsi="Tahoma" w:eastAsia="宋体" w:cs="仿宋_GB2312"/>
      <w:sz w:val="24"/>
      <w:szCs w:val="20"/>
    </w:rPr>
  </w:style>
  <w:style w:type="character" w:customStyle="1" w:styleId="29">
    <w:name w:val="批注文字 Char"/>
    <w:basedOn w:val="21"/>
    <w:link w:val="9"/>
    <w:autoRedefine/>
    <w:semiHidden/>
    <w:qFormat/>
    <w:uiPriority w:val="99"/>
  </w:style>
  <w:style w:type="character" w:customStyle="1" w:styleId="30">
    <w:name w:val="批注主题 Char"/>
    <w:basedOn w:val="29"/>
    <w:link w:val="18"/>
    <w:autoRedefine/>
    <w:semiHidden/>
    <w:qFormat/>
    <w:uiPriority w:val="99"/>
    <w:rPr>
      <w:b/>
      <w:bCs/>
    </w:rPr>
  </w:style>
  <w:style w:type="character" w:customStyle="1" w:styleId="31">
    <w:name w:val="批注框文本 Char"/>
    <w:basedOn w:val="21"/>
    <w:link w:val="12"/>
    <w:autoRedefine/>
    <w:semiHidden/>
    <w:qFormat/>
    <w:uiPriority w:val="99"/>
    <w:rPr>
      <w:sz w:val="18"/>
      <w:szCs w:val="18"/>
    </w:rPr>
  </w:style>
  <w:style w:type="paragraph" w:styleId="32">
    <w:name w:val="List Paragraph"/>
    <w:basedOn w:val="1"/>
    <w:autoRedefine/>
    <w:unhideWhenUsed/>
    <w:qFormat/>
    <w:uiPriority w:val="99"/>
    <w:pPr>
      <w:ind w:firstLine="420" w:firstLineChars="200"/>
    </w:pPr>
  </w:style>
  <w:style w:type="paragraph" w:customStyle="1" w:styleId="33">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4">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5">
    <w:name w:val="Char Char Char Char Char Char Char1 Char"/>
    <w:basedOn w:val="1"/>
    <w:autoRedefine/>
    <w:qFormat/>
    <w:uiPriority w:val="0"/>
    <w:rPr>
      <w:rFonts w:ascii="Tahoma" w:hAnsi="Tahoma"/>
      <w:sz w:val="24"/>
    </w:rPr>
  </w:style>
  <w:style w:type="character" w:customStyle="1" w:styleId="36">
    <w:name w:val="font21"/>
    <w:basedOn w:val="21"/>
    <w:autoRedefine/>
    <w:qFormat/>
    <w:uiPriority w:val="0"/>
    <w:rPr>
      <w:rFonts w:hint="eastAsia" w:ascii="宋体" w:hAnsi="宋体" w:eastAsia="宋体" w:cs="宋体"/>
      <w:b/>
      <w:bCs/>
      <w:color w:val="000000"/>
      <w:sz w:val="40"/>
      <w:szCs w:val="40"/>
      <w:u w:val="none"/>
    </w:rPr>
  </w:style>
  <w:style w:type="character" w:customStyle="1" w:styleId="37">
    <w:name w:val="font71"/>
    <w:basedOn w:val="21"/>
    <w:autoRedefine/>
    <w:qFormat/>
    <w:uiPriority w:val="0"/>
    <w:rPr>
      <w:rFonts w:hint="eastAsia" w:ascii="宋体" w:hAnsi="宋体" w:eastAsia="宋体" w:cs="宋体"/>
      <w:b/>
      <w:bCs/>
      <w:color w:val="000000"/>
      <w:sz w:val="40"/>
      <w:szCs w:val="40"/>
      <w:u w:val="single"/>
    </w:rPr>
  </w:style>
  <w:style w:type="character" w:customStyle="1" w:styleId="38">
    <w:name w:val="font91"/>
    <w:basedOn w:val="21"/>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39">
    <w:name w:val="font111"/>
    <w:basedOn w:val="21"/>
    <w:autoRedefine/>
    <w:qFormat/>
    <w:uiPriority w:val="0"/>
    <w:rPr>
      <w:rFonts w:hint="eastAsia" w:ascii="宋体" w:hAnsi="宋体" w:eastAsia="宋体" w:cs="宋体"/>
      <w:color w:val="000000"/>
      <w:sz w:val="40"/>
      <w:szCs w:val="40"/>
      <w:u w:val="single"/>
    </w:rPr>
  </w:style>
  <w:style w:type="character" w:customStyle="1" w:styleId="40">
    <w:name w:val="font141"/>
    <w:basedOn w:val="21"/>
    <w:autoRedefine/>
    <w:qFormat/>
    <w:uiPriority w:val="0"/>
    <w:rPr>
      <w:rFonts w:hint="eastAsia" w:ascii="宋体" w:hAnsi="宋体" w:eastAsia="宋体" w:cs="宋体"/>
      <w:color w:val="000000"/>
      <w:sz w:val="20"/>
      <w:szCs w:val="20"/>
      <w:u w:val="single"/>
    </w:rPr>
  </w:style>
  <w:style w:type="character" w:customStyle="1" w:styleId="41">
    <w:name w:val="font151"/>
    <w:basedOn w:val="21"/>
    <w:autoRedefine/>
    <w:qFormat/>
    <w:uiPriority w:val="0"/>
    <w:rPr>
      <w:rFonts w:hint="eastAsia" w:ascii="宋体" w:hAnsi="宋体" w:eastAsia="宋体" w:cs="宋体"/>
      <w:color w:val="000000"/>
      <w:sz w:val="20"/>
      <w:szCs w:val="20"/>
      <w:u w:val="single"/>
    </w:rPr>
  </w:style>
  <w:style w:type="paragraph" w:customStyle="1" w:styleId="42">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3">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17</Pages>
  <Words>2133</Words>
  <Characters>2157</Characters>
  <Lines>5</Lines>
  <Paragraphs>1</Paragraphs>
  <TotalTime>9</TotalTime>
  <ScaleCrop>false</ScaleCrop>
  <LinksUpToDate>false</LinksUpToDate>
  <CharactersWithSpaces>2357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2026-08-06T01:37:33Z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