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2"/>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6"/>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20"/>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3"/>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6631"/>
      <w:bookmarkStart w:id="2" w:name="_Toc461053086"/>
      <w:bookmarkStart w:id="3" w:name="_Toc2774249"/>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050347F9">
            <w:pPr>
              <w:snapToGrid w:val="0"/>
              <w:spacing w:line="360" w:lineRule="auto"/>
              <w:ind w:firstLine="826" w:firstLineChars="392"/>
              <w:rPr>
                <w:rFonts w:hint="default" w:hAnsi="宋体"/>
                <w:b/>
                <w:color w:val="000000"/>
                <w:highlight w:val="yellow"/>
                <w:u w:val="single"/>
                <w:lang w:val="en-US" w:eastAsia="zh-CN"/>
              </w:rPr>
            </w:pPr>
            <w:r>
              <w:rPr>
                <w:rFonts w:hint="eastAsia" w:hAnsi="宋体"/>
                <w:b/>
                <w:color w:val="000000"/>
                <w:highlight w:val="yellow"/>
                <w:u w:val="single"/>
                <w:lang w:val="en-US" w:eastAsia="zh-CN"/>
              </w:rPr>
              <w:t>金额          元</w:t>
            </w: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Ansi="宋体"/>
                <w:b/>
                <w:color w:val="000000"/>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19"/>
        <w:ind w:left="438" w:firstLine="600"/>
        <w:rPr>
          <w:rFonts w:hAnsi="宋体"/>
          <w:b/>
          <w:bCs/>
          <w:color w:val="000000"/>
          <w:szCs w:val="28"/>
        </w:rPr>
      </w:pPr>
    </w:p>
    <w:p w14:paraId="71CF0248">
      <w:pPr>
        <w:pStyle w:val="19"/>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9"/>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11"/>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11"/>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11"/>
        <w:snapToGrid w:val="0"/>
        <w:spacing w:line="360" w:lineRule="auto"/>
        <w:ind w:firstLine="480" w:firstLineChars="200"/>
        <w:jc w:val="left"/>
        <w:rPr>
          <w:rFonts w:hAnsi="宋体"/>
          <w:color w:val="000000"/>
          <w:sz w:val="24"/>
        </w:rPr>
      </w:pPr>
    </w:p>
    <w:p w14:paraId="5C543F25">
      <w:pPr>
        <w:pStyle w:val="11"/>
        <w:snapToGrid w:val="0"/>
        <w:spacing w:line="360" w:lineRule="auto"/>
        <w:ind w:firstLine="480" w:firstLineChars="200"/>
        <w:jc w:val="left"/>
        <w:rPr>
          <w:rFonts w:hAnsi="宋体"/>
          <w:color w:val="000000"/>
          <w:sz w:val="24"/>
        </w:rPr>
      </w:pPr>
    </w:p>
    <w:p w14:paraId="6BD64A3D">
      <w:pPr>
        <w:pStyle w:val="11"/>
        <w:snapToGrid w:val="0"/>
        <w:spacing w:line="360" w:lineRule="auto"/>
        <w:ind w:firstLine="480" w:firstLineChars="200"/>
        <w:jc w:val="left"/>
        <w:rPr>
          <w:rFonts w:hAnsi="宋体"/>
          <w:color w:val="000000"/>
          <w:sz w:val="24"/>
        </w:rPr>
      </w:pPr>
    </w:p>
    <w:p w14:paraId="3A2F8966">
      <w:pPr>
        <w:pStyle w:val="11"/>
        <w:snapToGrid w:val="0"/>
        <w:spacing w:line="360" w:lineRule="auto"/>
        <w:ind w:firstLine="480" w:firstLineChars="200"/>
        <w:jc w:val="left"/>
        <w:rPr>
          <w:rFonts w:hAnsi="宋体"/>
          <w:color w:val="000000"/>
          <w:sz w:val="24"/>
        </w:rPr>
      </w:pPr>
    </w:p>
    <w:p w14:paraId="4BE2B662">
      <w:pPr>
        <w:pStyle w:val="11"/>
        <w:snapToGrid w:val="0"/>
        <w:spacing w:line="360" w:lineRule="auto"/>
        <w:ind w:firstLine="480" w:firstLineChars="200"/>
        <w:jc w:val="left"/>
        <w:rPr>
          <w:rFonts w:hAnsi="宋体"/>
          <w:color w:val="000000"/>
          <w:sz w:val="24"/>
        </w:rPr>
      </w:pPr>
    </w:p>
    <w:p w14:paraId="7AA63C25">
      <w:pPr>
        <w:pStyle w:val="11"/>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11"/>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11"/>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p w14:paraId="1C2728A5">
      <w:pPr>
        <w:jc w:val="center"/>
        <w:rPr>
          <w:rFonts w:hint="eastAsia" w:hAnsi="宋体"/>
          <w:b/>
          <w:color w:val="000000"/>
          <w:sz w:val="32"/>
          <w:szCs w:val="32"/>
          <w:lang w:val="en-US" w:eastAsia="zh-CN"/>
        </w:rPr>
      </w:pPr>
      <w:bookmarkStart w:id="9" w:name="_GoBack"/>
      <w:bookmarkEnd w:id="9"/>
    </w:p>
    <w:bookmarkEnd w:id="8"/>
    <w:tbl>
      <w:tblPr>
        <w:tblStyle w:val="20"/>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9"/>
        <w:gridCol w:w="7349"/>
      </w:tblGrid>
      <w:tr w14:paraId="665C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18" w:type="pct"/>
            <w:noWrap w:val="0"/>
            <w:vAlign w:val="center"/>
          </w:tcPr>
          <w:p w14:paraId="4FF9F9CF">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项目名称</w:t>
            </w:r>
          </w:p>
        </w:tc>
        <w:tc>
          <w:tcPr>
            <w:tcW w:w="3981" w:type="pct"/>
            <w:noWrap w:val="0"/>
            <w:vAlign w:val="center"/>
          </w:tcPr>
          <w:p w14:paraId="3FAB48C4">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1126项目施工生活配套区初步设计服务</w:t>
            </w:r>
          </w:p>
        </w:tc>
      </w:tr>
      <w:tr w14:paraId="246F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18" w:type="pct"/>
            <w:noWrap w:val="0"/>
            <w:vAlign w:val="center"/>
          </w:tcPr>
          <w:p w14:paraId="49F7A7B5">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项目预算</w:t>
            </w:r>
          </w:p>
        </w:tc>
        <w:tc>
          <w:tcPr>
            <w:tcW w:w="3981" w:type="pct"/>
            <w:noWrap w:val="0"/>
            <w:vAlign w:val="center"/>
          </w:tcPr>
          <w:p w14:paraId="5E9D9F69">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8万</w:t>
            </w:r>
          </w:p>
        </w:tc>
      </w:tr>
      <w:tr w14:paraId="2426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18" w:type="pct"/>
            <w:noWrap w:val="0"/>
            <w:vAlign w:val="center"/>
          </w:tcPr>
          <w:p w14:paraId="6029117C">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项目概况</w:t>
            </w:r>
          </w:p>
        </w:tc>
        <w:tc>
          <w:tcPr>
            <w:tcW w:w="3981" w:type="pct"/>
            <w:noWrap w:val="0"/>
            <w:vAlign w:val="center"/>
          </w:tcPr>
          <w:p w14:paraId="222EFD8C">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1、1126项目施工生活配套区，项目位于合肥市经开区北区新桥大道以东、合六叶高速以南，占地面积约89.6亩，主要为1126项目施工生活配套区建设，工程建设投资约600万元。</w:t>
            </w:r>
          </w:p>
          <w:p w14:paraId="06705D61">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2、中标人为上述项目进行勘察、初步设计及概算编制等工作。</w:t>
            </w:r>
          </w:p>
        </w:tc>
      </w:tr>
      <w:tr w14:paraId="0D3C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pct"/>
            <w:vMerge w:val="restart"/>
            <w:noWrap w:val="0"/>
            <w:vAlign w:val="center"/>
          </w:tcPr>
          <w:p w14:paraId="4C698FCB">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项目是否分包</w:t>
            </w:r>
          </w:p>
          <w:p w14:paraId="1B36B2DC">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分包预算</w:t>
            </w:r>
          </w:p>
        </w:tc>
        <w:tc>
          <w:tcPr>
            <w:tcW w:w="3981" w:type="pct"/>
            <w:noWrap w:val="0"/>
            <w:vAlign w:val="center"/>
          </w:tcPr>
          <w:p w14:paraId="61A33C71">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 xml:space="preserve">不分包 </w:t>
            </w:r>
          </w:p>
        </w:tc>
      </w:tr>
      <w:tr w14:paraId="1996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18" w:type="pct"/>
            <w:vMerge w:val="continue"/>
            <w:noWrap w:val="0"/>
            <w:vAlign w:val="center"/>
          </w:tcPr>
          <w:p w14:paraId="57F32CF5">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tc>
        <w:tc>
          <w:tcPr>
            <w:tcW w:w="3981" w:type="pct"/>
            <w:noWrap w:val="0"/>
            <w:vAlign w:val="center"/>
          </w:tcPr>
          <w:p w14:paraId="3F7C4A5E">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tc>
      </w:tr>
      <w:tr w14:paraId="04E3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5" w:hRule="atLeast"/>
          <w:jc w:val="center"/>
        </w:trPr>
        <w:tc>
          <w:tcPr>
            <w:tcW w:w="1018" w:type="pct"/>
            <w:noWrap w:val="0"/>
            <w:vAlign w:val="center"/>
          </w:tcPr>
          <w:p w14:paraId="4B864C42">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投标人</w:t>
            </w:r>
          </w:p>
          <w:p w14:paraId="53101212">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资格要求</w:t>
            </w:r>
          </w:p>
        </w:tc>
        <w:tc>
          <w:tcPr>
            <w:tcW w:w="3981" w:type="pct"/>
            <w:noWrap w:val="0"/>
            <w:vAlign w:val="center"/>
          </w:tcPr>
          <w:p w14:paraId="027B651A">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1.符合《中华人民共和国政府采购法》第二十二条规定；</w:t>
            </w:r>
          </w:p>
          <w:p w14:paraId="2C7C8A7E">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2.本项目不接受联合体投标；</w:t>
            </w:r>
          </w:p>
          <w:p w14:paraId="7C1C30A0">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3.投标人资质要求：</w:t>
            </w:r>
          </w:p>
          <w:p w14:paraId="35AFAEF3">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3.1设计资质（具备以下之一即可）</w:t>
            </w:r>
            <w:r>
              <w:rPr>
                <w:rFonts w:hint="eastAsia" w:ascii="Times New Roman" w:hAnsi="Times New Roman" w:eastAsia="宋体" w:cs="Times New Roman"/>
                <w:b w:val="0"/>
                <w:bCs w:val="0"/>
                <w:color w:val="auto"/>
                <w:sz w:val="24"/>
                <w:szCs w:val="24"/>
                <w:highlight w:val="none"/>
                <w:lang w:val="en-US" w:eastAsia="zh-CN"/>
              </w:rPr>
              <w:br w:type="textWrapping"/>
            </w:r>
            <w:r>
              <w:rPr>
                <w:rFonts w:hint="eastAsia" w:ascii="Times New Roman" w:hAnsi="Times New Roman" w:eastAsia="宋体" w:cs="Times New Roman"/>
                <w:b w:val="0"/>
                <w:bCs w:val="0"/>
                <w:color w:val="auto"/>
                <w:sz w:val="24"/>
                <w:szCs w:val="24"/>
                <w:highlight w:val="none"/>
                <w:lang w:val="en-US" w:eastAsia="zh-CN"/>
              </w:rPr>
              <w:t>1）具有工程设计综合甲级资质；</w:t>
            </w:r>
            <w:r>
              <w:rPr>
                <w:rFonts w:hint="eastAsia" w:ascii="Times New Roman" w:hAnsi="Times New Roman" w:eastAsia="宋体" w:cs="Times New Roman"/>
                <w:b w:val="0"/>
                <w:bCs w:val="0"/>
                <w:color w:val="auto"/>
                <w:sz w:val="24"/>
                <w:szCs w:val="24"/>
                <w:highlight w:val="none"/>
                <w:lang w:val="en-US" w:eastAsia="zh-CN"/>
              </w:rPr>
              <w:br w:type="textWrapping"/>
            </w:r>
            <w:r>
              <w:rPr>
                <w:rFonts w:hint="eastAsia" w:ascii="Times New Roman" w:hAnsi="Times New Roman" w:eastAsia="宋体" w:cs="Times New Roman"/>
                <w:b w:val="0"/>
                <w:bCs w:val="0"/>
                <w:color w:val="auto"/>
                <w:sz w:val="24"/>
                <w:szCs w:val="24"/>
                <w:highlight w:val="none"/>
                <w:lang w:val="en-US" w:eastAsia="zh-CN"/>
              </w:rPr>
              <w:t>2）具有建筑行业（建筑工程）乙级及以上资质；</w:t>
            </w:r>
            <w:r>
              <w:rPr>
                <w:rFonts w:hint="eastAsia" w:ascii="Times New Roman" w:hAnsi="Times New Roman" w:eastAsia="宋体" w:cs="Times New Roman"/>
                <w:b w:val="0"/>
                <w:bCs w:val="0"/>
                <w:color w:val="auto"/>
                <w:sz w:val="24"/>
                <w:szCs w:val="24"/>
                <w:highlight w:val="none"/>
                <w:lang w:val="en-US" w:eastAsia="zh-CN"/>
              </w:rPr>
              <w:br w:type="textWrapping"/>
            </w:r>
            <w:r>
              <w:rPr>
                <w:rFonts w:hint="eastAsia" w:ascii="Times New Roman" w:hAnsi="Times New Roman" w:eastAsia="宋体" w:cs="Times New Roman"/>
                <w:b w:val="0"/>
                <w:bCs w:val="0"/>
                <w:color w:val="auto"/>
                <w:sz w:val="24"/>
                <w:szCs w:val="24"/>
                <w:highlight w:val="none"/>
                <w:lang w:val="en-US" w:eastAsia="zh-CN"/>
              </w:rPr>
              <w:t>3）具有市政行业乙级及以上资质。</w:t>
            </w:r>
          </w:p>
          <w:p w14:paraId="5F410414">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3.2勘测资质（具有以下之一即可）</w:t>
            </w:r>
          </w:p>
          <w:p w14:paraId="79289795">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工程勘察专业类岩土工程（勘察）乙级及以上资质；</w:t>
            </w:r>
          </w:p>
          <w:p w14:paraId="156D689E">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2）工程勘察综合资质甲级。</w:t>
            </w:r>
          </w:p>
          <w:p w14:paraId="296F311A">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投标人业绩要求：自2021年1月1日以来，投标人须具有至少一项市政公用或房建类项目（内容含停车场设计，以合同签订时间为准）设计业绩，且单个项目设计费金额不小于8万元，需在投标文件中提供合同复印件备查。</w:t>
            </w:r>
          </w:p>
          <w:p w14:paraId="3D7F49AB">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tc>
      </w:tr>
      <w:tr w14:paraId="23F2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18" w:type="pct"/>
            <w:noWrap w:val="0"/>
            <w:vAlign w:val="center"/>
          </w:tcPr>
          <w:p w14:paraId="3D7F2AB9">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付款方式及税率</w:t>
            </w:r>
          </w:p>
        </w:tc>
        <w:tc>
          <w:tcPr>
            <w:tcW w:w="3981" w:type="pct"/>
            <w:noWrap w:val="0"/>
            <w:vAlign w:val="center"/>
          </w:tcPr>
          <w:p w14:paraId="400C4839">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中标人中标后，签订服务合同。初步设计（含概算）完成审批后支付合同总价的80%，剩余尾款待本项目设计施工一体化单位进场后，与相关方完成对接并在后续施工图完成及审图合格后支付剩余尾款（无息）。</w:t>
            </w:r>
          </w:p>
        </w:tc>
      </w:tr>
      <w:tr w14:paraId="10E2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18" w:type="pct"/>
            <w:noWrap w:val="0"/>
            <w:vAlign w:val="center"/>
          </w:tcPr>
          <w:p w14:paraId="04BE0F77">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服务地点</w:t>
            </w:r>
          </w:p>
        </w:tc>
        <w:tc>
          <w:tcPr>
            <w:tcW w:w="3981" w:type="pct"/>
            <w:noWrap w:val="0"/>
            <w:vAlign w:val="center"/>
          </w:tcPr>
          <w:p w14:paraId="71ABD68B">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经开区（北区）</w:t>
            </w:r>
          </w:p>
        </w:tc>
      </w:tr>
      <w:tr w14:paraId="7FA4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18" w:type="pct"/>
            <w:noWrap w:val="0"/>
            <w:vAlign w:val="center"/>
          </w:tcPr>
          <w:p w14:paraId="53DEC321">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服务期限、工期</w:t>
            </w:r>
          </w:p>
        </w:tc>
        <w:tc>
          <w:tcPr>
            <w:tcW w:w="3981" w:type="pct"/>
            <w:noWrap w:val="0"/>
            <w:vAlign w:val="center"/>
          </w:tcPr>
          <w:p w14:paraId="16231C9E">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1.服务期限：1年；2.自合同签订之日起7个日历天内完成初步设计与概算的出具与审批工作。</w:t>
            </w:r>
          </w:p>
        </w:tc>
      </w:tr>
      <w:tr w14:paraId="36DA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018" w:type="pct"/>
            <w:noWrap w:val="0"/>
            <w:vAlign w:val="center"/>
          </w:tcPr>
          <w:p w14:paraId="07247FD5">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履约保证金</w:t>
            </w:r>
          </w:p>
        </w:tc>
        <w:tc>
          <w:tcPr>
            <w:tcW w:w="3981" w:type="pct"/>
            <w:noWrap w:val="0"/>
            <w:vAlign w:val="center"/>
          </w:tcPr>
          <w:p w14:paraId="7A6BFDE7">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w:t>
            </w:r>
          </w:p>
        </w:tc>
      </w:tr>
      <w:tr w14:paraId="4BCD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18" w:type="pct"/>
            <w:noWrap w:val="0"/>
            <w:vAlign w:val="center"/>
          </w:tcPr>
          <w:p w14:paraId="36966CE5">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拟采用的评标办法</w:t>
            </w:r>
          </w:p>
        </w:tc>
        <w:tc>
          <w:tcPr>
            <w:tcW w:w="3981" w:type="pct"/>
            <w:noWrap w:val="0"/>
            <w:vAlign w:val="center"/>
          </w:tcPr>
          <w:p w14:paraId="774CD819">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p w14:paraId="4793DA39">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综合评估法（平均价）</w:t>
            </w:r>
          </w:p>
        </w:tc>
      </w:tr>
      <w:tr w14:paraId="148B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18" w:type="pct"/>
            <w:noWrap w:val="0"/>
            <w:vAlign w:val="center"/>
          </w:tcPr>
          <w:p w14:paraId="6406D9D0">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本地化服务</w:t>
            </w:r>
          </w:p>
        </w:tc>
        <w:tc>
          <w:tcPr>
            <w:tcW w:w="3981" w:type="pct"/>
            <w:noWrap w:val="0"/>
            <w:vAlign w:val="center"/>
          </w:tcPr>
          <w:p w14:paraId="06AB1271">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本项目是否要求本地化服务能力：</w:t>
            </w:r>
            <w:r>
              <w:rPr>
                <w:rFonts w:hint="eastAsia" w:ascii="Times New Roman" w:hAnsi="Times New Roman" w:eastAsia="宋体" w:cs="Times New Roman"/>
                <w:b w:val="0"/>
                <w:bCs w:val="0"/>
                <w:color w:val="auto"/>
                <w:sz w:val="24"/>
                <w:szCs w:val="24"/>
                <w:highlight w:val="none"/>
                <w:lang w:val="en-US" w:eastAsia="zh-CN"/>
              </w:rPr>
              <w:sym w:font="Wingdings" w:char="00FE"/>
            </w:r>
            <w:r>
              <w:rPr>
                <w:rFonts w:hint="eastAsia" w:ascii="Times New Roman" w:hAnsi="Times New Roman" w:eastAsia="宋体" w:cs="Times New Roman"/>
                <w:b w:val="0"/>
                <w:bCs w:val="0"/>
                <w:color w:val="auto"/>
                <w:sz w:val="24"/>
                <w:szCs w:val="24"/>
                <w:highlight w:val="none"/>
                <w:lang w:val="en-US" w:eastAsia="zh-CN"/>
              </w:rPr>
              <w:t>要求□不要求</w:t>
            </w:r>
          </w:p>
          <w:p w14:paraId="009DC5BA">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本地化服务的能力是指具有以下条件之一：</w:t>
            </w:r>
          </w:p>
          <w:p w14:paraId="360F6ED0">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1）在本地具有固定的办公场所及人员；</w:t>
            </w:r>
          </w:p>
          <w:p w14:paraId="74506835">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2）在本地注册成立的；</w:t>
            </w:r>
          </w:p>
          <w:p w14:paraId="5A5D34C1">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3）承诺成交即设立本地化服务机构。</w:t>
            </w:r>
          </w:p>
          <w:p w14:paraId="62039069">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备注：“本地”系指： 合肥市</w:t>
            </w:r>
          </w:p>
        </w:tc>
      </w:tr>
      <w:tr w14:paraId="6BBD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18" w:type="pct"/>
            <w:noWrap w:val="0"/>
            <w:vAlign w:val="center"/>
          </w:tcPr>
          <w:p w14:paraId="5B9D2251">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采购需求</w:t>
            </w:r>
          </w:p>
        </w:tc>
        <w:tc>
          <w:tcPr>
            <w:tcW w:w="3981" w:type="pct"/>
            <w:noWrap w:val="0"/>
            <w:vAlign w:val="center"/>
          </w:tcPr>
          <w:p w14:paraId="06EC27C8">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详见附件。</w:t>
            </w:r>
          </w:p>
        </w:tc>
      </w:tr>
      <w:tr w14:paraId="399C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18" w:type="pct"/>
            <w:noWrap w:val="0"/>
            <w:vAlign w:val="center"/>
          </w:tcPr>
          <w:p w14:paraId="51ED37D9">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其他</w:t>
            </w:r>
          </w:p>
        </w:tc>
        <w:tc>
          <w:tcPr>
            <w:tcW w:w="3981" w:type="pct"/>
            <w:noWrap w:val="0"/>
            <w:vAlign w:val="center"/>
          </w:tcPr>
          <w:p w14:paraId="4A7B68ED">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因本项目特殊性，投标人须充分考虑在规定服务期内完成全部工作，超过合同工期，每超过一天招标人扣除5000元服务费，超过5天未完成，招标人有权解除合同，并不予支付中标人前期所付出的任何费用。</w:t>
            </w:r>
          </w:p>
        </w:tc>
      </w:tr>
    </w:tbl>
    <w:p w14:paraId="10D2A6D1">
      <w:pPr>
        <w:keepNext w:val="0"/>
        <w:keepLines w:val="0"/>
        <w:pageBreakBefore w:val="0"/>
        <w:numPr>
          <w:numId w:val="0"/>
        </w:numPr>
        <w:kinsoku/>
        <w:wordWrap/>
        <w:overflowPunct/>
        <w:topLinePunct w:val="0"/>
        <w:autoSpaceDE/>
        <w:autoSpaceDN/>
        <w:bidi w:val="0"/>
        <w:adjustRightInd/>
        <w:snapToGrid/>
        <w:spacing w:beforeAutospacing="0" w:afterAutospacing="0" w:line="240" w:lineRule="auto"/>
        <w:jc w:val="left"/>
        <w:textAlignment w:val="auto"/>
        <w:rPr>
          <w:rFonts w:hint="eastAsia" w:ascii="Times New Roman" w:hAnsi="Times New Roman" w:eastAsia="宋体" w:cs="Times New Roman"/>
          <w:b w:val="0"/>
          <w:bCs w:val="0"/>
          <w:color w:val="auto"/>
          <w:sz w:val="24"/>
          <w:szCs w:val="24"/>
          <w:highlight w:val="none"/>
          <w:lang w:val="en-US" w:eastAsia="zh-CN"/>
        </w:rPr>
      </w:pPr>
    </w:p>
    <w:p w14:paraId="48CFBA85">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360" w:lineRule="auto"/>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一、项目概况：</w:t>
      </w:r>
    </w:p>
    <w:p w14:paraId="0E81B396">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1126项目东侧施工生活配套区项目位于合肥市经开区北区新桥大道以东、合六叶高速以南，占地面积约89.6亩。计划利用该区域建设成施工生活配套区，项目规划设置百货区、餐饮区及停车场等，并配建公厕、照明设施、安防设施等附属设施，要求该区域具备水电接入、雨污水排水条件。</w:t>
      </w:r>
    </w:p>
    <w:p w14:paraId="11AF23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二、服务要求</w:t>
      </w:r>
    </w:p>
    <w:p w14:paraId="69E1D3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1、收集相关资料，完成包括但不限于勘察、初步设计及报批、概算编制、评审等工作。</w:t>
      </w:r>
      <w:r>
        <w:rPr>
          <w:rFonts w:hint="eastAsia" w:ascii="Times New Roman" w:hAnsi="Times New Roman" w:eastAsia="宋体" w:cs="Times New Roman"/>
          <w:b w:val="0"/>
          <w:bCs w:val="0"/>
          <w:color w:val="auto"/>
          <w:sz w:val="24"/>
          <w:szCs w:val="24"/>
          <w:highlight w:val="none"/>
          <w:lang w:val="en-US" w:eastAsia="zh-CN"/>
        </w:rPr>
        <w:br w:type="textWrapping"/>
      </w:r>
      <w:r>
        <w:rPr>
          <w:rFonts w:hint="eastAsia" w:ascii="Times New Roman" w:hAnsi="Times New Roman" w:eastAsia="宋体" w:cs="Times New Roman"/>
          <w:b w:val="0"/>
          <w:bCs w:val="0"/>
          <w:color w:val="auto"/>
          <w:sz w:val="24"/>
          <w:szCs w:val="24"/>
          <w:highlight w:val="none"/>
          <w:lang w:val="en-US" w:eastAsia="zh-CN"/>
        </w:rPr>
        <w:t xml:space="preserve">    2、负责承担完成本项目初步设计（含概算）审批涉及所需的全部技术支撑，以及本项目后期施工阶段的衔接与配合工作。</w:t>
      </w:r>
    </w:p>
    <w:p w14:paraId="07BEB5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3、本项目为非报建工程，自合同签订之日起7个日历天内完成初步设计与概算的出具与审批工作。</w:t>
      </w:r>
    </w:p>
    <w:p w14:paraId="4F9A2E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 xml:space="preserve">4、投标人所报价格应为实现招标要求全部功能(必须达到国家、行业规范、技术要求的全部验收标准)的所有费用（包括但不限于勘察、设计、专家论证、审批等）费用，其间产生的所有其他不可预测费用相关费用投标人应在投标报价中自行考虑，包含在投标报价中。              </w:t>
      </w:r>
    </w:p>
    <w:p w14:paraId="4A609B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firstLine="480" w:firstLineChars="200"/>
        <w:jc w:val="lef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5、本项目工期紧、要求高，中标人须对本项目的现状及设计要求有足够的了解，确保初步设计与概算的成果以及在审批过程中与相关单位的对接、沟通等工作。</w:t>
      </w:r>
    </w:p>
    <w:p w14:paraId="1D40A2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jc w:val="left"/>
        <w:textAlignment w:val="auto"/>
        <w:rPr>
          <w:rFonts w:hint="eastAsia" w:ascii="Times New Roman" w:hAnsi="Times New Roman" w:eastAsia="宋体" w:cs="Times New Roman"/>
          <w:b w:val="0"/>
          <w:bCs w:val="0"/>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2375F75"/>
    <w:rsid w:val="12E66D1C"/>
    <w:rsid w:val="132E7BF0"/>
    <w:rsid w:val="1474453F"/>
    <w:rsid w:val="147A6B5F"/>
    <w:rsid w:val="171676FC"/>
    <w:rsid w:val="174F3E72"/>
    <w:rsid w:val="19371A3D"/>
    <w:rsid w:val="1B562B38"/>
    <w:rsid w:val="1BBE6F12"/>
    <w:rsid w:val="1BE340FE"/>
    <w:rsid w:val="1CD51C99"/>
    <w:rsid w:val="1EA9518B"/>
    <w:rsid w:val="1EF02DBA"/>
    <w:rsid w:val="229D0F23"/>
    <w:rsid w:val="243B6972"/>
    <w:rsid w:val="2560638D"/>
    <w:rsid w:val="2888575B"/>
    <w:rsid w:val="288C7083"/>
    <w:rsid w:val="2A060596"/>
    <w:rsid w:val="2BCB60A1"/>
    <w:rsid w:val="2DC35BE2"/>
    <w:rsid w:val="2DDA05D0"/>
    <w:rsid w:val="2DFD6DA8"/>
    <w:rsid w:val="2F5C3B54"/>
    <w:rsid w:val="326170B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331D89"/>
    <w:rsid w:val="425A3632"/>
    <w:rsid w:val="425C413F"/>
    <w:rsid w:val="42654155"/>
    <w:rsid w:val="44AD421E"/>
    <w:rsid w:val="475C491A"/>
    <w:rsid w:val="49521D16"/>
    <w:rsid w:val="4A180A44"/>
    <w:rsid w:val="4A630034"/>
    <w:rsid w:val="4D752558"/>
    <w:rsid w:val="4D841426"/>
    <w:rsid w:val="4D926C66"/>
    <w:rsid w:val="4E235B10"/>
    <w:rsid w:val="4E4A0A8E"/>
    <w:rsid w:val="4EFF657E"/>
    <w:rsid w:val="50116703"/>
    <w:rsid w:val="51EB53DF"/>
    <w:rsid w:val="53603F65"/>
    <w:rsid w:val="53DD68C3"/>
    <w:rsid w:val="551C3A0B"/>
    <w:rsid w:val="555C59B4"/>
    <w:rsid w:val="56FB20EC"/>
    <w:rsid w:val="5839386D"/>
    <w:rsid w:val="58B2099D"/>
    <w:rsid w:val="58DC61B7"/>
    <w:rsid w:val="59F6057D"/>
    <w:rsid w:val="5A8121BA"/>
    <w:rsid w:val="5ABF0539"/>
    <w:rsid w:val="5B4434DF"/>
    <w:rsid w:val="65374BCA"/>
    <w:rsid w:val="6562740E"/>
    <w:rsid w:val="65FC1861"/>
    <w:rsid w:val="662E5966"/>
    <w:rsid w:val="668838E6"/>
    <w:rsid w:val="6747066A"/>
    <w:rsid w:val="699F737A"/>
    <w:rsid w:val="6B1A1662"/>
    <w:rsid w:val="6DEB7675"/>
    <w:rsid w:val="6EAC5D22"/>
    <w:rsid w:val="6F1E00AA"/>
    <w:rsid w:val="6FE07D2F"/>
    <w:rsid w:val="71DF2C74"/>
    <w:rsid w:val="72527C68"/>
    <w:rsid w:val="73136DD6"/>
    <w:rsid w:val="73231BEA"/>
    <w:rsid w:val="73922BF0"/>
    <w:rsid w:val="73B72B30"/>
    <w:rsid w:val="744F5002"/>
    <w:rsid w:val="76271B88"/>
    <w:rsid w:val="76C41664"/>
    <w:rsid w:val="77AD62C7"/>
    <w:rsid w:val="792768C4"/>
    <w:rsid w:val="79E52DB8"/>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3">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4">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7"/>
    <w:basedOn w:val="1"/>
    <w:autoRedefine/>
    <w:qFormat/>
    <w:uiPriority w:val="1"/>
    <w:pPr>
      <w:ind w:left="577"/>
      <w:outlineLvl w:val="6"/>
    </w:pPr>
    <w:rPr>
      <w:rFonts w:ascii="宋体" w:hAnsi="宋体"/>
      <w:b/>
      <w:bCs/>
      <w:sz w:val="21"/>
      <w:szCs w:val="21"/>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link w:val="30"/>
    <w:autoRedefine/>
    <w:semiHidden/>
    <w:unhideWhenUsed/>
    <w:qFormat/>
    <w:uiPriority w:val="99"/>
    <w:pPr>
      <w:jc w:val="left"/>
    </w:pPr>
  </w:style>
  <w:style w:type="paragraph" w:styleId="7">
    <w:name w:val="Body Text"/>
    <w:basedOn w:val="1"/>
    <w:next w:val="8"/>
    <w:autoRedefine/>
    <w:qFormat/>
    <w:uiPriority w:val="1"/>
    <w:pPr>
      <w:ind w:left="140"/>
    </w:pPr>
    <w:rPr>
      <w:rFonts w:ascii="宋体" w:hAnsi="宋体"/>
      <w:sz w:val="21"/>
      <w:szCs w:val="21"/>
    </w:rPr>
  </w:style>
  <w:style w:type="paragraph" w:styleId="8">
    <w:name w:val="Date"/>
    <w:basedOn w:val="1"/>
    <w:next w:val="1"/>
    <w:qFormat/>
    <w:uiPriority w:val="0"/>
    <w:rPr>
      <w:rFonts w:ascii="Times New Roman"/>
      <w:b/>
      <w:kern w:val="2"/>
      <w:sz w:val="28"/>
    </w:rPr>
  </w:style>
  <w:style w:type="paragraph" w:styleId="9">
    <w:name w:val="Body Text Indent"/>
    <w:basedOn w:val="1"/>
    <w:next w:val="10"/>
    <w:autoRedefine/>
    <w:qFormat/>
    <w:uiPriority w:val="0"/>
    <w:pPr>
      <w:ind w:firstLine="645"/>
    </w:pPr>
    <w:rPr>
      <w:rFonts w:ascii="楷体_GB2312" w:eastAsia="楷体_GB2312"/>
      <w:kern w:val="2"/>
      <w:sz w:val="32"/>
    </w:rPr>
  </w:style>
  <w:style w:type="paragraph" w:styleId="10">
    <w:name w:val="envelope return"/>
    <w:basedOn w:val="1"/>
    <w:qFormat/>
    <w:uiPriority w:val="0"/>
    <w:pPr>
      <w:snapToGrid w:val="0"/>
    </w:pPr>
    <w:rPr>
      <w:rFonts w:ascii="Arial" w:hAnsi="Arial" w:cs="Arial"/>
      <w:szCs w:val="24"/>
    </w:rPr>
  </w:style>
  <w:style w:type="paragraph" w:styleId="11">
    <w:name w:val="Plain Text"/>
    <w:basedOn w:val="1"/>
    <w:autoRedefine/>
    <w:qFormat/>
    <w:uiPriority w:val="0"/>
    <w:rPr>
      <w:rFonts w:hAnsi="Courier New"/>
      <w:kern w:val="2"/>
      <w:sz w:val="21"/>
    </w:rPr>
  </w:style>
  <w:style w:type="paragraph" w:styleId="12">
    <w:name w:val="Balloon Text"/>
    <w:basedOn w:val="1"/>
    <w:link w:val="32"/>
    <w:autoRedefine/>
    <w:semiHidden/>
    <w:unhideWhenUsed/>
    <w:qFormat/>
    <w:uiPriority w:val="99"/>
    <w:rPr>
      <w:sz w:val="18"/>
      <w:szCs w:val="18"/>
    </w:rPr>
  </w:style>
  <w:style w:type="paragraph" w:styleId="13">
    <w:name w:val="footer"/>
    <w:basedOn w:val="1"/>
    <w:link w:val="28"/>
    <w:autoRedefine/>
    <w:unhideWhenUsed/>
    <w:qFormat/>
    <w:uiPriority w:val="99"/>
    <w:pPr>
      <w:tabs>
        <w:tab w:val="center" w:pos="4153"/>
        <w:tab w:val="right" w:pos="8306"/>
      </w:tabs>
      <w:snapToGrid w:val="0"/>
      <w:jc w:val="left"/>
    </w:pPr>
    <w:rPr>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autoRedefine/>
    <w:qFormat/>
    <w:uiPriority w:val="0"/>
    <w:pPr>
      <w:ind w:firstLine="645"/>
    </w:pPr>
    <w:rPr>
      <w:rFonts w:ascii="仿宋_GB2312" w:hAnsi="Arial" w:eastAsia="仿宋_GB2312"/>
      <w:color w:val="000000"/>
      <w:sz w:val="30"/>
    </w:rPr>
  </w:style>
  <w:style w:type="paragraph" w:styleId="16">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unhideWhenUsed/>
    <w:qFormat/>
    <w:uiPriority w:val="99"/>
    <w:pPr>
      <w:spacing w:before="100" w:beforeAutospacing="1" w:after="100" w:afterAutospacing="1"/>
      <w:jc w:val="left"/>
    </w:pPr>
    <w:rPr>
      <w:kern w:val="0"/>
      <w:sz w:val="24"/>
      <w:szCs w:val="22"/>
    </w:rPr>
  </w:style>
  <w:style w:type="paragraph" w:styleId="18">
    <w:name w:val="annotation subject"/>
    <w:basedOn w:val="6"/>
    <w:next w:val="6"/>
    <w:link w:val="31"/>
    <w:autoRedefine/>
    <w:semiHidden/>
    <w:unhideWhenUsed/>
    <w:qFormat/>
    <w:uiPriority w:val="99"/>
    <w:rPr>
      <w:b/>
      <w:bCs/>
    </w:rPr>
  </w:style>
  <w:style w:type="paragraph" w:styleId="19">
    <w:name w:val="Body Text First Indent 2"/>
    <w:basedOn w:val="9"/>
    <w:next w:val="1"/>
    <w:autoRedefine/>
    <w:qFormat/>
    <w:uiPriority w:val="0"/>
    <w:pPr>
      <w:ind w:left="420" w:leftChars="200" w:firstLine="420" w:firstLineChars="200"/>
    </w:pPr>
  </w:style>
  <w:style w:type="table" w:styleId="21">
    <w:name w:val="Table Grid"/>
    <w:basedOn w:val="20"/>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autoRedefine/>
    <w:qFormat/>
    <w:uiPriority w:val="22"/>
    <w:rPr>
      <w:b/>
    </w:rPr>
  </w:style>
  <w:style w:type="character" w:styleId="24">
    <w:name w:val="page number"/>
    <w:basedOn w:val="22"/>
    <w:autoRedefine/>
    <w:qFormat/>
    <w:uiPriority w:val="0"/>
  </w:style>
  <w:style w:type="character" w:styleId="25">
    <w:name w:val="annotation reference"/>
    <w:basedOn w:val="22"/>
    <w:autoRedefine/>
    <w:semiHidden/>
    <w:unhideWhenUsed/>
    <w:qFormat/>
    <w:uiPriority w:val="99"/>
    <w:rPr>
      <w:sz w:val="21"/>
      <w:szCs w:val="21"/>
    </w:rPr>
  </w:style>
  <w:style w:type="paragraph" w:customStyle="1" w:styleId="26">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7">
    <w:name w:val="页眉 Char"/>
    <w:basedOn w:val="22"/>
    <w:link w:val="14"/>
    <w:autoRedefine/>
    <w:qFormat/>
    <w:uiPriority w:val="99"/>
    <w:rPr>
      <w:sz w:val="18"/>
      <w:szCs w:val="18"/>
    </w:rPr>
  </w:style>
  <w:style w:type="character" w:customStyle="1" w:styleId="28">
    <w:name w:val="页脚 Char"/>
    <w:basedOn w:val="22"/>
    <w:link w:val="13"/>
    <w:autoRedefine/>
    <w:qFormat/>
    <w:uiPriority w:val="99"/>
    <w:rPr>
      <w:sz w:val="18"/>
      <w:szCs w:val="18"/>
    </w:rPr>
  </w:style>
  <w:style w:type="paragraph" w:customStyle="1" w:styleId="29">
    <w:name w:val="Char Char Char Char Char Char Char Char Char Char"/>
    <w:basedOn w:val="1"/>
    <w:autoRedefine/>
    <w:qFormat/>
    <w:uiPriority w:val="0"/>
    <w:rPr>
      <w:rFonts w:ascii="Tahoma" w:hAnsi="Tahoma" w:eastAsia="宋体" w:cs="仿宋_GB2312"/>
      <w:sz w:val="24"/>
      <w:szCs w:val="20"/>
    </w:rPr>
  </w:style>
  <w:style w:type="character" w:customStyle="1" w:styleId="30">
    <w:name w:val="批注文字 Char"/>
    <w:basedOn w:val="22"/>
    <w:link w:val="6"/>
    <w:autoRedefine/>
    <w:semiHidden/>
    <w:qFormat/>
    <w:uiPriority w:val="99"/>
  </w:style>
  <w:style w:type="character" w:customStyle="1" w:styleId="31">
    <w:name w:val="批注主题 Char"/>
    <w:basedOn w:val="30"/>
    <w:link w:val="18"/>
    <w:autoRedefine/>
    <w:semiHidden/>
    <w:qFormat/>
    <w:uiPriority w:val="99"/>
    <w:rPr>
      <w:b/>
      <w:bCs/>
    </w:rPr>
  </w:style>
  <w:style w:type="character" w:customStyle="1" w:styleId="32">
    <w:name w:val="批注框文本 Char"/>
    <w:basedOn w:val="22"/>
    <w:link w:val="12"/>
    <w:autoRedefine/>
    <w:semiHidden/>
    <w:qFormat/>
    <w:uiPriority w:val="99"/>
    <w:rPr>
      <w:sz w:val="18"/>
      <w:szCs w:val="18"/>
    </w:rPr>
  </w:style>
  <w:style w:type="paragraph" w:styleId="33">
    <w:name w:val="List Paragraph"/>
    <w:basedOn w:val="1"/>
    <w:autoRedefine/>
    <w:unhideWhenUsed/>
    <w:qFormat/>
    <w:uiPriority w:val="99"/>
    <w:pPr>
      <w:ind w:firstLine="420" w:firstLineChars="200"/>
    </w:pPr>
  </w:style>
  <w:style w:type="paragraph" w:customStyle="1" w:styleId="34">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5">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6">
    <w:name w:val="Char Char Char Char Char Char Char1 Char"/>
    <w:basedOn w:val="1"/>
    <w:autoRedefine/>
    <w:qFormat/>
    <w:uiPriority w:val="0"/>
    <w:rPr>
      <w:rFonts w:ascii="Tahoma" w:hAnsi="Tahoma"/>
      <w:sz w:val="24"/>
    </w:rPr>
  </w:style>
  <w:style w:type="character" w:customStyle="1" w:styleId="37">
    <w:name w:val="font21"/>
    <w:basedOn w:val="22"/>
    <w:autoRedefine/>
    <w:qFormat/>
    <w:uiPriority w:val="0"/>
    <w:rPr>
      <w:rFonts w:hint="eastAsia" w:ascii="宋体" w:hAnsi="宋体" w:eastAsia="宋体" w:cs="宋体"/>
      <w:b/>
      <w:bCs/>
      <w:color w:val="000000"/>
      <w:sz w:val="40"/>
      <w:szCs w:val="40"/>
      <w:u w:val="none"/>
    </w:rPr>
  </w:style>
  <w:style w:type="character" w:customStyle="1" w:styleId="38">
    <w:name w:val="font71"/>
    <w:basedOn w:val="22"/>
    <w:autoRedefine/>
    <w:qFormat/>
    <w:uiPriority w:val="0"/>
    <w:rPr>
      <w:rFonts w:hint="eastAsia" w:ascii="宋体" w:hAnsi="宋体" w:eastAsia="宋体" w:cs="宋体"/>
      <w:b/>
      <w:bCs/>
      <w:color w:val="000000"/>
      <w:sz w:val="40"/>
      <w:szCs w:val="40"/>
      <w:u w:val="single"/>
    </w:rPr>
  </w:style>
  <w:style w:type="character" w:customStyle="1" w:styleId="39">
    <w:name w:val="font91"/>
    <w:basedOn w:val="22"/>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40">
    <w:name w:val="font111"/>
    <w:basedOn w:val="22"/>
    <w:autoRedefine/>
    <w:qFormat/>
    <w:uiPriority w:val="0"/>
    <w:rPr>
      <w:rFonts w:hint="eastAsia" w:ascii="宋体" w:hAnsi="宋体" w:eastAsia="宋体" w:cs="宋体"/>
      <w:color w:val="000000"/>
      <w:sz w:val="40"/>
      <w:szCs w:val="40"/>
      <w:u w:val="single"/>
    </w:rPr>
  </w:style>
  <w:style w:type="character" w:customStyle="1" w:styleId="41">
    <w:name w:val="font141"/>
    <w:basedOn w:val="22"/>
    <w:autoRedefine/>
    <w:qFormat/>
    <w:uiPriority w:val="0"/>
    <w:rPr>
      <w:rFonts w:hint="eastAsia" w:ascii="宋体" w:hAnsi="宋体" w:eastAsia="宋体" w:cs="宋体"/>
      <w:color w:val="000000"/>
      <w:sz w:val="20"/>
      <w:szCs w:val="20"/>
      <w:u w:val="single"/>
    </w:rPr>
  </w:style>
  <w:style w:type="character" w:customStyle="1" w:styleId="42">
    <w:name w:val="font151"/>
    <w:basedOn w:val="22"/>
    <w:autoRedefine/>
    <w:qFormat/>
    <w:uiPriority w:val="0"/>
    <w:rPr>
      <w:rFonts w:hint="eastAsia" w:ascii="宋体" w:hAnsi="宋体" w:eastAsia="宋体" w:cs="宋体"/>
      <w:color w:val="000000"/>
      <w:sz w:val="20"/>
      <w:szCs w:val="20"/>
      <w:u w:val="single"/>
    </w:rPr>
  </w:style>
  <w:style w:type="paragraph" w:customStyle="1" w:styleId="43">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4">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12</Pages>
  <Words>3338</Words>
  <Characters>3497</Characters>
  <Lines>5</Lines>
  <Paragraphs>1</Paragraphs>
  <TotalTime>7</TotalTime>
  <ScaleCrop>false</ScaleCrop>
  <LinksUpToDate>false</LinksUpToDate>
  <CharactersWithSpaces>3690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2026-07-08T08:54:01Z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