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698A3F2">
      <w:pPr>
        <w:pStyle w:val="5"/>
        <w:spacing w:before="480" w:after="260" w:line="500" w:lineRule="exact"/>
        <w:rPr>
          <w:rFonts w:hint="eastAsia" w:hAnsi="宋体" w:eastAsia="宋体"/>
          <w:b/>
          <w:color w:val="000000"/>
          <w:sz w:val="32"/>
          <w:szCs w:val="24"/>
          <w:lang w:eastAsia="zh-CN"/>
        </w:rPr>
      </w:pPr>
      <w:r>
        <w:rPr>
          <w:rFonts w:hint="eastAsia" w:hAnsi="宋体"/>
          <w:color w:val="000000"/>
        </w:rPr>
        <w:t>响应文件格式</w:t>
      </w:r>
      <w:r>
        <w:rPr>
          <w:rFonts w:hint="eastAsia" w:hAnsi="宋体"/>
          <w:color w:val="000000"/>
          <w:lang w:eastAsia="zh-CN"/>
        </w:rPr>
        <w:t>（</w:t>
      </w:r>
      <w:r>
        <w:rPr>
          <w:rFonts w:hint="eastAsia" w:hAnsi="宋体"/>
          <w:color w:val="000000"/>
          <w:lang w:val="en-US" w:eastAsia="zh-CN"/>
        </w:rPr>
        <w:t>根据公告要求提供</w:t>
      </w:r>
      <w:r>
        <w:rPr>
          <w:rFonts w:hint="eastAsia" w:hAnsi="宋体"/>
          <w:color w:val="000000"/>
          <w:lang w:eastAsia="zh-CN"/>
        </w:rPr>
        <w:t>）</w:t>
      </w:r>
    </w:p>
    <w:p w14:paraId="4235F6F4">
      <w:pPr>
        <w:spacing w:line="900" w:lineRule="exact"/>
        <w:rPr>
          <w:rFonts w:hAnsi="宋体"/>
          <w:b/>
          <w:color w:val="000000"/>
          <w:sz w:val="72"/>
          <w:szCs w:val="24"/>
        </w:rPr>
      </w:pPr>
    </w:p>
    <w:p w14:paraId="00DCDD0E">
      <w:pPr>
        <w:pStyle w:val="26"/>
      </w:pPr>
    </w:p>
    <w:p w14:paraId="19D12063">
      <w:pPr>
        <w:spacing w:line="900" w:lineRule="exact"/>
        <w:jc w:val="center"/>
        <w:rPr>
          <w:rFonts w:hAnsi="宋体"/>
          <w:b/>
          <w:color w:val="000000"/>
          <w:sz w:val="72"/>
          <w:szCs w:val="24"/>
        </w:rPr>
      </w:pPr>
      <w:r>
        <w:rPr>
          <w:rFonts w:hint="eastAsia" w:hAnsi="宋体"/>
          <w:b/>
          <w:color w:val="000000"/>
          <w:sz w:val="72"/>
          <w:szCs w:val="24"/>
        </w:rPr>
        <w:t>响</w:t>
      </w:r>
    </w:p>
    <w:p w14:paraId="63C76C09">
      <w:pPr>
        <w:spacing w:line="900" w:lineRule="exact"/>
        <w:jc w:val="center"/>
        <w:rPr>
          <w:rFonts w:hAnsi="宋体"/>
          <w:b/>
          <w:color w:val="000000"/>
          <w:sz w:val="72"/>
          <w:szCs w:val="24"/>
        </w:rPr>
      </w:pPr>
    </w:p>
    <w:p w14:paraId="3B0D8466">
      <w:pPr>
        <w:spacing w:line="900" w:lineRule="exact"/>
        <w:jc w:val="center"/>
        <w:rPr>
          <w:rFonts w:hAnsi="宋体"/>
          <w:b/>
          <w:color w:val="000000"/>
          <w:sz w:val="72"/>
          <w:szCs w:val="24"/>
        </w:rPr>
      </w:pPr>
      <w:r>
        <w:rPr>
          <w:rFonts w:hint="eastAsia" w:hAnsi="宋体"/>
          <w:b/>
          <w:color w:val="000000"/>
          <w:sz w:val="72"/>
          <w:szCs w:val="24"/>
        </w:rPr>
        <w:t>应</w:t>
      </w:r>
    </w:p>
    <w:p w14:paraId="694BDDFB">
      <w:pPr>
        <w:spacing w:line="900" w:lineRule="exact"/>
        <w:jc w:val="center"/>
        <w:rPr>
          <w:rFonts w:hAnsi="宋体"/>
          <w:b/>
          <w:color w:val="000000"/>
          <w:sz w:val="72"/>
          <w:szCs w:val="24"/>
        </w:rPr>
      </w:pPr>
    </w:p>
    <w:p w14:paraId="4B362D5C">
      <w:pPr>
        <w:spacing w:line="900" w:lineRule="exact"/>
        <w:jc w:val="center"/>
        <w:rPr>
          <w:rFonts w:hAnsi="宋体"/>
          <w:b/>
          <w:color w:val="000000"/>
          <w:sz w:val="72"/>
          <w:szCs w:val="24"/>
        </w:rPr>
      </w:pPr>
      <w:r>
        <w:rPr>
          <w:rFonts w:hint="eastAsia" w:hAnsi="宋体"/>
          <w:b/>
          <w:color w:val="000000"/>
          <w:sz w:val="72"/>
          <w:szCs w:val="24"/>
        </w:rPr>
        <w:t>文</w:t>
      </w:r>
    </w:p>
    <w:p w14:paraId="3175E42D">
      <w:pPr>
        <w:spacing w:line="900" w:lineRule="exact"/>
        <w:jc w:val="center"/>
        <w:rPr>
          <w:rFonts w:hAnsi="宋体"/>
          <w:b/>
          <w:color w:val="000000"/>
          <w:sz w:val="72"/>
          <w:szCs w:val="24"/>
        </w:rPr>
      </w:pPr>
    </w:p>
    <w:p w14:paraId="30288CBD">
      <w:pPr>
        <w:jc w:val="center"/>
        <w:rPr>
          <w:rFonts w:hAnsi="宋体"/>
          <w:b/>
          <w:color w:val="000000"/>
          <w:sz w:val="72"/>
          <w:szCs w:val="24"/>
        </w:rPr>
      </w:pPr>
      <w:r>
        <w:rPr>
          <w:rFonts w:hint="eastAsia" w:hAnsi="宋体"/>
          <w:b/>
          <w:color w:val="000000"/>
          <w:sz w:val="72"/>
          <w:szCs w:val="24"/>
        </w:rPr>
        <w:t>件</w:t>
      </w:r>
    </w:p>
    <w:p w14:paraId="4A300B1C">
      <w:pPr>
        <w:spacing w:after="156" w:afterLines="50" w:line="500" w:lineRule="exact"/>
        <w:jc w:val="both"/>
        <w:rPr>
          <w:rFonts w:hAnsi="宋体"/>
          <w:b/>
          <w:color w:val="000000"/>
          <w:sz w:val="72"/>
          <w:szCs w:val="24"/>
        </w:rPr>
      </w:pPr>
    </w:p>
    <w:p w14:paraId="4FE60DCE">
      <w:pPr>
        <w:spacing w:after="156" w:afterLines="50" w:line="500" w:lineRule="exact"/>
        <w:rPr>
          <w:rFonts w:hint="eastAsia" w:hAnsi="宋体"/>
          <w:b/>
          <w:color w:val="000000"/>
          <w:sz w:val="32"/>
          <w:szCs w:val="24"/>
        </w:rPr>
      </w:pPr>
    </w:p>
    <w:p w14:paraId="6BBA7C37">
      <w:pPr>
        <w:spacing w:after="156" w:afterLines="50" w:line="500" w:lineRule="exact"/>
        <w:rPr>
          <w:rFonts w:hAnsi="宋体"/>
          <w:b/>
          <w:color w:val="000000"/>
          <w:sz w:val="32"/>
          <w:szCs w:val="24"/>
          <w:u w:val="single"/>
        </w:rPr>
      </w:pPr>
      <w:r>
        <w:rPr>
          <w:rFonts w:hint="eastAsia" w:hAnsi="宋体"/>
          <w:b/>
          <w:color w:val="000000"/>
          <w:sz w:val="32"/>
          <w:szCs w:val="24"/>
        </w:rPr>
        <w:t>供应商：</w:t>
      </w:r>
    </w:p>
    <w:p w14:paraId="6A216CBC">
      <w:pPr>
        <w:spacing w:after="156" w:afterLines="50" w:line="500" w:lineRule="exact"/>
        <w:jc w:val="center"/>
        <w:rPr>
          <w:rFonts w:hAnsi="宋体"/>
          <w:color w:val="000000"/>
          <w:szCs w:val="24"/>
        </w:rPr>
      </w:pPr>
      <w:r>
        <w:rPr>
          <w:rFonts w:hint="eastAsia" w:hAnsi="宋体"/>
          <w:b/>
          <w:color w:val="000000"/>
          <w:sz w:val="32"/>
          <w:szCs w:val="24"/>
        </w:rPr>
        <w:t xml:space="preserve"> 年     月     日</w:t>
      </w:r>
    </w:p>
    <w:p w14:paraId="513380D1">
      <w:pPr>
        <w:spacing w:line="360" w:lineRule="auto"/>
        <w:jc w:val="center"/>
        <w:rPr>
          <w:rFonts w:hint="eastAsia" w:hAnsi="宋体" w:cs="宋体"/>
          <w:b/>
          <w:color w:val="000000"/>
          <w:szCs w:val="24"/>
        </w:rPr>
      </w:pPr>
      <w:bookmarkStart w:id="0" w:name="_Toc438648618"/>
    </w:p>
    <w:p w14:paraId="625D53B8">
      <w:pPr>
        <w:spacing w:line="360" w:lineRule="auto"/>
        <w:jc w:val="center"/>
        <w:rPr>
          <w:rFonts w:hint="eastAsia" w:hAnsi="宋体" w:cs="宋体"/>
          <w:b/>
          <w:color w:val="000000"/>
          <w:szCs w:val="24"/>
        </w:rPr>
      </w:pPr>
    </w:p>
    <w:p w14:paraId="4D6CED7A">
      <w:pPr>
        <w:spacing w:line="360" w:lineRule="auto"/>
        <w:jc w:val="center"/>
        <w:rPr>
          <w:rFonts w:hint="eastAsia" w:hAnsi="宋体" w:cs="宋体"/>
          <w:b/>
          <w:color w:val="000000"/>
          <w:szCs w:val="24"/>
        </w:rPr>
      </w:pPr>
    </w:p>
    <w:p w14:paraId="3484FC8E">
      <w:pPr>
        <w:spacing w:line="360" w:lineRule="auto"/>
        <w:jc w:val="center"/>
        <w:rPr>
          <w:rFonts w:hint="eastAsia" w:hAnsi="宋体" w:cs="宋体"/>
          <w:b/>
          <w:color w:val="000000"/>
          <w:szCs w:val="24"/>
        </w:rPr>
      </w:pPr>
    </w:p>
    <w:p w14:paraId="3DA634A4">
      <w:pPr>
        <w:spacing w:line="360" w:lineRule="auto"/>
        <w:jc w:val="center"/>
        <w:rPr>
          <w:rFonts w:hAnsi="宋体"/>
          <w:b/>
          <w:color w:val="000000"/>
        </w:rPr>
      </w:pPr>
      <w:r>
        <w:rPr>
          <w:rFonts w:hint="eastAsia" w:hAnsi="宋体" w:cs="宋体"/>
          <w:b/>
          <w:color w:val="000000"/>
          <w:szCs w:val="24"/>
        </w:rPr>
        <w:t>响应文件资料清单</w:t>
      </w:r>
    </w:p>
    <w:tbl>
      <w:tblPr>
        <w:tblStyle w:val="20"/>
        <w:tblW w:w="9243"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58"/>
        <w:gridCol w:w="5460"/>
        <w:gridCol w:w="2625"/>
      </w:tblGrid>
      <w:tr w14:paraId="4938EA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5" w:hRule="atLeast"/>
        </w:trPr>
        <w:tc>
          <w:tcPr>
            <w:tcW w:w="1158" w:type="dxa"/>
            <w:vAlign w:val="center"/>
          </w:tcPr>
          <w:p w14:paraId="657D4434">
            <w:pPr>
              <w:spacing w:line="400" w:lineRule="exact"/>
              <w:jc w:val="center"/>
              <w:rPr>
                <w:rFonts w:hAnsi="宋体"/>
                <w:b/>
                <w:color w:val="000000"/>
              </w:rPr>
            </w:pPr>
            <w:r>
              <w:rPr>
                <w:rFonts w:hint="eastAsia" w:hAnsi="宋体"/>
                <w:b/>
                <w:color w:val="000000"/>
              </w:rPr>
              <w:t>序号</w:t>
            </w:r>
          </w:p>
        </w:tc>
        <w:tc>
          <w:tcPr>
            <w:tcW w:w="5460" w:type="dxa"/>
            <w:vAlign w:val="center"/>
          </w:tcPr>
          <w:p w14:paraId="31CF0812">
            <w:pPr>
              <w:spacing w:line="400" w:lineRule="exact"/>
              <w:jc w:val="center"/>
              <w:rPr>
                <w:rFonts w:hAnsi="宋体"/>
                <w:b/>
                <w:color w:val="000000"/>
              </w:rPr>
            </w:pPr>
            <w:r>
              <w:rPr>
                <w:rFonts w:hint="eastAsia" w:hAnsi="宋体"/>
                <w:b/>
                <w:color w:val="000000"/>
              </w:rPr>
              <w:t>资料名称</w:t>
            </w:r>
          </w:p>
        </w:tc>
        <w:tc>
          <w:tcPr>
            <w:tcW w:w="2625" w:type="dxa"/>
            <w:vAlign w:val="center"/>
          </w:tcPr>
          <w:p w14:paraId="46227F06">
            <w:pPr>
              <w:spacing w:line="400" w:lineRule="exact"/>
              <w:jc w:val="center"/>
              <w:rPr>
                <w:rFonts w:hAnsi="宋体"/>
                <w:b/>
                <w:color w:val="000000"/>
              </w:rPr>
            </w:pPr>
            <w:r>
              <w:rPr>
                <w:rFonts w:hint="eastAsia" w:hAnsi="宋体"/>
                <w:b/>
                <w:color w:val="000000"/>
              </w:rPr>
              <w:t>备注</w:t>
            </w:r>
          </w:p>
        </w:tc>
      </w:tr>
      <w:tr w14:paraId="368834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5" w:hRule="atLeast"/>
        </w:trPr>
        <w:tc>
          <w:tcPr>
            <w:tcW w:w="1158" w:type="dxa"/>
            <w:vAlign w:val="center"/>
          </w:tcPr>
          <w:p w14:paraId="5568C9DA">
            <w:pPr>
              <w:spacing w:before="50" w:after="50" w:line="360" w:lineRule="auto"/>
              <w:jc w:val="center"/>
              <w:rPr>
                <w:rFonts w:hAnsi="宋体"/>
                <w:color w:val="000000"/>
              </w:rPr>
            </w:pPr>
            <w:r>
              <w:rPr>
                <w:rFonts w:hint="eastAsia" w:hAnsi="宋体"/>
                <w:color w:val="000000"/>
                <w:lang w:val="zh-CN"/>
              </w:rPr>
              <w:t>一</w:t>
            </w:r>
          </w:p>
        </w:tc>
        <w:tc>
          <w:tcPr>
            <w:tcW w:w="5460" w:type="dxa"/>
            <w:vAlign w:val="center"/>
          </w:tcPr>
          <w:p w14:paraId="4D3000E5">
            <w:pPr>
              <w:jc w:val="left"/>
              <w:rPr>
                <w:rFonts w:hAnsi="宋体"/>
                <w:color w:val="000000"/>
                <w:u w:val="single"/>
              </w:rPr>
            </w:pPr>
            <w:r>
              <w:rPr>
                <w:rFonts w:hint="eastAsia" w:hAnsi="宋体"/>
                <w:bCs/>
                <w:color w:val="000000"/>
              </w:rPr>
              <w:t>报价表</w:t>
            </w:r>
          </w:p>
        </w:tc>
        <w:tc>
          <w:tcPr>
            <w:tcW w:w="2625" w:type="dxa"/>
            <w:vAlign w:val="center"/>
          </w:tcPr>
          <w:p w14:paraId="5FF867DD">
            <w:pPr>
              <w:spacing w:line="360" w:lineRule="auto"/>
              <w:rPr>
                <w:rFonts w:hAnsi="宋体"/>
                <w:b/>
                <w:color w:val="000000"/>
              </w:rPr>
            </w:pPr>
          </w:p>
        </w:tc>
      </w:tr>
      <w:tr w14:paraId="18375A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585" w:hRule="atLeast"/>
        </w:trPr>
        <w:tc>
          <w:tcPr>
            <w:tcW w:w="1158" w:type="dxa"/>
            <w:vAlign w:val="center"/>
          </w:tcPr>
          <w:p w14:paraId="1509EC22">
            <w:pPr>
              <w:spacing w:before="50" w:after="50" w:line="360" w:lineRule="auto"/>
              <w:jc w:val="center"/>
              <w:rPr>
                <w:rFonts w:hAnsi="宋体"/>
                <w:color w:val="000000"/>
                <w:lang w:val="zh-CN"/>
              </w:rPr>
            </w:pPr>
            <w:r>
              <w:rPr>
                <w:rFonts w:hint="eastAsia" w:hAnsi="宋体"/>
                <w:color w:val="000000"/>
                <w:lang w:val="zh-CN"/>
              </w:rPr>
              <w:t>二</w:t>
            </w:r>
          </w:p>
        </w:tc>
        <w:tc>
          <w:tcPr>
            <w:tcW w:w="5460" w:type="dxa"/>
            <w:vAlign w:val="center"/>
          </w:tcPr>
          <w:p w14:paraId="4FDF9197">
            <w:pPr>
              <w:jc w:val="left"/>
              <w:rPr>
                <w:rFonts w:hAnsi="宋体"/>
                <w:bCs/>
                <w:color w:val="000000"/>
              </w:rPr>
            </w:pPr>
            <w:r>
              <w:rPr>
                <w:rFonts w:hint="eastAsia" w:hAnsi="宋体"/>
                <w:color w:val="000000"/>
              </w:rPr>
              <w:t>供应商情况综合简介</w:t>
            </w:r>
          </w:p>
        </w:tc>
        <w:tc>
          <w:tcPr>
            <w:tcW w:w="2625" w:type="dxa"/>
            <w:vAlign w:val="center"/>
          </w:tcPr>
          <w:p w14:paraId="2BEFCEC5">
            <w:pPr>
              <w:spacing w:line="360" w:lineRule="auto"/>
              <w:rPr>
                <w:rFonts w:hAnsi="宋体"/>
                <w:b/>
                <w:color w:val="000000"/>
              </w:rPr>
            </w:pPr>
          </w:p>
        </w:tc>
      </w:tr>
      <w:tr w14:paraId="57CA6A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5" w:hRule="atLeast"/>
        </w:trPr>
        <w:tc>
          <w:tcPr>
            <w:tcW w:w="1158" w:type="dxa"/>
            <w:vAlign w:val="center"/>
          </w:tcPr>
          <w:p w14:paraId="4A4B4143">
            <w:pPr>
              <w:spacing w:before="50" w:after="50" w:line="360" w:lineRule="auto"/>
              <w:jc w:val="center"/>
              <w:rPr>
                <w:rFonts w:hint="eastAsia" w:hAnsi="宋体" w:eastAsia="宋体"/>
                <w:color w:val="000000"/>
                <w:lang w:eastAsia="zh-CN"/>
              </w:rPr>
            </w:pPr>
            <w:r>
              <w:rPr>
                <w:rFonts w:hint="eastAsia" w:hAnsi="宋体"/>
                <w:color w:val="000000"/>
                <w:lang w:val="en-US" w:eastAsia="zh-CN"/>
              </w:rPr>
              <w:t>三</w:t>
            </w:r>
          </w:p>
        </w:tc>
        <w:tc>
          <w:tcPr>
            <w:tcW w:w="5460" w:type="dxa"/>
            <w:vAlign w:val="center"/>
          </w:tcPr>
          <w:p w14:paraId="152D86D2">
            <w:pPr>
              <w:autoSpaceDE w:val="0"/>
              <w:autoSpaceDN w:val="0"/>
              <w:adjustRightInd w:val="0"/>
              <w:spacing w:line="360" w:lineRule="auto"/>
              <w:jc w:val="left"/>
              <w:rPr>
                <w:rFonts w:hAnsi="宋体"/>
                <w:bCs/>
                <w:color w:val="000000"/>
              </w:rPr>
            </w:pPr>
            <w:r>
              <w:rPr>
                <w:rFonts w:hint="eastAsia" w:hAnsi="宋体" w:cs="宋体"/>
                <w:color w:val="000000"/>
                <w:szCs w:val="24"/>
                <w:lang w:val="zh-CN"/>
              </w:rPr>
              <w:t>法定代表人身份证明书</w:t>
            </w:r>
          </w:p>
        </w:tc>
        <w:tc>
          <w:tcPr>
            <w:tcW w:w="2625" w:type="dxa"/>
            <w:vAlign w:val="center"/>
          </w:tcPr>
          <w:p w14:paraId="37D8680F">
            <w:pPr>
              <w:spacing w:line="360" w:lineRule="auto"/>
              <w:rPr>
                <w:rFonts w:hAnsi="宋体"/>
                <w:b/>
                <w:color w:val="000000"/>
              </w:rPr>
            </w:pPr>
          </w:p>
        </w:tc>
      </w:tr>
      <w:tr w14:paraId="5F5911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5" w:hRule="atLeast"/>
        </w:trPr>
        <w:tc>
          <w:tcPr>
            <w:tcW w:w="1158" w:type="dxa"/>
            <w:vAlign w:val="center"/>
          </w:tcPr>
          <w:p w14:paraId="2579D2BE">
            <w:pPr>
              <w:spacing w:before="50" w:after="50" w:line="360" w:lineRule="auto"/>
              <w:jc w:val="center"/>
              <w:rPr>
                <w:rFonts w:hint="eastAsia" w:hAnsi="宋体" w:eastAsia="宋体"/>
                <w:color w:val="000000"/>
                <w:lang w:eastAsia="zh-CN"/>
              </w:rPr>
            </w:pPr>
            <w:r>
              <w:rPr>
                <w:rFonts w:hint="eastAsia" w:hAnsi="宋体"/>
                <w:color w:val="000000"/>
                <w:lang w:val="en-US" w:eastAsia="zh-CN"/>
              </w:rPr>
              <w:t>四</w:t>
            </w:r>
          </w:p>
        </w:tc>
        <w:tc>
          <w:tcPr>
            <w:tcW w:w="5460" w:type="dxa"/>
            <w:vAlign w:val="center"/>
          </w:tcPr>
          <w:p w14:paraId="54FA10FA">
            <w:pPr>
              <w:jc w:val="left"/>
              <w:rPr>
                <w:rFonts w:hAnsi="宋体"/>
                <w:bCs/>
                <w:color w:val="000000"/>
              </w:rPr>
            </w:pPr>
            <w:r>
              <w:rPr>
                <w:rFonts w:hint="eastAsia" w:hAnsi="宋体"/>
                <w:bCs/>
                <w:color w:val="000000"/>
              </w:rPr>
              <w:t xml:space="preserve">投标授权书    </w:t>
            </w:r>
          </w:p>
        </w:tc>
        <w:tc>
          <w:tcPr>
            <w:tcW w:w="2625" w:type="dxa"/>
            <w:vAlign w:val="center"/>
          </w:tcPr>
          <w:p w14:paraId="286864CF">
            <w:pPr>
              <w:spacing w:line="360" w:lineRule="auto"/>
              <w:rPr>
                <w:rFonts w:hAnsi="宋体"/>
                <w:b/>
                <w:color w:val="000000"/>
              </w:rPr>
            </w:pPr>
          </w:p>
        </w:tc>
      </w:tr>
      <w:tr w14:paraId="36E844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7" w:hRule="atLeast"/>
        </w:trPr>
        <w:tc>
          <w:tcPr>
            <w:tcW w:w="1158" w:type="dxa"/>
            <w:vAlign w:val="center"/>
          </w:tcPr>
          <w:p w14:paraId="7DCF8C99">
            <w:pPr>
              <w:spacing w:before="50" w:after="50" w:line="360" w:lineRule="auto"/>
              <w:jc w:val="center"/>
              <w:rPr>
                <w:rFonts w:hint="eastAsia" w:hAnsi="宋体" w:eastAsia="宋体"/>
                <w:color w:val="000000"/>
                <w:lang w:eastAsia="zh-CN"/>
              </w:rPr>
            </w:pPr>
            <w:r>
              <w:rPr>
                <w:rFonts w:hint="eastAsia" w:hAnsi="宋体"/>
                <w:color w:val="000000"/>
                <w:lang w:val="en-US" w:eastAsia="zh-CN"/>
              </w:rPr>
              <w:t>五</w:t>
            </w:r>
          </w:p>
        </w:tc>
        <w:tc>
          <w:tcPr>
            <w:tcW w:w="5460" w:type="dxa"/>
            <w:vAlign w:val="center"/>
          </w:tcPr>
          <w:p w14:paraId="5596AAE4">
            <w:pPr>
              <w:spacing w:line="360" w:lineRule="auto"/>
              <w:rPr>
                <w:rFonts w:hAnsi="宋体"/>
                <w:color w:val="000000"/>
                <w:szCs w:val="24"/>
              </w:rPr>
            </w:pPr>
            <w:r>
              <w:rPr>
                <w:rFonts w:hint="eastAsia" w:hAnsi="宋体" w:cs="仿宋_GB2312"/>
                <w:color w:val="000000"/>
                <w:szCs w:val="24"/>
              </w:rPr>
              <w:t>无重大违法记录声明函、无不良信用记录承诺函</w:t>
            </w:r>
          </w:p>
        </w:tc>
        <w:tc>
          <w:tcPr>
            <w:tcW w:w="2625" w:type="dxa"/>
            <w:vAlign w:val="center"/>
          </w:tcPr>
          <w:p w14:paraId="2E711977">
            <w:pPr>
              <w:spacing w:line="360" w:lineRule="auto"/>
              <w:rPr>
                <w:rFonts w:hAnsi="宋体"/>
                <w:b/>
                <w:color w:val="000000"/>
              </w:rPr>
            </w:pPr>
          </w:p>
        </w:tc>
      </w:tr>
      <w:tr w14:paraId="4C3C61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9" w:hRule="atLeast"/>
        </w:trPr>
        <w:tc>
          <w:tcPr>
            <w:tcW w:w="1158" w:type="dxa"/>
            <w:vAlign w:val="center"/>
          </w:tcPr>
          <w:p w14:paraId="20B6F7B7">
            <w:pPr>
              <w:spacing w:before="50" w:after="50" w:line="360" w:lineRule="auto"/>
              <w:jc w:val="center"/>
              <w:rPr>
                <w:rFonts w:hint="eastAsia" w:hAnsi="宋体" w:eastAsia="宋体"/>
                <w:color w:val="000000"/>
                <w:lang w:eastAsia="zh-CN"/>
              </w:rPr>
            </w:pPr>
            <w:r>
              <w:rPr>
                <w:rFonts w:hint="eastAsia" w:hAnsi="宋体"/>
                <w:color w:val="000000"/>
                <w:lang w:val="en-US" w:eastAsia="zh-CN"/>
              </w:rPr>
              <w:t>六</w:t>
            </w:r>
          </w:p>
        </w:tc>
        <w:tc>
          <w:tcPr>
            <w:tcW w:w="5460" w:type="dxa"/>
            <w:vAlign w:val="center"/>
          </w:tcPr>
          <w:p w14:paraId="1A668E52">
            <w:pPr>
              <w:jc w:val="left"/>
              <w:rPr>
                <w:rFonts w:hAnsi="宋体"/>
                <w:color w:val="000000"/>
              </w:rPr>
            </w:pPr>
            <w:r>
              <w:rPr>
                <w:rFonts w:hint="eastAsia" w:hAnsi="宋体"/>
                <w:color w:val="000000"/>
              </w:rPr>
              <w:t>服务方案及服务承诺</w:t>
            </w:r>
          </w:p>
        </w:tc>
        <w:tc>
          <w:tcPr>
            <w:tcW w:w="2625" w:type="dxa"/>
            <w:vAlign w:val="center"/>
          </w:tcPr>
          <w:p w14:paraId="035366C8">
            <w:pPr>
              <w:spacing w:line="360" w:lineRule="auto"/>
              <w:rPr>
                <w:rFonts w:hAnsi="宋体"/>
                <w:b/>
                <w:color w:val="000000"/>
              </w:rPr>
            </w:pPr>
          </w:p>
        </w:tc>
      </w:tr>
      <w:tr w14:paraId="4DAA39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0" w:hRule="atLeast"/>
        </w:trPr>
        <w:tc>
          <w:tcPr>
            <w:tcW w:w="1158" w:type="dxa"/>
            <w:vAlign w:val="center"/>
          </w:tcPr>
          <w:p w14:paraId="1E54F652">
            <w:pPr>
              <w:spacing w:before="50" w:after="50" w:line="360" w:lineRule="auto"/>
              <w:jc w:val="center"/>
              <w:rPr>
                <w:rFonts w:hint="eastAsia" w:hAnsi="宋体" w:eastAsia="宋体"/>
                <w:color w:val="000000"/>
                <w:lang w:eastAsia="zh-CN"/>
              </w:rPr>
            </w:pPr>
            <w:r>
              <w:rPr>
                <w:rFonts w:hint="eastAsia" w:hAnsi="宋体"/>
                <w:color w:val="000000"/>
                <w:lang w:val="en-US" w:eastAsia="zh-CN"/>
              </w:rPr>
              <w:t>七</w:t>
            </w:r>
          </w:p>
        </w:tc>
        <w:tc>
          <w:tcPr>
            <w:tcW w:w="5460" w:type="dxa"/>
            <w:vAlign w:val="center"/>
          </w:tcPr>
          <w:p w14:paraId="1A818E30">
            <w:pPr>
              <w:jc w:val="left"/>
              <w:rPr>
                <w:rFonts w:hAnsi="宋体"/>
                <w:color w:val="000000"/>
              </w:rPr>
            </w:pPr>
            <w:r>
              <w:rPr>
                <w:rFonts w:hint="eastAsia" w:hAnsi="宋体"/>
                <w:color w:val="000000"/>
              </w:rPr>
              <w:t>本地化服务情况一览表</w:t>
            </w:r>
          </w:p>
        </w:tc>
        <w:tc>
          <w:tcPr>
            <w:tcW w:w="2625" w:type="dxa"/>
            <w:vAlign w:val="center"/>
          </w:tcPr>
          <w:p w14:paraId="3F223394">
            <w:pPr>
              <w:spacing w:line="360" w:lineRule="auto"/>
              <w:rPr>
                <w:rFonts w:hAnsi="宋体"/>
                <w:b/>
                <w:color w:val="000000"/>
              </w:rPr>
            </w:pPr>
          </w:p>
        </w:tc>
      </w:tr>
      <w:tr w14:paraId="2FBB19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0" w:hRule="atLeast"/>
        </w:trPr>
        <w:tc>
          <w:tcPr>
            <w:tcW w:w="1158" w:type="dxa"/>
            <w:vAlign w:val="center"/>
          </w:tcPr>
          <w:p w14:paraId="2C5C8E32">
            <w:pPr>
              <w:spacing w:before="50" w:after="50" w:line="360" w:lineRule="auto"/>
              <w:jc w:val="center"/>
              <w:rPr>
                <w:rFonts w:hint="eastAsia" w:hAnsi="宋体" w:eastAsia="宋体"/>
                <w:color w:val="000000"/>
                <w:lang w:val="zh-CN" w:eastAsia="zh-CN"/>
              </w:rPr>
            </w:pPr>
            <w:r>
              <w:rPr>
                <w:rFonts w:hint="eastAsia" w:hAnsi="宋体"/>
                <w:color w:val="000000"/>
                <w:lang w:val="en-US" w:eastAsia="zh-CN"/>
              </w:rPr>
              <w:t>八</w:t>
            </w:r>
          </w:p>
        </w:tc>
        <w:tc>
          <w:tcPr>
            <w:tcW w:w="5460" w:type="dxa"/>
            <w:vAlign w:val="center"/>
          </w:tcPr>
          <w:p w14:paraId="7BCC6CB0">
            <w:pPr>
              <w:rPr>
                <w:color w:val="000000"/>
              </w:rPr>
            </w:pPr>
            <w:r>
              <w:rPr>
                <w:rFonts w:hint="eastAsia" w:hAnsi="宋体"/>
                <w:color w:val="000000"/>
              </w:rPr>
              <w:t>其他文件</w:t>
            </w:r>
          </w:p>
        </w:tc>
        <w:tc>
          <w:tcPr>
            <w:tcW w:w="2625" w:type="dxa"/>
            <w:vAlign w:val="center"/>
          </w:tcPr>
          <w:p w14:paraId="4681BA7A">
            <w:pPr>
              <w:spacing w:line="360" w:lineRule="auto"/>
              <w:rPr>
                <w:rFonts w:hAnsi="宋体"/>
                <w:b/>
                <w:color w:val="000000"/>
              </w:rPr>
            </w:pPr>
          </w:p>
        </w:tc>
      </w:tr>
    </w:tbl>
    <w:p w14:paraId="4A0D5348">
      <w:pPr>
        <w:pStyle w:val="6"/>
        <w:spacing w:line="360" w:lineRule="auto"/>
        <w:ind w:firstLine="0"/>
        <w:jc w:val="left"/>
        <w:rPr>
          <w:rFonts w:ascii="宋体" w:hAnsi="宋体" w:eastAsia="宋体"/>
          <w:bCs w:val="0"/>
          <w:color w:val="000000"/>
          <w:sz w:val="24"/>
          <w:szCs w:val="24"/>
        </w:rPr>
      </w:pPr>
      <w:r>
        <w:rPr>
          <w:rFonts w:hint="eastAsia" w:hAnsi="宋体" w:cs="宋体"/>
          <w:b w:val="0"/>
          <w:color w:val="000000"/>
          <w:szCs w:val="24"/>
        </w:rPr>
        <w:br w:type="page"/>
      </w:r>
      <w:bookmarkStart w:id="1" w:name="_Toc2774249"/>
      <w:bookmarkStart w:id="2" w:name="_Toc461056631"/>
      <w:bookmarkStart w:id="3" w:name="_Toc461053086"/>
      <w:r>
        <w:rPr>
          <w:rFonts w:hint="eastAsia" w:ascii="宋体" w:hAnsi="宋体" w:eastAsia="宋体"/>
          <w:bCs w:val="0"/>
          <w:color w:val="000000"/>
          <w:sz w:val="24"/>
          <w:szCs w:val="24"/>
        </w:rPr>
        <w:t>附件一</w:t>
      </w:r>
      <w:bookmarkEnd w:id="1"/>
      <w:bookmarkEnd w:id="2"/>
      <w:bookmarkEnd w:id="3"/>
    </w:p>
    <w:p w14:paraId="06F43AE1">
      <w:pPr>
        <w:spacing w:before="156" w:beforeLines="50" w:after="156" w:afterLines="50" w:line="360" w:lineRule="auto"/>
        <w:ind w:firstLine="207" w:firstLineChars="98"/>
        <w:jc w:val="center"/>
        <w:rPr>
          <w:rFonts w:hAnsi="宋体"/>
          <w:b/>
          <w:color w:val="000000"/>
          <w:szCs w:val="28"/>
        </w:rPr>
      </w:pPr>
      <w:r>
        <w:rPr>
          <w:rFonts w:hint="eastAsia" w:hAnsi="宋体"/>
          <w:b/>
          <w:color w:val="000000"/>
          <w:szCs w:val="28"/>
        </w:rPr>
        <w:t>报价表格式</w:t>
      </w:r>
    </w:p>
    <w:p w14:paraId="1C5594A8">
      <w:pPr>
        <w:spacing w:before="156" w:beforeLines="50" w:after="156" w:afterLines="50" w:line="360" w:lineRule="auto"/>
        <w:jc w:val="left"/>
        <w:rPr>
          <w:rFonts w:hAnsi="宋体"/>
          <w:b/>
          <w:color w:val="000000"/>
          <w:szCs w:val="28"/>
        </w:rPr>
      </w:pPr>
      <w:r>
        <w:rPr>
          <w:rFonts w:hint="eastAsia" w:hAnsi="宋体"/>
          <w:b/>
          <w:color w:val="000000"/>
          <w:szCs w:val="28"/>
        </w:rPr>
        <w:t>1报价表</w:t>
      </w:r>
    </w:p>
    <w:p w14:paraId="04200581">
      <w:pPr>
        <w:snapToGrid w:val="0"/>
        <w:spacing w:line="360" w:lineRule="auto"/>
        <w:jc w:val="left"/>
        <w:rPr>
          <w:rFonts w:hAnsi="宋体"/>
          <w:b/>
          <w:color w:val="000000"/>
          <w:szCs w:val="28"/>
        </w:rPr>
      </w:pPr>
      <w:r>
        <w:rPr>
          <w:rFonts w:hint="eastAsia" w:hAnsi="宋体"/>
          <w:b/>
          <w:color w:val="000000"/>
          <w:szCs w:val="28"/>
        </w:rPr>
        <w:t>项目名称：</w:t>
      </w:r>
    </w:p>
    <w:p w14:paraId="3B75D2F3">
      <w:pPr>
        <w:snapToGrid w:val="0"/>
        <w:spacing w:after="156" w:afterLines="50" w:line="360" w:lineRule="auto"/>
        <w:jc w:val="left"/>
        <w:rPr>
          <w:rFonts w:hAnsi="宋体"/>
          <w:b/>
          <w:bCs/>
          <w:color w:val="000000"/>
          <w:szCs w:val="28"/>
          <w:u w:val="single"/>
        </w:rPr>
      </w:pPr>
      <w:r>
        <w:rPr>
          <w:rFonts w:hint="eastAsia" w:hAnsi="宋体"/>
          <w:b/>
          <w:color w:val="000000"/>
          <w:szCs w:val="28"/>
        </w:rPr>
        <w:t>项目编号：</w:t>
      </w:r>
    </w:p>
    <w:tbl>
      <w:tblPr>
        <w:tblStyle w:val="20"/>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633"/>
        <w:gridCol w:w="6492"/>
      </w:tblGrid>
      <w:tr w14:paraId="434839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6" w:hRule="atLeast"/>
        </w:trPr>
        <w:tc>
          <w:tcPr>
            <w:tcW w:w="2633" w:type="dxa"/>
            <w:tcBorders>
              <w:top w:val="single" w:color="auto" w:sz="4" w:space="0"/>
              <w:left w:val="single" w:color="auto" w:sz="4" w:space="0"/>
              <w:bottom w:val="single" w:color="auto" w:sz="4" w:space="0"/>
              <w:right w:val="single" w:color="auto" w:sz="4" w:space="0"/>
            </w:tcBorders>
            <w:vAlign w:val="center"/>
          </w:tcPr>
          <w:p w14:paraId="278A855A">
            <w:pPr>
              <w:spacing w:line="360" w:lineRule="auto"/>
              <w:jc w:val="center"/>
              <w:rPr>
                <w:rFonts w:hAnsi="宋体"/>
                <w:b/>
                <w:color w:val="000000"/>
              </w:rPr>
            </w:pPr>
            <w:r>
              <w:rPr>
                <w:rFonts w:hint="eastAsia" w:hAnsi="宋体"/>
                <w:b/>
                <w:color w:val="000000"/>
              </w:rPr>
              <w:t>供应商名称</w:t>
            </w:r>
          </w:p>
        </w:tc>
        <w:tc>
          <w:tcPr>
            <w:tcW w:w="6492" w:type="dxa"/>
            <w:tcBorders>
              <w:left w:val="single" w:color="auto" w:sz="4" w:space="0"/>
            </w:tcBorders>
          </w:tcPr>
          <w:p w14:paraId="71A777AB">
            <w:pPr>
              <w:spacing w:line="360" w:lineRule="auto"/>
              <w:rPr>
                <w:rFonts w:hAnsi="宋体"/>
                <w:b/>
                <w:color w:val="000000"/>
              </w:rPr>
            </w:pPr>
          </w:p>
        </w:tc>
      </w:tr>
      <w:tr w14:paraId="65F626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75" w:hRule="atLeast"/>
        </w:trPr>
        <w:tc>
          <w:tcPr>
            <w:tcW w:w="2633" w:type="dxa"/>
            <w:tcBorders>
              <w:top w:val="single" w:color="auto" w:sz="4" w:space="0"/>
              <w:left w:val="single" w:color="auto" w:sz="4" w:space="0"/>
              <w:bottom w:val="single" w:color="auto" w:sz="4" w:space="0"/>
              <w:right w:val="single" w:color="auto" w:sz="4" w:space="0"/>
            </w:tcBorders>
            <w:vAlign w:val="center"/>
          </w:tcPr>
          <w:p w14:paraId="34D5C8C9">
            <w:pPr>
              <w:spacing w:line="360" w:lineRule="exact"/>
              <w:jc w:val="center"/>
              <w:rPr>
                <w:rFonts w:hAnsi="宋体"/>
                <w:b/>
                <w:color w:val="000000"/>
              </w:rPr>
            </w:pPr>
            <w:r>
              <w:rPr>
                <w:rFonts w:hint="eastAsia" w:hAnsi="宋体"/>
                <w:b/>
                <w:color w:val="000000"/>
              </w:rPr>
              <w:t>评标范围</w:t>
            </w:r>
          </w:p>
        </w:tc>
        <w:tc>
          <w:tcPr>
            <w:tcW w:w="6492" w:type="dxa"/>
            <w:tcBorders>
              <w:left w:val="single" w:color="auto" w:sz="4" w:space="0"/>
            </w:tcBorders>
            <w:vAlign w:val="center"/>
          </w:tcPr>
          <w:p w14:paraId="04613371">
            <w:pPr>
              <w:snapToGrid w:val="0"/>
              <w:spacing w:line="360" w:lineRule="auto"/>
              <w:rPr>
                <w:rFonts w:hAnsi="宋体"/>
                <w:b/>
                <w:color w:val="000000"/>
              </w:rPr>
            </w:pPr>
            <w:r>
              <w:rPr>
                <w:rFonts w:hint="eastAsia" w:hAnsi="宋体"/>
                <w:bCs/>
                <w:color w:val="000000"/>
              </w:rPr>
              <w:t>全部</w:t>
            </w:r>
          </w:p>
        </w:tc>
      </w:tr>
      <w:tr w14:paraId="40DB59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91" w:hRule="atLeast"/>
        </w:trPr>
        <w:tc>
          <w:tcPr>
            <w:tcW w:w="2633" w:type="dxa"/>
            <w:tcBorders>
              <w:top w:val="single" w:color="auto" w:sz="4" w:space="0"/>
            </w:tcBorders>
            <w:vAlign w:val="center"/>
          </w:tcPr>
          <w:p w14:paraId="37256641">
            <w:pPr>
              <w:spacing w:line="360" w:lineRule="auto"/>
              <w:jc w:val="center"/>
              <w:rPr>
                <w:rFonts w:hAnsi="宋体"/>
                <w:b/>
                <w:color w:val="000000"/>
              </w:rPr>
            </w:pPr>
            <w:r>
              <w:rPr>
                <w:rFonts w:hint="eastAsia" w:hAnsi="宋体"/>
                <w:b/>
                <w:color w:val="000000"/>
              </w:rPr>
              <w:t>报价</w:t>
            </w:r>
          </w:p>
          <w:p w14:paraId="3AB0E903">
            <w:pPr>
              <w:spacing w:line="360" w:lineRule="auto"/>
              <w:jc w:val="center"/>
              <w:rPr>
                <w:rFonts w:hAnsi="宋体"/>
                <w:b/>
                <w:color w:val="000000"/>
              </w:rPr>
            </w:pPr>
            <w:r>
              <w:rPr>
                <w:rFonts w:hint="eastAsia" w:hAnsi="宋体"/>
                <w:b/>
                <w:color w:val="000000"/>
              </w:rPr>
              <w:t>（详见备注说明）</w:t>
            </w:r>
          </w:p>
        </w:tc>
        <w:tc>
          <w:tcPr>
            <w:tcW w:w="6492" w:type="dxa"/>
            <w:vAlign w:val="center"/>
          </w:tcPr>
          <w:p w14:paraId="050347F9">
            <w:pPr>
              <w:snapToGrid w:val="0"/>
              <w:spacing w:line="360" w:lineRule="auto"/>
              <w:ind w:firstLine="826" w:firstLineChars="392"/>
              <w:rPr>
                <w:rFonts w:hint="default" w:hAnsi="宋体"/>
                <w:b/>
                <w:color w:val="000000"/>
                <w:highlight w:val="yellow"/>
                <w:u w:val="single"/>
                <w:lang w:val="en-US" w:eastAsia="zh-CN"/>
              </w:rPr>
            </w:pPr>
            <w:r>
              <w:rPr>
                <w:rFonts w:hint="eastAsia" w:hAnsi="宋体"/>
                <w:b/>
                <w:color w:val="000000"/>
                <w:highlight w:val="yellow"/>
                <w:u w:val="single"/>
                <w:lang w:val="en-US" w:eastAsia="zh-CN"/>
              </w:rPr>
              <w:t>金额                元</w:t>
            </w:r>
          </w:p>
        </w:tc>
      </w:tr>
      <w:tr w14:paraId="534324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87" w:hRule="atLeast"/>
        </w:trPr>
        <w:tc>
          <w:tcPr>
            <w:tcW w:w="2633" w:type="dxa"/>
            <w:vAlign w:val="center"/>
          </w:tcPr>
          <w:p w14:paraId="301D1A96">
            <w:pPr>
              <w:spacing w:line="360" w:lineRule="auto"/>
              <w:jc w:val="center"/>
              <w:rPr>
                <w:rFonts w:hAnsi="宋体"/>
                <w:b/>
                <w:color w:val="000000"/>
              </w:rPr>
            </w:pPr>
            <w:r>
              <w:rPr>
                <w:rFonts w:hint="eastAsia" w:hAnsi="宋体"/>
                <w:b/>
                <w:color w:val="000000"/>
              </w:rPr>
              <w:t>备注说明</w:t>
            </w:r>
          </w:p>
        </w:tc>
        <w:tc>
          <w:tcPr>
            <w:tcW w:w="6492" w:type="dxa"/>
          </w:tcPr>
          <w:p w14:paraId="45E7C068">
            <w:pPr>
              <w:spacing w:line="360" w:lineRule="auto"/>
              <w:rPr>
                <w:rFonts w:hAnsi="宋体"/>
                <w:b/>
                <w:color w:val="000000"/>
              </w:rPr>
            </w:pPr>
          </w:p>
        </w:tc>
      </w:tr>
    </w:tbl>
    <w:p w14:paraId="15D80B8A">
      <w:pPr>
        <w:snapToGrid w:val="0"/>
        <w:spacing w:line="360" w:lineRule="auto"/>
        <w:rPr>
          <w:rFonts w:hAnsi="宋体"/>
          <w:b/>
          <w:color w:val="000000"/>
        </w:rPr>
      </w:pPr>
      <w:r>
        <w:rPr>
          <w:rFonts w:hint="eastAsia" w:hAnsi="宋体"/>
          <w:b/>
          <w:color w:val="000000"/>
        </w:rPr>
        <w:t xml:space="preserve">供应商公章：                       </w:t>
      </w:r>
    </w:p>
    <w:p w14:paraId="39400900">
      <w:pPr>
        <w:snapToGrid w:val="0"/>
        <w:spacing w:line="360" w:lineRule="auto"/>
        <w:ind w:left="5550"/>
        <w:jc w:val="center"/>
        <w:rPr>
          <w:rFonts w:hAnsi="宋体"/>
          <w:color w:val="000000"/>
        </w:rPr>
      </w:pPr>
      <w:r>
        <w:rPr>
          <w:rFonts w:hint="eastAsia" w:hAnsi="宋体"/>
          <w:color w:val="000000"/>
        </w:rPr>
        <w:t>年     月     日</w:t>
      </w:r>
    </w:p>
    <w:p w14:paraId="3684E49D">
      <w:pPr>
        <w:adjustRightInd w:val="0"/>
        <w:snapToGrid w:val="0"/>
        <w:spacing w:line="360" w:lineRule="auto"/>
        <w:rPr>
          <w:rFonts w:hAnsi="宋体"/>
          <w:b/>
          <w:bCs/>
          <w:color w:val="000000"/>
          <w:szCs w:val="28"/>
        </w:rPr>
      </w:pPr>
      <w:r>
        <w:rPr>
          <w:rFonts w:hint="eastAsia" w:hAnsi="宋体"/>
          <w:b/>
          <w:bCs/>
          <w:color w:val="000000"/>
          <w:szCs w:val="28"/>
        </w:rPr>
        <w:t>注：</w:t>
      </w:r>
    </w:p>
    <w:p w14:paraId="3620582C">
      <w:pPr>
        <w:adjustRightInd w:val="0"/>
        <w:snapToGrid w:val="0"/>
        <w:spacing w:line="360" w:lineRule="auto"/>
        <w:ind w:firstLine="422" w:firstLineChars="200"/>
        <w:rPr>
          <w:rFonts w:hAnsi="宋体"/>
          <w:color w:val="000000"/>
        </w:rPr>
      </w:pPr>
      <w:r>
        <w:rPr>
          <w:rFonts w:hint="eastAsia" w:hAnsi="宋体"/>
          <w:b/>
          <w:bCs/>
          <w:color w:val="000000"/>
          <w:szCs w:val="28"/>
        </w:rPr>
        <w:t>1、本表内容包括了</w:t>
      </w:r>
      <w:r>
        <w:rPr>
          <w:rFonts w:hint="eastAsia" w:hAnsi="宋体"/>
          <w:b/>
          <w:bCs/>
          <w:color w:val="000000"/>
          <w:szCs w:val="28"/>
          <w:lang w:val="en-US" w:eastAsia="zh-CN"/>
        </w:rPr>
        <w:t>货物、</w:t>
      </w:r>
      <w:r>
        <w:rPr>
          <w:rFonts w:hint="eastAsia" w:hAnsi="宋体"/>
          <w:b/>
          <w:bCs/>
          <w:color w:val="000000"/>
          <w:szCs w:val="28"/>
        </w:rPr>
        <w:t>服务及其配套的设计、采购、运输、保险、仓储、税费以及现场落地、安装及安装耗损、调试、验收、培训、技术服务（包括技术资料、图纸的提供）质保期内的售后服务保障等所有费用。</w:t>
      </w:r>
    </w:p>
    <w:p w14:paraId="1FECE7ED">
      <w:pPr>
        <w:adjustRightInd w:val="0"/>
        <w:snapToGrid w:val="0"/>
        <w:spacing w:line="360" w:lineRule="auto"/>
        <w:ind w:firstLine="422" w:firstLineChars="200"/>
        <w:rPr>
          <w:rFonts w:hAnsi="宋体"/>
          <w:b/>
          <w:bCs/>
          <w:color w:val="000000"/>
          <w:szCs w:val="28"/>
        </w:rPr>
      </w:pPr>
      <w:r>
        <w:rPr>
          <w:rFonts w:hint="eastAsia" w:hAnsi="宋体"/>
          <w:b/>
          <w:bCs/>
          <w:color w:val="000000"/>
          <w:szCs w:val="28"/>
        </w:rPr>
        <w:t>2、特殊事项在备注中注明。</w:t>
      </w:r>
    </w:p>
    <w:p w14:paraId="07B5F7F8">
      <w:pPr>
        <w:adjustRightInd w:val="0"/>
        <w:snapToGrid w:val="0"/>
        <w:spacing w:line="360" w:lineRule="auto"/>
        <w:ind w:firstLine="422" w:firstLineChars="200"/>
        <w:rPr>
          <w:rFonts w:hAnsi="宋体"/>
          <w:b/>
          <w:bCs/>
          <w:color w:val="000000"/>
          <w:szCs w:val="28"/>
        </w:rPr>
      </w:pPr>
    </w:p>
    <w:p w14:paraId="2CC98ED6">
      <w:pPr>
        <w:pStyle w:val="2"/>
        <w:ind w:left="438" w:firstLine="600"/>
        <w:rPr>
          <w:rFonts w:hAnsi="宋体"/>
          <w:b/>
          <w:bCs/>
          <w:color w:val="000000"/>
          <w:szCs w:val="28"/>
        </w:rPr>
      </w:pPr>
    </w:p>
    <w:p w14:paraId="71CF0248">
      <w:pPr>
        <w:pStyle w:val="2"/>
        <w:ind w:left="438" w:firstLine="600"/>
        <w:rPr>
          <w:rFonts w:hAnsi="宋体"/>
          <w:b/>
          <w:bCs/>
          <w:color w:val="000000"/>
          <w:szCs w:val="28"/>
        </w:rPr>
      </w:pPr>
    </w:p>
    <w:p w14:paraId="2BC47A65"/>
    <w:bookmarkEnd w:id="0"/>
    <w:p w14:paraId="75F42502">
      <w:pPr>
        <w:spacing w:line="360" w:lineRule="auto"/>
        <w:rPr>
          <w:rFonts w:hAnsi="宋体" w:cs="宋体"/>
          <w:b/>
          <w:bCs/>
          <w:color w:val="000000"/>
          <w:szCs w:val="24"/>
        </w:rPr>
      </w:pPr>
      <w:r>
        <w:rPr>
          <w:rFonts w:hAnsi="宋体" w:cs="宋体"/>
          <w:b/>
          <w:bCs/>
          <w:color w:val="000000"/>
          <w:szCs w:val="24"/>
        </w:rPr>
        <w:t>二</w:t>
      </w:r>
      <w:r>
        <w:rPr>
          <w:rFonts w:hint="eastAsia" w:hAnsi="宋体" w:cs="宋体"/>
          <w:b/>
          <w:bCs/>
          <w:color w:val="000000"/>
          <w:szCs w:val="24"/>
        </w:rPr>
        <w:t>、</w:t>
      </w:r>
    </w:p>
    <w:p w14:paraId="4856640B">
      <w:pPr>
        <w:spacing w:line="360" w:lineRule="auto"/>
        <w:jc w:val="center"/>
        <w:rPr>
          <w:rFonts w:hAnsi="宋体" w:cs="宋体"/>
          <w:b/>
          <w:bCs/>
          <w:color w:val="000000"/>
          <w:szCs w:val="24"/>
        </w:rPr>
      </w:pPr>
    </w:p>
    <w:p w14:paraId="6B41D0A1">
      <w:pPr>
        <w:spacing w:line="360" w:lineRule="auto"/>
        <w:jc w:val="center"/>
        <w:rPr>
          <w:rFonts w:hAnsi="宋体" w:cs="宋体"/>
          <w:color w:val="000000"/>
          <w:szCs w:val="24"/>
        </w:rPr>
      </w:pPr>
      <w:r>
        <w:rPr>
          <w:rFonts w:hint="eastAsia" w:hAnsi="宋体" w:cs="宋体"/>
          <w:b/>
          <w:bCs/>
          <w:color w:val="000000"/>
          <w:szCs w:val="24"/>
        </w:rPr>
        <w:t>供应商综合情况简介</w:t>
      </w:r>
    </w:p>
    <w:p w14:paraId="45247DE9">
      <w:pPr>
        <w:spacing w:line="360" w:lineRule="auto"/>
        <w:rPr>
          <w:rFonts w:hAnsi="宋体" w:cs="宋体"/>
          <w:color w:val="000000"/>
          <w:szCs w:val="24"/>
        </w:rPr>
      </w:pPr>
    </w:p>
    <w:p w14:paraId="603DAED1">
      <w:pPr>
        <w:spacing w:line="360" w:lineRule="auto"/>
        <w:rPr>
          <w:rFonts w:hAnsi="宋体" w:cs="宋体"/>
          <w:color w:val="000000"/>
          <w:szCs w:val="24"/>
        </w:rPr>
      </w:pPr>
    </w:p>
    <w:p w14:paraId="28C29A22">
      <w:pPr>
        <w:spacing w:line="500" w:lineRule="exact"/>
        <w:jc w:val="center"/>
        <w:rPr>
          <w:rFonts w:hAnsi="宋体" w:cs="宋体"/>
          <w:color w:val="000000"/>
          <w:szCs w:val="24"/>
        </w:rPr>
      </w:pPr>
      <w:r>
        <w:rPr>
          <w:rFonts w:hint="eastAsia" w:hAnsi="宋体" w:cs="宋体"/>
          <w:color w:val="000000"/>
          <w:szCs w:val="24"/>
        </w:rPr>
        <w:t>(供应商可自行制作格式)</w:t>
      </w:r>
    </w:p>
    <w:p w14:paraId="67B049DC">
      <w:pPr>
        <w:spacing w:line="500" w:lineRule="exact"/>
        <w:jc w:val="center"/>
        <w:rPr>
          <w:rFonts w:hAnsi="宋体" w:cs="宋体"/>
          <w:color w:val="000000"/>
          <w:szCs w:val="24"/>
        </w:rPr>
      </w:pPr>
    </w:p>
    <w:p w14:paraId="4D35620D">
      <w:pPr>
        <w:spacing w:line="360" w:lineRule="auto"/>
        <w:outlineLvl w:val="1"/>
        <w:rPr>
          <w:rFonts w:hint="eastAsia" w:hAnsi="宋体" w:eastAsia="宋体" w:cs="宋体"/>
          <w:b/>
          <w:color w:val="000000"/>
          <w:szCs w:val="24"/>
          <w:lang w:eastAsia="zh-CN"/>
        </w:rPr>
      </w:pPr>
      <w:bookmarkStart w:id="4" w:name="_Toc438648620"/>
      <w:r>
        <w:rPr>
          <w:rFonts w:hint="eastAsia" w:hAnsi="宋体" w:cs="宋体"/>
          <w:b/>
          <w:color w:val="000000"/>
          <w:szCs w:val="24"/>
        </w:rPr>
        <w:br w:type="page"/>
      </w:r>
      <w:bookmarkEnd w:id="4"/>
      <w:r>
        <w:rPr>
          <w:rFonts w:hint="eastAsia" w:hAnsi="宋体" w:cs="宋体"/>
          <w:b/>
          <w:color w:val="000000"/>
          <w:szCs w:val="24"/>
          <w:lang w:val="en-US" w:eastAsia="zh-CN"/>
        </w:rPr>
        <w:t>三、</w:t>
      </w:r>
    </w:p>
    <w:p w14:paraId="756C746E">
      <w:pPr>
        <w:autoSpaceDE w:val="0"/>
        <w:autoSpaceDN w:val="0"/>
        <w:adjustRightInd w:val="0"/>
        <w:spacing w:line="360" w:lineRule="auto"/>
        <w:jc w:val="center"/>
        <w:rPr>
          <w:rFonts w:hAnsi="宋体" w:cs="宋体"/>
          <w:b/>
          <w:color w:val="000000"/>
          <w:szCs w:val="24"/>
          <w:lang w:val="zh-CN"/>
        </w:rPr>
      </w:pPr>
    </w:p>
    <w:p w14:paraId="363F21A4">
      <w:pPr>
        <w:autoSpaceDE w:val="0"/>
        <w:autoSpaceDN w:val="0"/>
        <w:adjustRightInd w:val="0"/>
        <w:spacing w:line="360" w:lineRule="auto"/>
        <w:jc w:val="center"/>
        <w:rPr>
          <w:rFonts w:hAnsi="宋体" w:cs="宋体"/>
          <w:b/>
          <w:color w:val="000000"/>
          <w:szCs w:val="24"/>
          <w:lang w:val="zh-CN"/>
        </w:rPr>
      </w:pPr>
      <w:r>
        <w:rPr>
          <w:rFonts w:hint="eastAsia" w:hAnsi="宋体" w:cs="宋体"/>
          <w:b/>
          <w:color w:val="000000"/>
          <w:szCs w:val="24"/>
          <w:lang w:val="zh-CN"/>
        </w:rPr>
        <w:t>法定代表人身份证明书</w:t>
      </w:r>
    </w:p>
    <w:p w14:paraId="6185B388">
      <w:pPr>
        <w:autoSpaceDE w:val="0"/>
        <w:autoSpaceDN w:val="0"/>
        <w:adjustRightInd w:val="0"/>
        <w:spacing w:line="360" w:lineRule="auto"/>
        <w:jc w:val="center"/>
        <w:rPr>
          <w:rFonts w:hAnsi="宋体" w:cs="宋体"/>
          <w:b/>
          <w:color w:val="000000"/>
          <w:szCs w:val="24"/>
          <w:lang w:val="zh-CN"/>
        </w:rPr>
      </w:pPr>
    </w:p>
    <w:p w14:paraId="366EFA86">
      <w:pPr>
        <w:spacing w:before="62" w:beforeLines="20" w:after="62" w:afterLines="20" w:line="540" w:lineRule="exact"/>
        <w:ind w:firstLine="610"/>
        <w:rPr>
          <w:rFonts w:hAnsi="宋体" w:cs="宋体"/>
          <w:color w:val="000000"/>
          <w:szCs w:val="24"/>
        </w:rPr>
      </w:pPr>
      <w:r>
        <w:rPr>
          <w:rFonts w:hint="eastAsia" w:hAnsi="宋体" w:cs="宋体"/>
          <w:color w:val="000000"/>
          <w:szCs w:val="24"/>
        </w:rPr>
        <w:t>单位名称：</w:t>
      </w:r>
    </w:p>
    <w:p w14:paraId="39BC136A">
      <w:pPr>
        <w:spacing w:before="62" w:beforeLines="20" w:after="62" w:afterLines="20" w:line="540" w:lineRule="exact"/>
        <w:ind w:firstLine="610"/>
        <w:rPr>
          <w:rFonts w:hAnsi="宋体" w:cs="宋体"/>
          <w:color w:val="000000"/>
          <w:szCs w:val="24"/>
        </w:rPr>
      </w:pPr>
      <w:r>
        <w:rPr>
          <w:rFonts w:hint="eastAsia" w:hAnsi="宋体" w:cs="宋体"/>
          <w:color w:val="000000"/>
          <w:szCs w:val="24"/>
        </w:rPr>
        <w:t>地    址：</w:t>
      </w:r>
    </w:p>
    <w:p w14:paraId="10916C37">
      <w:pPr>
        <w:spacing w:before="62" w:beforeLines="20" w:after="62" w:afterLines="20" w:line="540" w:lineRule="exact"/>
        <w:ind w:firstLine="610"/>
        <w:rPr>
          <w:rFonts w:hAnsi="宋体" w:cs="宋体"/>
          <w:color w:val="000000"/>
          <w:szCs w:val="24"/>
        </w:rPr>
      </w:pPr>
      <w:r>
        <w:rPr>
          <w:rFonts w:hint="eastAsia" w:hAnsi="宋体" w:cs="宋体"/>
          <w:color w:val="000000"/>
          <w:szCs w:val="24"/>
        </w:rPr>
        <w:t>成立时间：        年     月    日</w:t>
      </w:r>
    </w:p>
    <w:p w14:paraId="0E86B401">
      <w:pPr>
        <w:spacing w:before="62" w:beforeLines="20" w:after="62" w:afterLines="20" w:line="540" w:lineRule="exact"/>
        <w:ind w:firstLine="610"/>
        <w:rPr>
          <w:rFonts w:hAnsi="宋体" w:cs="宋体"/>
          <w:color w:val="000000"/>
          <w:szCs w:val="24"/>
        </w:rPr>
      </w:pPr>
      <w:r>
        <w:rPr>
          <w:rFonts w:hint="eastAsia" w:hAnsi="宋体" w:cs="宋体"/>
          <w:color w:val="000000"/>
          <w:szCs w:val="24"/>
        </w:rPr>
        <w:t>经营期限：</w:t>
      </w:r>
    </w:p>
    <w:p w14:paraId="35CDD8BA">
      <w:pPr>
        <w:spacing w:before="62" w:beforeLines="20" w:after="62" w:afterLines="20" w:line="540" w:lineRule="exact"/>
        <w:ind w:firstLine="610"/>
        <w:rPr>
          <w:rFonts w:hAnsi="宋体" w:cs="宋体"/>
          <w:color w:val="000000"/>
          <w:szCs w:val="24"/>
          <w:u w:val="single"/>
        </w:rPr>
      </w:pPr>
      <w:r>
        <w:rPr>
          <w:rFonts w:hint="eastAsia" w:hAnsi="宋体" w:cs="宋体"/>
          <w:color w:val="000000"/>
          <w:szCs w:val="24"/>
        </w:rPr>
        <w:t>姓    名：               性别：</w:t>
      </w:r>
    </w:p>
    <w:p w14:paraId="0133B048">
      <w:pPr>
        <w:spacing w:before="62" w:beforeLines="20" w:after="62" w:afterLines="20" w:line="540" w:lineRule="exact"/>
        <w:ind w:firstLine="610"/>
        <w:rPr>
          <w:rFonts w:hAnsi="宋体" w:cs="宋体"/>
          <w:color w:val="000000"/>
          <w:szCs w:val="24"/>
          <w:u w:val="single"/>
        </w:rPr>
      </w:pPr>
      <w:r>
        <w:rPr>
          <w:rFonts w:hint="eastAsia" w:hAnsi="宋体" w:cs="宋体"/>
          <w:color w:val="000000"/>
          <w:szCs w:val="24"/>
        </w:rPr>
        <w:t>年    龄：                    职务：</w:t>
      </w:r>
    </w:p>
    <w:p w14:paraId="58F5E05B">
      <w:pPr>
        <w:spacing w:before="62" w:beforeLines="20" w:after="62" w:afterLines="20" w:line="540" w:lineRule="exact"/>
        <w:ind w:firstLine="610"/>
        <w:rPr>
          <w:rFonts w:hAnsi="宋体" w:cs="宋体"/>
          <w:color w:val="000000"/>
          <w:szCs w:val="24"/>
        </w:rPr>
      </w:pPr>
      <w:r>
        <w:rPr>
          <w:rFonts w:hint="eastAsia" w:hAnsi="宋体" w:cs="宋体"/>
          <w:color w:val="000000"/>
          <w:szCs w:val="24"/>
        </w:rPr>
        <w:t>系</w:t>
      </w:r>
      <w:r>
        <w:rPr>
          <w:rFonts w:hint="eastAsia" w:hAnsi="宋体" w:cs="宋体"/>
          <w:color w:val="000000"/>
          <w:szCs w:val="24"/>
          <w:u w:val="single"/>
        </w:rPr>
        <w:t xml:space="preserve">     （供应商单位名称）      </w:t>
      </w:r>
      <w:r>
        <w:rPr>
          <w:rFonts w:hint="eastAsia" w:hAnsi="宋体" w:cs="宋体"/>
          <w:color w:val="000000"/>
          <w:szCs w:val="24"/>
        </w:rPr>
        <w:t xml:space="preserve"> 的法定代表人。</w:t>
      </w:r>
    </w:p>
    <w:p w14:paraId="318C4F1E">
      <w:pPr>
        <w:spacing w:before="62" w:beforeLines="20" w:after="62" w:afterLines="20" w:line="540" w:lineRule="exact"/>
        <w:ind w:firstLine="610"/>
        <w:rPr>
          <w:rFonts w:hAnsi="宋体" w:cs="宋体"/>
          <w:color w:val="000000"/>
          <w:szCs w:val="24"/>
        </w:rPr>
      </w:pPr>
    </w:p>
    <w:p w14:paraId="67D0F14C">
      <w:pPr>
        <w:pStyle w:val="3"/>
        <w:spacing w:before="62" w:beforeLines="20" w:after="62" w:afterLines="20" w:line="540" w:lineRule="exact"/>
        <w:ind w:firstLine="240" w:firstLineChars="100"/>
        <w:rPr>
          <w:rFonts w:ascii="宋体" w:hAnsi="宋体" w:eastAsia="宋体" w:cs="宋体"/>
          <w:color w:val="000000"/>
          <w:sz w:val="24"/>
          <w:szCs w:val="24"/>
        </w:rPr>
      </w:pPr>
      <w:r>
        <w:rPr>
          <w:rFonts w:hint="eastAsia" w:ascii="宋体" w:hAnsi="宋体" w:eastAsia="宋体" w:cs="宋体"/>
          <w:color w:val="000000"/>
          <w:sz w:val="24"/>
          <w:szCs w:val="24"/>
        </w:rPr>
        <w:t xml:space="preserve">   特此证明。</w:t>
      </w:r>
    </w:p>
    <w:p w14:paraId="567BF531">
      <w:pPr>
        <w:tabs>
          <w:tab w:val="left" w:pos="720"/>
          <w:tab w:val="left" w:pos="900"/>
        </w:tabs>
        <w:spacing w:before="62" w:beforeLines="20" w:after="62" w:afterLines="20" w:line="540" w:lineRule="exact"/>
        <w:ind w:firstLine="420" w:firstLineChars="200"/>
        <w:rPr>
          <w:rFonts w:hAnsi="宋体" w:cs="宋体"/>
          <w:color w:val="000000"/>
          <w:szCs w:val="24"/>
        </w:rPr>
      </w:pPr>
    </w:p>
    <w:p w14:paraId="75D1CE3D">
      <w:pPr>
        <w:tabs>
          <w:tab w:val="left" w:pos="720"/>
          <w:tab w:val="left" w:pos="900"/>
        </w:tabs>
        <w:spacing w:before="62" w:beforeLines="20" w:after="62" w:afterLines="20" w:line="540" w:lineRule="exact"/>
        <w:ind w:firstLine="420" w:firstLineChars="200"/>
        <w:rPr>
          <w:rFonts w:hAnsi="宋体" w:cs="宋体"/>
          <w:color w:val="000000"/>
          <w:szCs w:val="24"/>
        </w:rPr>
      </w:pPr>
    </w:p>
    <w:p w14:paraId="41BD8A97">
      <w:pPr>
        <w:tabs>
          <w:tab w:val="left" w:pos="720"/>
          <w:tab w:val="left" w:pos="900"/>
        </w:tabs>
        <w:spacing w:before="62" w:beforeLines="20" w:after="62" w:afterLines="20" w:line="540" w:lineRule="exact"/>
        <w:ind w:firstLine="3990" w:firstLineChars="1900"/>
        <w:rPr>
          <w:rFonts w:hAnsi="宋体" w:cs="宋体"/>
          <w:color w:val="000000"/>
          <w:szCs w:val="24"/>
        </w:rPr>
      </w:pPr>
    </w:p>
    <w:p w14:paraId="7A9B4D65">
      <w:pPr>
        <w:tabs>
          <w:tab w:val="left" w:pos="720"/>
          <w:tab w:val="left" w:pos="900"/>
        </w:tabs>
        <w:spacing w:before="62" w:beforeLines="20" w:after="62" w:afterLines="20" w:line="540" w:lineRule="exact"/>
        <w:ind w:firstLine="3360" w:firstLineChars="1600"/>
        <w:rPr>
          <w:rFonts w:hAnsi="宋体" w:cs="宋体"/>
          <w:color w:val="000000"/>
          <w:szCs w:val="24"/>
        </w:rPr>
      </w:pPr>
      <w:r>
        <w:rPr>
          <w:rFonts w:hint="eastAsia" w:hAnsi="宋体" w:cs="宋体"/>
          <w:color w:val="000000"/>
          <w:szCs w:val="24"/>
        </w:rPr>
        <w:t>供应商：</w:t>
      </w:r>
      <w:r>
        <w:rPr>
          <w:rFonts w:hint="eastAsia" w:hAnsi="宋体" w:cs="宋体"/>
          <w:color w:val="000000"/>
          <w:szCs w:val="24"/>
          <w:u w:val="single"/>
        </w:rPr>
        <w:t xml:space="preserve">            （盖公章）</w:t>
      </w:r>
    </w:p>
    <w:p w14:paraId="04AF091B">
      <w:pPr>
        <w:spacing w:before="62" w:beforeLines="20" w:after="62" w:afterLines="20" w:line="540" w:lineRule="exact"/>
        <w:ind w:firstLine="3360" w:firstLineChars="1600"/>
        <w:rPr>
          <w:rFonts w:hAnsi="宋体" w:cs="宋体"/>
          <w:color w:val="000000"/>
          <w:szCs w:val="24"/>
        </w:rPr>
      </w:pPr>
      <w:r>
        <w:rPr>
          <w:rFonts w:hint="eastAsia" w:hAnsi="宋体" w:cs="宋体"/>
          <w:color w:val="000000"/>
          <w:szCs w:val="24"/>
        </w:rPr>
        <w:t>日  期：年月日</w:t>
      </w:r>
    </w:p>
    <w:p w14:paraId="292C0B8E">
      <w:pPr>
        <w:spacing w:before="62" w:beforeLines="20" w:after="62" w:afterLines="20" w:line="540" w:lineRule="exact"/>
        <w:outlineLvl w:val="1"/>
        <w:rPr>
          <w:rFonts w:hint="eastAsia" w:hAnsi="宋体" w:eastAsia="宋体" w:cs="宋体"/>
          <w:b/>
          <w:color w:val="000000"/>
          <w:szCs w:val="24"/>
          <w:lang w:eastAsia="zh-CN"/>
        </w:rPr>
      </w:pPr>
      <w:r>
        <w:rPr>
          <w:rFonts w:hAnsi="宋体" w:cs="宋体"/>
          <w:color w:val="000000"/>
          <w:szCs w:val="24"/>
        </w:rPr>
        <w:br w:type="page"/>
      </w:r>
      <w:bookmarkStart w:id="5" w:name="_Toc438648622"/>
      <w:r>
        <w:rPr>
          <w:rFonts w:hint="eastAsia" w:hAnsi="宋体" w:cs="宋体"/>
          <w:b/>
          <w:color w:val="000000"/>
          <w:szCs w:val="24"/>
          <w:lang w:val="en-US" w:eastAsia="zh-CN"/>
        </w:rPr>
        <w:t>四、</w:t>
      </w:r>
    </w:p>
    <w:p w14:paraId="7A54B240">
      <w:pPr>
        <w:spacing w:before="156" w:beforeLines="50" w:after="156" w:afterLines="50" w:line="360" w:lineRule="auto"/>
        <w:jc w:val="center"/>
        <w:rPr>
          <w:rFonts w:hAnsi="宋体" w:cs="宋体"/>
          <w:b/>
          <w:color w:val="000000"/>
          <w:szCs w:val="24"/>
        </w:rPr>
      </w:pPr>
      <w:r>
        <w:rPr>
          <w:rFonts w:hint="eastAsia" w:hAnsi="宋体" w:cs="宋体"/>
          <w:b/>
          <w:color w:val="000000"/>
          <w:szCs w:val="24"/>
        </w:rPr>
        <w:t>投标授权书</w:t>
      </w:r>
    </w:p>
    <w:p w14:paraId="397CFF43">
      <w:pPr>
        <w:snapToGrid w:val="0"/>
        <w:spacing w:line="360" w:lineRule="auto"/>
        <w:ind w:firstLine="420" w:firstLineChars="200"/>
        <w:jc w:val="left"/>
        <w:rPr>
          <w:rFonts w:hAnsi="宋体" w:cs="宋体"/>
          <w:color w:val="000000"/>
          <w:szCs w:val="24"/>
        </w:rPr>
      </w:pPr>
      <w:r>
        <w:rPr>
          <w:rFonts w:hint="eastAsia" w:hAnsi="宋体" w:cs="宋体"/>
          <w:color w:val="000000"/>
          <w:szCs w:val="24"/>
        </w:rPr>
        <w:t>本授权书声明：公司授权本公司</w:t>
      </w:r>
      <w:r>
        <w:rPr>
          <w:rFonts w:hint="eastAsia" w:hAnsi="宋体" w:cs="宋体"/>
          <w:color w:val="000000"/>
          <w:szCs w:val="24"/>
          <w:u w:val="single"/>
        </w:rPr>
        <w:t>（供应商授权代表姓名）</w:t>
      </w:r>
      <w:r>
        <w:rPr>
          <w:rFonts w:hint="eastAsia" w:hAnsi="宋体" w:cs="宋体"/>
          <w:color w:val="000000"/>
          <w:szCs w:val="24"/>
        </w:rPr>
        <w:t>代表本公司（工厂）参加</w:t>
      </w:r>
      <w:r>
        <w:rPr>
          <w:rFonts w:hint="eastAsia" w:hAnsi="宋体"/>
          <w:bCs/>
          <w:color w:val="000000"/>
          <w:szCs w:val="24"/>
        </w:rPr>
        <w:t>采购人</w:t>
      </w:r>
      <w:r>
        <w:rPr>
          <w:rFonts w:hint="eastAsia" w:hAnsi="宋体"/>
          <w:bCs/>
          <w:color w:val="000000"/>
          <w:szCs w:val="24"/>
          <w:u w:val="single"/>
        </w:rPr>
        <w:t xml:space="preserve">    项目名称       </w:t>
      </w:r>
      <w:r>
        <w:rPr>
          <w:rFonts w:hint="eastAsia" w:hAnsi="宋体" w:cs="宋体"/>
          <w:color w:val="000000"/>
          <w:szCs w:val="24"/>
        </w:rPr>
        <w:t>采购活动（项目编号： ），全权代表本公司处理评标过程的一切事宜，包括但不限于：评标、签约等。供应商授权代表在评标过程中所签署的一切文件和处理与之有关的一切事务，本公司均予以认可并对此承担责任。供应商授权代表无转委托权。特此授权。</w:t>
      </w:r>
    </w:p>
    <w:p w14:paraId="7705131A">
      <w:pPr>
        <w:snapToGrid w:val="0"/>
        <w:spacing w:line="360" w:lineRule="auto"/>
        <w:ind w:firstLine="420" w:firstLineChars="200"/>
        <w:jc w:val="left"/>
        <w:rPr>
          <w:rFonts w:hAnsi="宋体" w:cs="宋体"/>
          <w:color w:val="000000"/>
          <w:szCs w:val="24"/>
        </w:rPr>
      </w:pPr>
      <w:r>
        <w:rPr>
          <w:rFonts w:hint="eastAsia" w:hAnsi="宋体" w:cs="宋体"/>
          <w:color w:val="000000"/>
          <w:szCs w:val="24"/>
        </w:rPr>
        <w:t>本授权书自出具之日起生效。</w:t>
      </w:r>
    </w:p>
    <w:p w14:paraId="077640D5">
      <w:pPr>
        <w:pStyle w:val="12"/>
        <w:snapToGrid w:val="0"/>
        <w:spacing w:line="360" w:lineRule="auto"/>
        <w:ind w:firstLine="480" w:firstLineChars="200"/>
        <w:jc w:val="left"/>
        <w:rPr>
          <w:rFonts w:hAnsi="宋体"/>
          <w:color w:val="000000"/>
          <w:sz w:val="24"/>
        </w:rPr>
      </w:pPr>
      <w:r>
        <w:rPr>
          <w:rFonts w:hint="eastAsia" w:hAnsi="宋体"/>
          <w:color w:val="000000"/>
          <w:sz w:val="24"/>
          <w:szCs w:val="28"/>
        </w:rPr>
        <w:t>授权代表</w:t>
      </w:r>
      <w:r>
        <w:rPr>
          <w:rFonts w:hint="eastAsia" w:hAnsi="宋体"/>
          <w:color w:val="000000"/>
          <w:sz w:val="24"/>
        </w:rPr>
        <w:t>身份证明扫描件或影印件：</w:t>
      </w:r>
    </w:p>
    <w:p w14:paraId="5FFDAF96">
      <w:pPr>
        <w:pStyle w:val="12"/>
        <w:snapToGrid w:val="0"/>
        <w:spacing w:line="360" w:lineRule="auto"/>
        <w:ind w:firstLine="480" w:firstLineChars="200"/>
        <w:jc w:val="left"/>
        <w:rPr>
          <w:rFonts w:hAnsi="宋体"/>
          <w:color w:val="000000"/>
          <w:sz w:val="24"/>
        </w:rPr>
      </w:pPr>
      <w:r>
        <w:rPr>
          <w:rFonts w:hAnsi="宋体"/>
          <w:color w:val="000000"/>
          <w:sz w:val="24"/>
        </w:rPr>
        <mc:AlternateContent>
          <mc:Choice Requires="wps">
            <w:drawing>
              <wp:anchor distT="0" distB="0" distL="114300" distR="114300" simplePos="0" relativeHeight="251659264" behindDoc="0" locked="0" layoutInCell="1" allowOverlap="1">
                <wp:simplePos x="0" y="0"/>
                <wp:positionH relativeFrom="column">
                  <wp:posOffset>1695450</wp:posOffset>
                </wp:positionH>
                <wp:positionV relativeFrom="paragraph">
                  <wp:posOffset>156845</wp:posOffset>
                </wp:positionV>
                <wp:extent cx="1774190" cy="1023620"/>
                <wp:effectExtent l="4445" t="4445" r="12065" b="19685"/>
                <wp:wrapNone/>
                <wp:docPr id="19" name="自选图形 4"/>
                <wp:cNvGraphicFramePr/>
                <a:graphic xmlns:a="http://schemas.openxmlformats.org/drawingml/2006/main">
                  <a:graphicData uri="http://schemas.microsoft.com/office/word/2010/wordprocessingShape">
                    <wps:wsp>
                      <wps:cNvSpPr>
                        <a:spLocks noChangeArrowheads="1"/>
                      </wps:cNvSpPr>
                      <wps:spPr bwMode="auto">
                        <a:xfrm>
                          <a:off x="0" y="0"/>
                          <a:ext cx="1774190" cy="1023620"/>
                        </a:xfrm>
                        <a:prstGeom prst="roundRect">
                          <a:avLst>
                            <a:gd name="adj" fmla="val 16667"/>
                          </a:avLst>
                        </a:prstGeom>
                        <a:solidFill>
                          <a:srgbClr val="FFFFFF"/>
                        </a:solidFill>
                        <a:ln w="9525">
                          <a:solidFill>
                            <a:srgbClr val="000000"/>
                          </a:solidFill>
                          <a:round/>
                        </a:ln>
                      </wps:spPr>
                      <wps:txbx>
                        <w:txbxContent>
                          <w:p w14:paraId="2088CD22">
                            <w:pPr>
                              <w:adjustRightInd w:val="0"/>
                              <w:snapToGrid w:val="0"/>
                            </w:pPr>
                          </w:p>
                          <w:p w14:paraId="6083FD35">
                            <w:pPr>
                              <w:adjustRightInd w:val="0"/>
                              <w:snapToGrid w:val="0"/>
                            </w:pPr>
                          </w:p>
                          <w:p w14:paraId="0F0DD99A">
                            <w:pPr>
                              <w:adjustRightInd w:val="0"/>
                              <w:snapToGrid w:val="0"/>
                              <w:jc w:val="center"/>
                            </w:pPr>
                            <w:r>
                              <w:rPr>
                                <w:rFonts w:hint="eastAsia"/>
                              </w:rPr>
                              <w:t>授权代表身份证复印件</w:t>
                            </w:r>
                          </w:p>
                          <w:p w14:paraId="343B221D">
                            <w:pPr>
                              <w:adjustRightInd w:val="0"/>
                              <w:snapToGrid w:val="0"/>
                            </w:pPr>
                          </w:p>
                          <w:p w14:paraId="23E6ACA1">
                            <w:pPr>
                              <w:adjustRightInd w:val="0"/>
                              <w:snapToGrid w:val="0"/>
                            </w:pPr>
                          </w:p>
                        </w:txbxContent>
                      </wps:txbx>
                      <wps:bodyPr rot="0" vert="horz" wrap="square" lIns="91440" tIns="45720" rIns="91440" bIns="45720" anchor="t" anchorCtr="0" upright="1">
                        <a:noAutofit/>
                      </wps:bodyPr>
                    </wps:wsp>
                  </a:graphicData>
                </a:graphic>
              </wp:anchor>
            </w:drawing>
          </mc:Choice>
          <mc:Fallback>
            <w:pict>
              <v:roundrect id="自选图形 4" o:spid="_x0000_s1026" o:spt="2" style="position:absolute;left:0pt;margin-left:133.5pt;margin-top:12.35pt;height:80.6pt;width:139.7pt;z-index:251659264;mso-width-relative:page;mso-height-relative:page;" fillcolor="#FFFFFF" filled="t" stroked="t" coordsize="21600,21600" arcsize="0.166666666666667" o:gfxdata="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">
                <v:fill on="t" focussize="0,0"/>
                <v:stroke color="#000000" joinstyle="round"/>
                <v:imagedata o:title=""/>
                <o:lock v:ext="edit" aspectratio="f"/>
                <v:textbox>
                  <w:txbxContent>
                    <w:p w14:paraId="2088CD22">
                      <w:pPr>
                        <w:adjustRightInd w:val="0"/>
                        <w:snapToGrid w:val="0"/>
                      </w:pPr>
                    </w:p>
                    <w:p w14:paraId="6083FD35">
                      <w:pPr>
                        <w:adjustRightInd w:val="0"/>
                        <w:snapToGrid w:val="0"/>
                      </w:pPr>
                    </w:p>
                    <w:p w14:paraId="0F0DD99A">
                      <w:pPr>
                        <w:adjustRightInd w:val="0"/>
                        <w:snapToGrid w:val="0"/>
                        <w:jc w:val="center"/>
                      </w:pPr>
                      <w:r>
                        <w:rPr>
                          <w:rFonts w:hint="eastAsia"/>
                        </w:rPr>
                        <w:t>授权代表身份证复印件</w:t>
                      </w:r>
                    </w:p>
                    <w:p w14:paraId="343B221D">
                      <w:pPr>
                        <w:adjustRightInd w:val="0"/>
                        <w:snapToGrid w:val="0"/>
                      </w:pPr>
                    </w:p>
                    <w:p w14:paraId="23E6ACA1">
                      <w:pPr>
                        <w:adjustRightInd w:val="0"/>
                        <w:snapToGrid w:val="0"/>
                      </w:pPr>
                    </w:p>
                  </w:txbxContent>
                </v:textbox>
              </v:roundrect>
            </w:pict>
          </mc:Fallback>
        </mc:AlternateContent>
      </w:r>
    </w:p>
    <w:p w14:paraId="460A309B">
      <w:pPr>
        <w:pStyle w:val="12"/>
        <w:snapToGrid w:val="0"/>
        <w:spacing w:line="360" w:lineRule="auto"/>
        <w:ind w:firstLine="480" w:firstLineChars="200"/>
        <w:jc w:val="left"/>
        <w:rPr>
          <w:rFonts w:hAnsi="宋体"/>
          <w:color w:val="000000"/>
          <w:sz w:val="24"/>
        </w:rPr>
      </w:pPr>
    </w:p>
    <w:p w14:paraId="5C543F25">
      <w:pPr>
        <w:pStyle w:val="12"/>
        <w:snapToGrid w:val="0"/>
        <w:spacing w:line="360" w:lineRule="auto"/>
        <w:ind w:firstLine="480" w:firstLineChars="200"/>
        <w:jc w:val="left"/>
        <w:rPr>
          <w:rFonts w:hAnsi="宋体"/>
          <w:color w:val="000000"/>
          <w:sz w:val="24"/>
        </w:rPr>
      </w:pPr>
    </w:p>
    <w:p w14:paraId="6BD64A3D">
      <w:pPr>
        <w:pStyle w:val="12"/>
        <w:snapToGrid w:val="0"/>
        <w:spacing w:line="360" w:lineRule="auto"/>
        <w:ind w:firstLine="480" w:firstLineChars="200"/>
        <w:jc w:val="left"/>
        <w:rPr>
          <w:rFonts w:hAnsi="宋体"/>
          <w:color w:val="000000"/>
          <w:sz w:val="24"/>
        </w:rPr>
      </w:pPr>
    </w:p>
    <w:p w14:paraId="3A2F8966">
      <w:pPr>
        <w:pStyle w:val="12"/>
        <w:snapToGrid w:val="0"/>
        <w:spacing w:line="360" w:lineRule="auto"/>
        <w:ind w:firstLine="480" w:firstLineChars="200"/>
        <w:jc w:val="left"/>
        <w:rPr>
          <w:rFonts w:hAnsi="宋体"/>
          <w:color w:val="000000"/>
          <w:sz w:val="24"/>
        </w:rPr>
      </w:pPr>
    </w:p>
    <w:p w14:paraId="4BE2B662">
      <w:pPr>
        <w:pStyle w:val="12"/>
        <w:snapToGrid w:val="0"/>
        <w:spacing w:line="360" w:lineRule="auto"/>
        <w:ind w:firstLine="480" w:firstLineChars="200"/>
        <w:jc w:val="left"/>
        <w:rPr>
          <w:rFonts w:hAnsi="宋体"/>
          <w:color w:val="000000"/>
          <w:sz w:val="24"/>
        </w:rPr>
      </w:pPr>
    </w:p>
    <w:p w14:paraId="7AA63C25">
      <w:pPr>
        <w:pStyle w:val="12"/>
        <w:snapToGrid w:val="0"/>
        <w:spacing w:line="360" w:lineRule="auto"/>
        <w:ind w:firstLine="480" w:firstLineChars="200"/>
        <w:jc w:val="left"/>
        <w:rPr>
          <w:rFonts w:hAnsi="宋体"/>
          <w:color w:val="000000"/>
          <w:sz w:val="24"/>
          <w:szCs w:val="28"/>
          <w:u w:val="single"/>
        </w:rPr>
      </w:pPr>
      <w:r>
        <w:rPr>
          <w:rFonts w:hint="eastAsia" w:hAnsi="宋体"/>
          <w:color w:val="000000"/>
          <w:sz w:val="24"/>
          <w:szCs w:val="28"/>
        </w:rPr>
        <w:t>授权代表联系方式：</w:t>
      </w:r>
      <w:r>
        <w:rPr>
          <w:rFonts w:hint="eastAsia" w:hAnsi="宋体"/>
          <w:color w:val="000000"/>
          <w:sz w:val="24"/>
          <w:szCs w:val="28"/>
          <w:u w:val="single"/>
        </w:rPr>
        <w:t xml:space="preserve">          （请填写手机号码）</w:t>
      </w:r>
    </w:p>
    <w:p w14:paraId="278AADED">
      <w:pPr>
        <w:spacing w:line="360" w:lineRule="auto"/>
        <w:ind w:firstLine="315" w:firstLineChars="150"/>
        <w:rPr>
          <w:rFonts w:hAnsi="宋体"/>
          <w:color w:val="000000"/>
          <w:szCs w:val="28"/>
        </w:rPr>
      </w:pPr>
      <w:r>
        <w:rPr>
          <w:rFonts w:hint="eastAsia" w:hAnsi="宋体"/>
          <w:color w:val="000000"/>
          <w:szCs w:val="28"/>
        </w:rPr>
        <w:t>特此声明。</w:t>
      </w:r>
    </w:p>
    <w:p w14:paraId="013E2964">
      <w:pPr>
        <w:spacing w:line="360" w:lineRule="auto"/>
        <w:ind w:right="440" w:firstLine="6438" w:firstLineChars="3054"/>
        <w:rPr>
          <w:rFonts w:hAnsi="宋体"/>
          <w:b/>
          <w:bCs/>
          <w:color w:val="000000"/>
          <w:szCs w:val="28"/>
        </w:rPr>
      </w:pPr>
      <w:r>
        <w:rPr>
          <w:rFonts w:hint="eastAsia" w:hAnsi="宋体"/>
          <w:b/>
          <w:bCs/>
          <w:color w:val="000000"/>
          <w:szCs w:val="28"/>
        </w:rPr>
        <w:t>供应商签章：</w:t>
      </w:r>
    </w:p>
    <w:p w14:paraId="7E273A49">
      <w:pPr>
        <w:spacing w:line="360" w:lineRule="auto"/>
        <w:jc w:val="right"/>
        <w:rPr>
          <w:rFonts w:hAnsi="宋体"/>
          <w:color w:val="000000"/>
          <w:szCs w:val="28"/>
        </w:rPr>
      </w:pPr>
      <w:r>
        <w:rPr>
          <w:rFonts w:hint="eastAsia" w:hAnsi="宋体"/>
          <w:color w:val="000000"/>
          <w:szCs w:val="28"/>
        </w:rPr>
        <w:t>日 期： 年  月   日</w:t>
      </w:r>
    </w:p>
    <w:p w14:paraId="5737EB56">
      <w:pPr>
        <w:pStyle w:val="12"/>
        <w:snapToGrid w:val="0"/>
        <w:spacing w:line="360" w:lineRule="auto"/>
        <w:jc w:val="left"/>
        <w:rPr>
          <w:rFonts w:hAnsi="宋体"/>
          <w:color w:val="000000"/>
          <w:sz w:val="24"/>
          <w:szCs w:val="28"/>
        </w:rPr>
      </w:pPr>
      <w:r>
        <w:rPr>
          <w:rFonts w:hint="eastAsia" w:hAnsi="宋体"/>
          <w:color w:val="000000"/>
          <w:sz w:val="24"/>
          <w:szCs w:val="28"/>
        </w:rPr>
        <w:t>注：</w:t>
      </w:r>
    </w:p>
    <w:p w14:paraId="7654316D">
      <w:pPr>
        <w:pStyle w:val="12"/>
        <w:snapToGrid w:val="0"/>
        <w:spacing w:line="360" w:lineRule="auto"/>
        <w:ind w:firstLine="480" w:firstLineChars="200"/>
        <w:jc w:val="left"/>
        <w:rPr>
          <w:rFonts w:hAnsi="宋体"/>
          <w:color w:val="000000"/>
          <w:sz w:val="24"/>
          <w:szCs w:val="28"/>
        </w:rPr>
      </w:pPr>
      <w:r>
        <w:rPr>
          <w:rFonts w:hint="eastAsia" w:hAnsi="宋体"/>
          <w:color w:val="000000"/>
          <w:sz w:val="24"/>
          <w:szCs w:val="28"/>
        </w:rPr>
        <w:t>1、本项目只允许有唯一的供应商授权代表，提供身份证明扫描件或影印件；</w:t>
      </w:r>
    </w:p>
    <w:p w14:paraId="513E7D45">
      <w:pPr>
        <w:snapToGrid w:val="0"/>
        <w:spacing w:line="360" w:lineRule="auto"/>
        <w:ind w:firstLine="420" w:firstLineChars="200"/>
        <w:jc w:val="left"/>
        <w:rPr>
          <w:rFonts w:hAnsi="宋体" w:cs="宋体"/>
          <w:color w:val="000000"/>
          <w:szCs w:val="24"/>
        </w:rPr>
      </w:pPr>
      <w:r>
        <w:rPr>
          <w:rFonts w:hint="eastAsia" w:hAnsi="宋体"/>
          <w:color w:val="000000"/>
        </w:rPr>
        <w:t>2、法定代表人参加评标的无需此件，提供身份证明复印件即可。</w:t>
      </w:r>
    </w:p>
    <w:p w14:paraId="4FB2D4B9">
      <w:pPr>
        <w:spacing w:line="360" w:lineRule="auto"/>
        <w:rPr>
          <w:rFonts w:hint="eastAsia" w:hAnsi="宋体" w:eastAsia="宋体" w:cs="宋体"/>
          <w:b/>
          <w:color w:val="000000"/>
          <w:szCs w:val="24"/>
          <w:lang w:eastAsia="zh-CN"/>
        </w:rPr>
      </w:pPr>
      <w:r>
        <w:rPr>
          <w:rFonts w:hAnsi="宋体" w:cs="宋体"/>
          <w:color w:val="000000"/>
          <w:szCs w:val="24"/>
        </w:rPr>
        <w:br w:type="page"/>
      </w:r>
      <w:bookmarkEnd w:id="5"/>
      <w:bookmarkStart w:id="6" w:name="_Toc433835936"/>
      <w:bookmarkStart w:id="7" w:name="_Toc438648630"/>
      <w:r>
        <w:rPr>
          <w:rFonts w:hint="eastAsia" w:hAnsi="宋体" w:cs="宋体"/>
          <w:b/>
          <w:color w:val="000000"/>
          <w:szCs w:val="24"/>
          <w:lang w:val="en-US" w:eastAsia="zh-CN"/>
        </w:rPr>
        <w:t>五、</w:t>
      </w:r>
    </w:p>
    <w:p w14:paraId="70BA9BFD">
      <w:pPr>
        <w:spacing w:line="360" w:lineRule="auto"/>
        <w:jc w:val="center"/>
        <w:rPr>
          <w:rFonts w:hAnsi="宋体" w:cs="宋体"/>
          <w:b/>
          <w:color w:val="000000"/>
          <w:szCs w:val="24"/>
        </w:rPr>
      </w:pPr>
      <w:r>
        <w:rPr>
          <w:rFonts w:hint="eastAsia" w:hAnsi="宋体" w:cs="仿宋_GB2312"/>
          <w:b/>
          <w:color w:val="000000"/>
          <w:sz w:val="28"/>
          <w:szCs w:val="28"/>
        </w:rPr>
        <w:t>无重大违法记录声明函、无不良信用记录承诺函</w:t>
      </w:r>
    </w:p>
    <w:p w14:paraId="29D09205">
      <w:pPr>
        <w:spacing w:line="360" w:lineRule="auto"/>
        <w:ind w:firstLine="435"/>
        <w:rPr>
          <w:rFonts w:hAnsi="宋体"/>
          <w:b/>
          <w:color w:val="000000"/>
          <w:sz w:val="28"/>
          <w:szCs w:val="28"/>
        </w:rPr>
      </w:pPr>
    </w:p>
    <w:p w14:paraId="58306DE4">
      <w:pPr>
        <w:spacing w:line="360" w:lineRule="auto"/>
        <w:ind w:firstLine="435"/>
        <w:rPr>
          <w:rFonts w:hAnsi="宋体"/>
          <w:color w:val="000000"/>
        </w:rPr>
      </w:pPr>
      <w:r>
        <w:rPr>
          <w:rFonts w:hint="eastAsia" w:hAnsi="宋体"/>
          <w:color w:val="000000"/>
        </w:rPr>
        <w:t>1、本公司郑重声明，根据《中华人民共和国政府采购法》及《中华人民共和国政府采购法实施条例》的规定，参加政府采购活动前三年内，本公司在经营活动中没有重大违法记录，没有因违法经营受到刑事处罚或者责令停产停业、吊销许可证或者执照、较大数额罚款等行政处罚。</w:t>
      </w:r>
    </w:p>
    <w:p w14:paraId="606A52ED">
      <w:pPr>
        <w:spacing w:line="360" w:lineRule="auto"/>
        <w:ind w:firstLine="435"/>
        <w:rPr>
          <w:rFonts w:hAnsi="宋体"/>
          <w:color w:val="000000"/>
        </w:rPr>
      </w:pPr>
      <w:r>
        <w:rPr>
          <w:rFonts w:hint="eastAsia"/>
          <w:color w:val="000000"/>
        </w:rPr>
        <w:t>2、</w:t>
      </w:r>
      <w:r>
        <w:rPr>
          <w:rFonts w:hint="eastAsia" w:hAnsi="宋体"/>
          <w:color w:val="000000"/>
        </w:rPr>
        <w:t>本公司郑重声明，我公司无以下不良信用记录情形：</w:t>
      </w:r>
    </w:p>
    <w:p w14:paraId="4C37DEA9">
      <w:pPr>
        <w:spacing w:line="360" w:lineRule="auto"/>
        <w:ind w:firstLine="435"/>
        <w:rPr>
          <w:rFonts w:hAnsi="宋体"/>
          <w:color w:val="000000"/>
        </w:rPr>
      </w:pPr>
      <w:r>
        <w:rPr>
          <w:rFonts w:hint="eastAsia" w:hAnsi="宋体"/>
          <w:color w:val="000000"/>
        </w:rPr>
        <w:t>（1）公司被人民法院列入失信被执行人；</w:t>
      </w:r>
    </w:p>
    <w:p w14:paraId="112ED384">
      <w:pPr>
        <w:spacing w:line="360" w:lineRule="auto"/>
        <w:ind w:firstLine="435"/>
        <w:rPr>
          <w:rFonts w:hAnsi="宋体"/>
          <w:color w:val="000000"/>
        </w:rPr>
      </w:pPr>
      <w:r>
        <w:rPr>
          <w:rFonts w:hint="eastAsia" w:hAnsi="宋体"/>
          <w:color w:val="000000"/>
        </w:rPr>
        <w:t>（2）公司、法定代表人或拟派项目经理（项目负责人）被人民检察院列入行贿犯罪档案；</w:t>
      </w:r>
    </w:p>
    <w:p w14:paraId="1B6786BF">
      <w:pPr>
        <w:spacing w:line="360" w:lineRule="auto"/>
        <w:ind w:firstLine="435"/>
        <w:rPr>
          <w:rFonts w:hAnsi="宋体"/>
          <w:color w:val="000000"/>
        </w:rPr>
      </w:pPr>
      <w:r>
        <w:rPr>
          <w:rFonts w:hint="eastAsia" w:hAnsi="宋体"/>
          <w:color w:val="000000"/>
        </w:rPr>
        <w:t>（3）公司被工商行政管理部门列入企业经营异常名录；</w:t>
      </w:r>
    </w:p>
    <w:p w14:paraId="78072852">
      <w:pPr>
        <w:spacing w:line="360" w:lineRule="auto"/>
        <w:ind w:firstLine="435"/>
        <w:rPr>
          <w:rFonts w:hAnsi="宋体"/>
          <w:color w:val="000000"/>
        </w:rPr>
      </w:pPr>
      <w:r>
        <w:rPr>
          <w:rFonts w:hint="eastAsia" w:hAnsi="宋体"/>
          <w:color w:val="000000"/>
        </w:rPr>
        <w:t>（4）公司被税务部门列入重大税收违法案件当事人名单的。</w:t>
      </w:r>
    </w:p>
    <w:p w14:paraId="3FC896F1">
      <w:pPr>
        <w:spacing w:line="360" w:lineRule="auto"/>
        <w:ind w:firstLine="435"/>
        <w:rPr>
          <w:rFonts w:hAnsi="宋体"/>
          <w:color w:val="000000"/>
        </w:rPr>
      </w:pPr>
      <w:r>
        <w:rPr>
          <w:rFonts w:hint="eastAsia" w:hAnsi="宋体"/>
          <w:color w:val="000000"/>
        </w:rPr>
        <w:t>（4）公司被政府采购监管部门列入政府采购严重违法失信行为记录名单。</w:t>
      </w:r>
    </w:p>
    <w:p w14:paraId="5F37229D">
      <w:pPr>
        <w:spacing w:line="360" w:lineRule="auto"/>
        <w:ind w:firstLine="435"/>
        <w:rPr>
          <w:color w:val="000000"/>
        </w:rPr>
      </w:pPr>
      <w:r>
        <w:rPr>
          <w:rFonts w:hAnsi="宋体"/>
          <w:b/>
          <w:color w:val="000000"/>
        </w:rPr>
        <w:t>我公司已就上述不良信用行为按照</w:t>
      </w:r>
      <w:r>
        <w:rPr>
          <w:rFonts w:hint="eastAsia" w:hAnsi="宋体"/>
          <w:b/>
          <w:color w:val="000000"/>
        </w:rPr>
        <w:t>评标文件</w:t>
      </w:r>
      <w:r>
        <w:rPr>
          <w:rFonts w:hAnsi="宋体"/>
          <w:b/>
          <w:color w:val="000000"/>
        </w:rPr>
        <w:t>中供应商须知前附表规定进行了查询。</w:t>
      </w:r>
      <w:r>
        <w:rPr>
          <w:rFonts w:hAnsi="宋体"/>
          <w:color w:val="000000"/>
        </w:rPr>
        <w:t>我公司承诺</w:t>
      </w:r>
      <w:r>
        <w:rPr>
          <w:rFonts w:hint="eastAsia" w:hAnsi="宋体"/>
          <w:color w:val="000000"/>
        </w:rPr>
        <w:t>：</w:t>
      </w:r>
      <w:r>
        <w:rPr>
          <w:rFonts w:hAnsi="宋体"/>
          <w:color w:val="000000"/>
        </w:rPr>
        <w:t>合同签订前，若我公司具有不良信用记录情形，贵方可取消我公司</w:t>
      </w:r>
      <w:r>
        <w:rPr>
          <w:rFonts w:hint="eastAsia" w:hAnsi="宋体"/>
          <w:color w:val="000000"/>
        </w:rPr>
        <w:t>成交</w:t>
      </w:r>
      <w:r>
        <w:rPr>
          <w:rFonts w:hAnsi="宋体"/>
          <w:color w:val="000000"/>
        </w:rPr>
        <w:t>资格或者不授予合同，所有责任由我公司自行承担。同时，我公司愿意无条件接受监管部门的调查处理。</w:t>
      </w:r>
    </w:p>
    <w:p w14:paraId="002D437D">
      <w:pPr>
        <w:spacing w:line="360" w:lineRule="auto"/>
        <w:ind w:firstLine="435"/>
        <w:rPr>
          <w:rFonts w:hAnsi="宋体"/>
          <w:color w:val="000000"/>
        </w:rPr>
      </w:pPr>
      <w:r>
        <w:rPr>
          <w:rFonts w:hint="eastAsia" w:hAnsi="宋体"/>
          <w:color w:val="000000"/>
        </w:rPr>
        <w:t>本公司对上述声明的真实性负责。如有虚假，将依法承担相应责任。</w:t>
      </w:r>
    </w:p>
    <w:p w14:paraId="6E5B79F4">
      <w:pPr>
        <w:spacing w:line="360" w:lineRule="auto"/>
        <w:ind w:firstLine="3700" w:firstLineChars="1762"/>
        <w:rPr>
          <w:rFonts w:hAnsi="宋体"/>
          <w:color w:val="000000"/>
        </w:rPr>
      </w:pPr>
    </w:p>
    <w:p w14:paraId="08E9C3EB">
      <w:pPr>
        <w:spacing w:line="360" w:lineRule="auto"/>
        <w:ind w:firstLine="3700" w:firstLineChars="1762"/>
        <w:rPr>
          <w:rFonts w:hAnsi="宋体"/>
          <w:color w:val="000000"/>
        </w:rPr>
      </w:pPr>
    </w:p>
    <w:p w14:paraId="3C4006D8">
      <w:pPr>
        <w:spacing w:line="360" w:lineRule="auto"/>
        <w:ind w:firstLine="3700" w:firstLineChars="1762"/>
        <w:rPr>
          <w:rFonts w:hAnsi="宋体"/>
          <w:color w:val="000000"/>
        </w:rPr>
      </w:pPr>
    </w:p>
    <w:p w14:paraId="61392022">
      <w:pPr>
        <w:spacing w:line="360" w:lineRule="auto"/>
        <w:ind w:firstLine="3700" w:firstLineChars="1762"/>
        <w:rPr>
          <w:rFonts w:hAnsi="宋体"/>
          <w:color w:val="000000"/>
        </w:rPr>
      </w:pPr>
    </w:p>
    <w:p w14:paraId="237C9B5A">
      <w:pPr>
        <w:spacing w:line="360" w:lineRule="auto"/>
        <w:ind w:firstLine="3700" w:firstLineChars="1762"/>
        <w:rPr>
          <w:color w:val="000000"/>
          <w:u w:val="single"/>
        </w:rPr>
      </w:pPr>
      <w:r>
        <w:rPr>
          <w:rFonts w:hint="eastAsia" w:hAnsi="宋体"/>
          <w:color w:val="000000"/>
        </w:rPr>
        <w:t>供应商公章：</w:t>
      </w:r>
    </w:p>
    <w:p w14:paraId="40A56C55">
      <w:pPr>
        <w:tabs>
          <w:tab w:val="left" w:pos="630"/>
        </w:tabs>
        <w:spacing w:line="360" w:lineRule="auto"/>
        <w:ind w:firstLine="3700" w:firstLineChars="1762"/>
        <w:rPr>
          <w:rFonts w:hAnsi="宋体"/>
          <w:color w:val="000000"/>
        </w:rPr>
      </w:pPr>
      <w:r>
        <w:rPr>
          <w:rFonts w:hint="eastAsia" w:hAnsi="宋体"/>
          <w:color w:val="000000"/>
        </w:rPr>
        <w:t>日期：</w:t>
      </w:r>
    </w:p>
    <w:p w14:paraId="20707A63">
      <w:pPr>
        <w:tabs>
          <w:tab w:val="left" w:pos="630"/>
        </w:tabs>
        <w:spacing w:line="360" w:lineRule="auto"/>
        <w:ind w:firstLine="3700" w:firstLineChars="1762"/>
        <w:rPr>
          <w:rFonts w:hAnsi="宋体"/>
          <w:color w:val="000000"/>
        </w:rPr>
      </w:pPr>
    </w:p>
    <w:p w14:paraId="2F82842E">
      <w:pPr>
        <w:tabs>
          <w:tab w:val="left" w:pos="630"/>
        </w:tabs>
        <w:spacing w:line="360" w:lineRule="auto"/>
        <w:ind w:firstLine="3700" w:firstLineChars="1762"/>
        <w:rPr>
          <w:rFonts w:hAnsi="宋体"/>
          <w:color w:val="000000"/>
        </w:rPr>
      </w:pPr>
    </w:p>
    <w:p w14:paraId="2885F8C6">
      <w:pPr>
        <w:tabs>
          <w:tab w:val="left" w:pos="630"/>
        </w:tabs>
        <w:spacing w:line="360" w:lineRule="auto"/>
        <w:ind w:firstLine="630"/>
        <w:rPr>
          <w:rFonts w:hAnsi="宋体"/>
          <w:color w:val="000000"/>
        </w:rPr>
      </w:pPr>
    </w:p>
    <w:p w14:paraId="5602AB89">
      <w:pPr>
        <w:tabs>
          <w:tab w:val="left" w:pos="630"/>
        </w:tabs>
        <w:spacing w:line="360" w:lineRule="auto"/>
        <w:ind w:firstLine="630"/>
        <w:rPr>
          <w:rFonts w:hAnsi="宋体"/>
          <w:color w:val="000000"/>
        </w:rPr>
      </w:pPr>
    </w:p>
    <w:p w14:paraId="47098861">
      <w:pPr>
        <w:tabs>
          <w:tab w:val="left" w:pos="630"/>
        </w:tabs>
        <w:spacing w:line="360" w:lineRule="auto"/>
        <w:ind w:firstLine="630"/>
        <w:rPr>
          <w:rFonts w:hAnsi="宋体"/>
          <w:color w:val="000000"/>
        </w:rPr>
      </w:pPr>
    </w:p>
    <w:p w14:paraId="7279A54C">
      <w:pPr>
        <w:tabs>
          <w:tab w:val="left" w:pos="630"/>
        </w:tabs>
        <w:spacing w:line="360" w:lineRule="auto"/>
        <w:ind w:firstLine="630"/>
        <w:rPr>
          <w:rFonts w:hAnsi="宋体"/>
          <w:color w:val="000000"/>
        </w:rPr>
      </w:pPr>
    </w:p>
    <w:bookmarkEnd w:id="6"/>
    <w:bookmarkEnd w:id="7"/>
    <w:p w14:paraId="7902F70D">
      <w:pPr>
        <w:spacing w:line="360" w:lineRule="auto"/>
        <w:outlineLvl w:val="1"/>
        <w:rPr>
          <w:rFonts w:hint="eastAsia" w:hAnsi="宋体" w:eastAsia="宋体" w:cs="宋体"/>
          <w:b/>
          <w:color w:val="000000"/>
          <w:szCs w:val="24"/>
          <w:lang w:eastAsia="zh-CN"/>
        </w:rPr>
      </w:pPr>
      <w:r>
        <w:rPr>
          <w:rFonts w:hint="eastAsia" w:hAnsi="宋体" w:cs="宋体"/>
          <w:b/>
          <w:color w:val="000000"/>
          <w:szCs w:val="24"/>
          <w:lang w:val="en-US" w:eastAsia="zh-CN"/>
        </w:rPr>
        <w:t>六</w:t>
      </w:r>
    </w:p>
    <w:p w14:paraId="4B91121D">
      <w:pPr>
        <w:spacing w:line="360" w:lineRule="auto"/>
        <w:jc w:val="center"/>
        <w:outlineLvl w:val="1"/>
        <w:rPr>
          <w:rFonts w:hAnsi="宋体" w:cs="宋体"/>
          <w:b/>
          <w:color w:val="000000"/>
          <w:szCs w:val="24"/>
        </w:rPr>
      </w:pPr>
      <w:r>
        <w:rPr>
          <w:rFonts w:hint="eastAsia" w:hAnsi="宋体" w:cs="宋体"/>
          <w:b/>
          <w:color w:val="000000"/>
          <w:szCs w:val="24"/>
        </w:rPr>
        <w:t>服务方案及服务承诺</w:t>
      </w:r>
    </w:p>
    <w:p w14:paraId="4186AE6C">
      <w:pPr>
        <w:spacing w:line="360" w:lineRule="auto"/>
        <w:jc w:val="center"/>
        <w:outlineLvl w:val="1"/>
        <w:rPr>
          <w:rFonts w:hAnsi="宋体" w:cs="宋体"/>
          <w:b/>
          <w:color w:val="000000"/>
          <w:szCs w:val="24"/>
        </w:rPr>
      </w:pPr>
    </w:p>
    <w:p w14:paraId="08244F0C">
      <w:pPr>
        <w:spacing w:line="360" w:lineRule="auto"/>
        <w:jc w:val="center"/>
        <w:outlineLvl w:val="1"/>
        <w:rPr>
          <w:rFonts w:hAnsi="宋体" w:cs="宋体"/>
          <w:b/>
          <w:color w:val="000000"/>
          <w:szCs w:val="24"/>
        </w:rPr>
      </w:pPr>
      <w:r>
        <w:rPr>
          <w:rFonts w:hint="eastAsia" w:hAnsi="宋体" w:cs="宋体"/>
          <w:b/>
          <w:color w:val="000000"/>
          <w:szCs w:val="24"/>
        </w:rPr>
        <w:t>（供应商可自行制作格式）</w:t>
      </w:r>
    </w:p>
    <w:p w14:paraId="0A6E39E3">
      <w:pPr>
        <w:spacing w:line="360" w:lineRule="auto"/>
        <w:jc w:val="center"/>
        <w:outlineLvl w:val="1"/>
        <w:rPr>
          <w:rFonts w:hAnsi="宋体" w:cs="宋体"/>
          <w:b/>
          <w:color w:val="000000"/>
          <w:szCs w:val="24"/>
        </w:rPr>
      </w:pPr>
    </w:p>
    <w:p w14:paraId="0576D9F9">
      <w:pPr>
        <w:spacing w:line="360" w:lineRule="auto"/>
        <w:jc w:val="left"/>
        <w:outlineLvl w:val="1"/>
        <w:rPr>
          <w:rFonts w:hint="eastAsia" w:hAnsi="宋体" w:eastAsia="宋体" w:cs="宋体"/>
          <w:b/>
          <w:color w:val="000000"/>
          <w:szCs w:val="24"/>
          <w:lang w:eastAsia="zh-CN"/>
        </w:rPr>
      </w:pPr>
      <w:r>
        <w:rPr>
          <w:rFonts w:hAnsi="宋体" w:cs="宋体"/>
          <w:b/>
          <w:color w:val="000000"/>
          <w:szCs w:val="24"/>
        </w:rPr>
        <w:br w:type="page"/>
      </w:r>
      <w:r>
        <w:rPr>
          <w:rFonts w:hint="eastAsia" w:hAnsi="宋体" w:cs="宋体"/>
          <w:b/>
          <w:color w:val="000000"/>
          <w:szCs w:val="24"/>
          <w:lang w:val="en-US" w:eastAsia="zh-CN"/>
        </w:rPr>
        <w:t>七、</w:t>
      </w:r>
    </w:p>
    <w:p w14:paraId="2B12F5A3">
      <w:pPr>
        <w:spacing w:line="360" w:lineRule="auto"/>
        <w:jc w:val="center"/>
        <w:rPr>
          <w:rFonts w:hAnsi="宋体"/>
          <w:b/>
          <w:bCs/>
          <w:color w:val="000000"/>
        </w:rPr>
      </w:pPr>
      <w:r>
        <w:rPr>
          <w:rFonts w:hint="eastAsia" w:hAnsi="宋体"/>
          <w:b/>
          <w:bCs/>
          <w:color w:val="000000"/>
        </w:rPr>
        <w:t>本地化服务情况一览表</w:t>
      </w:r>
    </w:p>
    <w:p w14:paraId="6469C93E">
      <w:pPr>
        <w:jc w:val="center"/>
        <w:rPr>
          <w:rFonts w:hAnsi="宋体"/>
          <w:b/>
          <w:color w:val="000000"/>
        </w:rPr>
      </w:pPr>
      <w:r>
        <w:rPr>
          <w:rFonts w:hAnsi="宋体"/>
          <w:b/>
          <w:color w:val="000000"/>
        </w:rPr>
        <w:t>（</w:t>
      </w:r>
      <w:r>
        <w:rPr>
          <w:rFonts w:hint="eastAsia" w:hAnsi="宋体"/>
          <w:b/>
          <w:color w:val="000000"/>
        </w:rPr>
        <w:t>如评标文件未作本地化服务要求，不需此件）</w:t>
      </w:r>
    </w:p>
    <w:p w14:paraId="326AF8A4">
      <w:pPr>
        <w:jc w:val="center"/>
        <w:rPr>
          <w:rFonts w:hAnsi="宋体"/>
          <w:color w:val="000000"/>
        </w:rPr>
      </w:pPr>
    </w:p>
    <w:tbl>
      <w:tblPr>
        <w:tblStyle w:val="20"/>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926"/>
        <w:gridCol w:w="1134"/>
        <w:gridCol w:w="2160"/>
        <w:gridCol w:w="1800"/>
        <w:gridCol w:w="2571"/>
      </w:tblGrid>
      <w:tr w14:paraId="7BB187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5" w:hRule="atLeast"/>
          <w:jc w:val="center"/>
        </w:trPr>
        <w:tc>
          <w:tcPr>
            <w:tcW w:w="1926" w:type="dxa"/>
          </w:tcPr>
          <w:p w14:paraId="7D851CCA">
            <w:pPr>
              <w:jc w:val="center"/>
              <w:rPr>
                <w:rFonts w:hAnsi="宋体"/>
                <w:color w:val="000000"/>
              </w:rPr>
            </w:pPr>
            <w:r>
              <w:rPr>
                <w:rFonts w:hint="eastAsia" w:hAnsi="宋体"/>
                <w:color w:val="000000"/>
              </w:rPr>
              <w:t>供应商全称</w:t>
            </w:r>
          </w:p>
        </w:tc>
        <w:tc>
          <w:tcPr>
            <w:tcW w:w="7665" w:type="dxa"/>
            <w:gridSpan w:val="4"/>
          </w:tcPr>
          <w:p w14:paraId="61F8B945">
            <w:pPr>
              <w:rPr>
                <w:rFonts w:hAnsi="宋体"/>
                <w:color w:val="000000"/>
              </w:rPr>
            </w:pPr>
          </w:p>
        </w:tc>
      </w:tr>
      <w:tr w14:paraId="7FFB54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43" w:hRule="atLeast"/>
          <w:jc w:val="center"/>
        </w:trPr>
        <w:tc>
          <w:tcPr>
            <w:tcW w:w="1926" w:type="dxa"/>
            <w:vAlign w:val="center"/>
          </w:tcPr>
          <w:p w14:paraId="36F919A9">
            <w:pPr>
              <w:jc w:val="center"/>
              <w:rPr>
                <w:rFonts w:hAnsi="宋体"/>
                <w:color w:val="000000"/>
              </w:rPr>
            </w:pPr>
            <w:r>
              <w:rPr>
                <w:rFonts w:hint="eastAsia" w:hAnsi="宋体"/>
                <w:color w:val="000000"/>
              </w:rPr>
              <w:t>本地化服务形式</w:t>
            </w:r>
          </w:p>
        </w:tc>
        <w:tc>
          <w:tcPr>
            <w:tcW w:w="7665" w:type="dxa"/>
            <w:gridSpan w:val="4"/>
            <w:vAlign w:val="center"/>
          </w:tcPr>
          <w:p w14:paraId="59547C97">
            <w:pPr>
              <w:rPr>
                <w:rFonts w:hAnsi="宋体"/>
                <w:color w:val="000000"/>
              </w:rPr>
            </w:pPr>
            <w:r>
              <w:rPr>
                <w:rFonts w:hint="eastAsia" w:hAnsi="宋体"/>
                <w:color w:val="000000"/>
              </w:rPr>
              <w:t xml:space="preserve">□ 在本地具有固定的办公场所及人员  </w:t>
            </w:r>
          </w:p>
          <w:p w14:paraId="2C527C5E">
            <w:pPr>
              <w:rPr>
                <w:rFonts w:hAnsi="宋体"/>
                <w:color w:val="000000"/>
              </w:rPr>
            </w:pPr>
            <w:r>
              <w:rPr>
                <w:rFonts w:hint="eastAsia" w:hAnsi="宋体"/>
                <w:color w:val="000000"/>
              </w:rPr>
              <w:t>□ 在本地注册成立</w:t>
            </w:r>
          </w:p>
          <w:p w14:paraId="55842ECD">
            <w:pPr>
              <w:rPr>
                <w:rFonts w:hAnsi="宋体"/>
                <w:color w:val="000000"/>
              </w:rPr>
            </w:pPr>
            <w:r>
              <w:rPr>
                <w:rFonts w:hint="eastAsia" w:hAnsi="宋体"/>
                <w:color w:val="000000"/>
              </w:rPr>
              <w:t>□ 承诺成交即设立本地化服务机构</w:t>
            </w:r>
          </w:p>
        </w:tc>
      </w:tr>
      <w:tr w14:paraId="104A13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8" w:hRule="atLeast"/>
          <w:jc w:val="center"/>
        </w:trPr>
        <w:tc>
          <w:tcPr>
            <w:tcW w:w="9591" w:type="dxa"/>
            <w:gridSpan w:val="5"/>
            <w:vAlign w:val="center"/>
          </w:tcPr>
          <w:p w14:paraId="1C95B0F0">
            <w:pPr>
              <w:rPr>
                <w:rFonts w:hAnsi="宋体"/>
                <w:color w:val="000000"/>
              </w:rPr>
            </w:pPr>
            <w:r>
              <w:rPr>
                <w:rFonts w:hint="eastAsia" w:hAnsi="宋体"/>
                <w:color w:val="000000"/>
              </w:rPr>
              <w:t>以下本地注册的公司无需填写</w:t>
            </w:r>
          </w:p>
        </w:tc>
      </w:tr>
      <w:tr w14:paraId="04657C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39" w:hRule="atLeast"/>
          <w:jc w:val="center"/>
        </w:trPr>
        <w:tc>
          <w:tcPr>
            <w:tcW w:w="1926" w:type="dxa"/>
            <w:vAlign w:val="center"/>
          </w:tcPr>
          <w:p w14:paraId="0FE41BEF">
            <w:pPr>
              <w:jc w:val="center"/>
              <w:rPr>
                <w:rFonts w:hAnsi="宋体"/>
                <w:color w:val="000000"/>
              </w:rPr>
            </w:pPr>
            <w:r>
              <w:rPr>
                <w:rFonts w:hint="eastAsia" w:hAnsi="宋体"/>
                <w:color w:val="000000"/>
              </w:rPr>
              <w:t>本地化服务地点及联系方式</w:t>
            </w:r>
          </w:p>
        </w:tc>
        <w:tc>
          <w:tcPr>
            <w:tcW w:w="1134" w:type="dxa"/>
            <w:vAlign w:val="center"/>
          </w:tcPr>
          <w:p w14:paraId="62927E37">
            <w:pPr>
              <w:jc w:val="center"/>
              <w:rPr>
                <w:rFonts w:hAnsi="宋体"/>
                <w:color w:val="000000"/>
              </w:rPr>
            </w:pPr>
          </w:p>
        </w:tc>
        <w:tc>
          <w:tcPr>
            <w:tcW w:w="2160" w:type="dxa"/>
            <w:vAlign w:val="center"/>
          </w:tcPr>
          <w:p w14:paraId="414BAA39">
            <w:pPr>
              <w:jc w:val="center"/>
              <w:rPr>
                <w:rFonts w:hAnsi="宋体"/>
                <w:color w:val="000000"/>
              </w:rPr>
            </w:pPr>
          </w:p>
        </w:tc>
        <w:tc>
          <w:tcPr>
            <w:tcW w:w="1800" w:type="dxa"/>
            <w:vAlign w:val="center"/>
          </w:tcPr>
          <w:p w14:paraId="3278585F">
            <w:pPr>
              <w:jc w:val="center"/>
              <w:rPr>
                <w:rFonts w:hAnsi="宋体"/>
                <w:color w:val="000000"/>
              </w:rPr>
            </w:pPr>
            <w:r>
              <w:rPr>
                <w:rFonts w:hint="eastAsia" w:hAnsi="宋体"/>
                <w:color w:val="000000"/>
              </w:rPr>
              <w:t>负责人及联系方式（附身份证号码）</w:t>
            </w:r>
          </w:p>
        </w:tc>
        <w:tc>
          <w:tcPr>
            <w:tcW w:w="2571" w:type="dxa"/>
          </w:tcPr>
          <w:p w14:paraId="7D9B32A3">
            <w:pPr>
              <w:rPr>
                <w:rFonts w:hAnsi="宋体"/>
                <w:color w:val="000000"/>
              </w:rPr>
            </w:pPr>
          </w:p>
        </w:tc>
      </w:tr>
      <w:tr w14:paraId="624EA6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180" w:hRule="atLeast"/>
          <w:jc w:val="center"/>
        </w:trPr>
        <w:tc>
          <w:tcPr>
            <w:tcW w:w="9591" w:type="dxa"/>
            <w:gridSpan w:val="5"/>
          </w:tcPr>
          <w:p w14:paraId="1F526C48">
            <w:pPr>
              <w:rPr>
                <w:rFonts w:hAnsi="宋体"/>
                <w:color w:val="000000"/>
              </w:rPr>
            </w:pPr>
            <w:r>
              <w:rPr>
                <w:rFonts w:hint="eastAsia" w:hAnsi="宋体"/>
                <w:color w:val="000000"/>
              </w:rPr>
              <w:t>服务人员名单及联系方式（附身份证号码）</w:t>
            </w:r>
          </w:p>
        </w:tc>
      </w:tr>
      <w:tr w14:paraId="547E75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79" w:hRule="atLeast"/>
          <w:jc w:val="center"/>
        </w:trPr>
        <w:tc>
          <w:tcPr>
            <w:tcW w:w="9591" w:type="dxa"/>
            <w:gridSpan w:val="5"/>
          </w:tcPr>
          <w:p w14:paraId="05812151">
            <w:pPr>
              <w:rPr>
                <w:rFonts w:hAnsi="宋体"/>
                <w:color w:val="000000"/>
              </w:rPr>
            </w:pPr>
            <w:r>
              <w:rPr>
                <w:rFonts w:hint="eastAsia" w:hAnsi="宋体"/>
                <w:color w:val="000000"/>
              </w:rPr>
              <w:t>其他有关证明文件说明（如营业执照等，如有）：</w:t>
            </w:r>
          </w:p>
        </w:tc>
      </w:tr>
      <w:tr w14:paraId="1C9643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0" w:hRule="atLeast"/>
          <w:jc w:val="center"/>
        </w:trPr>
        <w:tc>
          <w:tcPr>
            <w:tcW w:w="9591" w:type="dxa"/>
            <w:gridSpan w:val="5"/>
          </w:tcPr>
          <w:p w14:paraId="32A9F324">
            <w:pPr>
              <w:rPr>
                <w:rFonts w:hAnsi="宋体"/>
                <w:color w:val="000000"/>
              </w:rPr>
            </w:pPr>
            <w:r>
              <w:rPr>
                <w:rFonts w:hint="eastAsia" w:hAnsi="宋体"/>
                <w:color w:val="000000"/>
              </w:rPr>
              <w:t>备注：具有合作伙伴的应填写合作伙伴的相关资料。</w:t>
            </w:r>
          </w:p>
        </w:tc>
      </w:tr>
    </w:tbl>
    <w:p w14:paraId="3ADF275C">
      <w:pPr>
        <w:rPr>
          <w:rFonts w:hAnsi="宋体"/>
          <w:color w:val="000000"/>
        </w:rPr>
      </w:pPr>
    </w:p>
    <w:p w14:paraId="44C8A7AF">
      <w:pPr>
        <w:rPr>
          <w:rFonts w:hAnsi="宋体"/>
          <w:color w:val="000000"/>
        </w:rPr>
      </w:pPr>
      <w:r>
        <w:rPr>
          <w:rFonts w:hint="eastAsia" w:hAnsi="宋体"/>
          <w:color w:val="000000"/>
        </w:rPr>
        <w:t>供应商公章：</w:t>
      </w:r>
    </w:p>
    <w:p w14:paraId="44BEDF50">
      <w:pPr>
        <w:jc w:val="center"/>
        <w:rPr>
          <w:rFonts w:hAnsi="宋体" w:cs="宋体"/>
          <w:b/>
          <w:color w:val="000000"/>
          <w:szCs w:val="24"/>
        </w:rPr>
      </w:pPr>
    </w:p>
    <w:p w14:paraId="79F3C3FF">
      <w:pPr>
        <w:jc w:val="center"/>
        <w:rPr>
          <w:rFonts w:hAnsi="宋体" w:cs="宋体"/>
          <w:b/>
          <w:color w:val="000000"/>
          <w:szCs w:val="24"/>
        </w:rPr>
      </w:pPr>
    </w:p>
    <w:p w14:paraId="159DF5FF">
      <w:pPr>
        <w:jc w:val="left"/>
        <w:rPr>
          <w:rFonts w:hAnsi="宋体" w:cs="宋体"/>
          <w:b/>
          <w:color w:val="000000"/>
          <w:szCs w:val="24"/>
        </w:rPr>
      </w:pPr>
    </w:p>
    <w:p w14:paraId="30E09D3A">
      <w:pPr>
        <w:jc w:val="left"/>
        <w:rPr>
          <w:rFonts w:hAnsi="宋体" w:cs="宋体"/>
          <w:b/>
          <w:color w:val="000000"/>
          <w:szCs w:val="24"/>
        </w:rPr>
      </w:pPr>
    </w:p>
    <w:p w14:paraId="0151FB9D">
      <w:pPr>
        <w:jc w:val="left"/>
        <w:rPr>
          <w:rFonts w:hAnsi="宋体" w:cs="宋体"/>
          <w:b/>
          <w:color w:val="000000"/>
          <w:szCs w:val="24"/>
        </w:rPr>
      </w:pPr>
    </w:p>
    <w:p w14:paraId="61352045">
      <w:pPr>
        <w:jc w:val="left"/>
        <w:rPr>
          <w:rFonts w:hAnsi="宋体" w:cs="宋体"/>
          <w:b/>
          <w:color w:val="000000"/>
          <w:szCs w:val="24"/>
        </w:rPr>
      </w:pPr>
    </w:p>
    <w:p w14:paraId="306D37AE">
      <w:pPr>
        <w:jc w:val="left"/>
        <w:rPr>
          <w:rFonts w:hAnsi="宋体" w:cs="宋体"/>
          <w:b/>
          <w:color w:val="000000"/>
          <w:szCs w:val="24"/>
        </w:rPr>
      </w:pPr>
    </w:p>
    <w:p w14:paraId="5714942A">
      <w:pPr>
        <w:jc w:val="left"/>
        <w:rPr>
          <w:rFonts w:hAnsi="宋体" w:cs="宋体"/>
          <w:b/>
          <w:color w:val="000000"/>
          <w:szCs w:val="24"/>
        </w:rPr>
      </w:pPr>
    </w:p>
    <w:p w14:paraId="09C88C91">
      <w:pPr>
        <w:jc w:val="left"/>
        <w:rPr>
          <w:rFonts w:hAnsi="宋体" w:cs="宋体"/>
          <w:b/>
          <w:color w:val="000000"/>
          <w:szCs w:val="24"/>
        </w:rPr>
      </w:pPr>
      <w:r>
        <w:rPr>
          <w:rFonts w:hint="eastAsia" w:hAnsi="宋体" w:cs="宋体"/>
          <w:b/>
          <w:color w:val="000000"/>
          <w:szCs w:val="24"/>
          <w:lang w:val="en-US" w:eastAsia="zh-CN"/>
        </w:rPr>
        <w:t>八、</w:t>
      </w:r>
      <w:r>
        <w:rPr>
          <w:rFonts w:hint="eastAsia" w:hAnsi="宋体" w:cs="宋体"/>
          <w:b/>
          <w:color w:val="000000"/>
          <w:szCs w:val="24"/>
        </w:rPr>
        <w:t xml:space="preserve">       </w:t>
      </w:r>
    </w:p>
    <w:p w14:paraId="63F2CE8C">
      <w:pPr>
        <w:jc w:val="center"/>
        <w:rPr>
          <w:rFonts w:hAnsi="宋体" w:cs="宋体"/>
          <w:b/>
          <w:color w:val="000000"/>
          <w:szCs w:val="24"/>
        </w:rPr>
      </w:pPr>
      <w:r>
        <w:rPr>
          <w:rFonts w:hint="eastAsia" w:hAnsi="宋体" w:cs="宋体"/>
          <w:b/>
          <w:color w:val="000000"/>
          <w:szCs w:val="24"/>
        </w:rPr>
        <w:t>其他资料</w:t>
      </w:r>
    </w:p>
    <w:p w14:paraId="629C2342">
      <w:pPr>
        <w:spacing w:line="360" w:lineRule="auto"/>
        <w:ind w:firstLine="420" w:firstLineChars="200"/>
        <w:rPr>
          <w:rFonts w:hAnsi="宋体"/>
          <w:color w:val="000000"/>
          <w:kern w:val="2"/>
          <w:szCs w:val="24"/>
        </w:rPr>
      </w:pPr>
      <w:r>
        <w:rPr>
          <w:rFonts w:hint="eastAsia" w:hAnsi="宋体"/>
          <w:color w:val="000000"/>
          <w:kern w:val="2"/>
          <w:szCs w:val="24"/>
        </w:rPr>
        <w:t>根据项目情况提供如下文件：</w:t>
      </w:r>
    </w:p>
    <w:p w14:paraId="23212507">
      <w:pPr>
        <w:spacing w:line="360" w:lineRule="auto"/>
        <w:ind w:firstLine="420" w:firstLineChars="200"/>
        <w:rPr>
          <w:rFonts w:hAnsi="宋体"/>
          <w:szCs w:val="24"/>
        </w:rPr>
      </w:pPr>
      <w:r>
        <w:rPr>
          <w:rFonts w:hint="eastAsia" w:hAnsi="宋体"/>
          <w:szCs w:val="24"/>
        </w:rPr>
        <w:t>1、法人代表或代理人（授权委托书）。</w:t>
      </w:r>
    </w:p>
    <w:p w14:paraId="7E93E6BF">
      <w:pPr>
        <w:spacing w:line="360" w:lineRule="auto"/>
        <w:ind w:firstLine="420" w:firstLineChars="200"/>
        <w:rPr>
          <w:rFonts w:hAnsi="宋体"/>
          <w:szCs w:val="24"/>
        </w:rPr>
      </w:pPr>
      <w:r>
        <w:rPr>
          <w:rFonts w:hint="eastAsia" w:hAnsi="宋体"/>
          <w:szCs w:val="24"/>
        </w:rPr>
        <w:t>2、供应商单位营业执照、资质证书、企业法人代码证书、税务登记证等有关资料复印件及上述综合评分资料、人员配备、服务方案、报价资料等，打印盖章装订成册。</w:t>
      </w:r>
    </w:p>
    <w:p w14:paraId="45C54F18">
      <w:pPr>
        <w:spacing w:line="360" w:lineRule="auto"/>
        <w:ind w:firstLine="420" w:firstLineChars="200"/>
        <w:rPr>
          <w:rFonts w:hAnsi="宋体"/>
          <w:szCs w:val="24"/>
        </w:rPr>
      </w:pPr>
      <w:r>
        <w:rPr>
          <w:rFonts w:hint="eastAsia" w:hAnsi="宋体"/>
          <w:szCs w:val="24"/>
        </w:rPr>
        <w:t>3、评标文件要求及供应商认为需要提供的资料。</w:t>
      </w:r>
    </w:p>
    <w:p w14:paraId="15CE3DDE">
      <w:pPr>
        <w:spacing w:line="360" w:lineRule="auto"/>
        <w:ind w:firstLine="420" w:firstLineChars="200"/>
        <w:rPr>
          <w:rFonts w:hAnsi="宋体"/>
          <w:szCs w:val="24"/>
        </w:rPr>
      </w:pPr>
      <w:r>
        <w:rPr>
          <w:rFonts w:hint="eastAsia" w:hAnsi="宋体"/>
          <w:szCs w:val="24"/>
        </w:rPr>
        <w:t>4、供应商在规定时间密封送达。</w:t>
      </w:r>
    </w:p>
    <w:p w14:paraId="2433026A">
      <w:pPr>
        <w:spacing w:line="360" w:lineRule="auto"/>
        <w:ind w:firstLine="420" w:firstLineChars="200"/>
        <w:rPr>
          <w:rFonts w:hAnsi="宋体"/>
          <w:color w:val="000000"/>
          <w:kern w:val="2"/>
          <w:szCs w:val="24"/>
        </w:rPr>
      </w:pPr>
    </w:p>
    <w:p w14:paraId="0011F838">
      <w:pPr>
        <w:rPr>
          <w:rFonts w:hint="eastAsia"/>
          <w:lang w:eastAsia="zh-CN"/>
        </w:rPr>
      </w:pPr>
    </w:p>
    <w:p w14:paraId="53FB459A">
      <w:pPr>
        <w:rPr>
          <w:rFonts w:hint="eastAsia"/>
          <w:lang w:eastAsia="zh-CN"/>
        </w:rPr>
      </w:pPr>
    </w:p>
    <w:p w14:paraId="0F131143">
      <w:pPr>
        <w:rPr>
          <w:rFonts w:hint="eastAsia"/>
          <w:lang w:eastAsia="zh-CN"/>
        </w:rPr>
      </w:pPr>
    </w:p>
    <w:p w14:paraId="5B9370A1">
      <w:pPr>
        <w:rPr>
          <w:rFonts w:hint="eastAsia"/>
          <w:lang w:eastAsia="zh-CN"/>
        </w:rPr>
      </w:pPr>
    </w:p>
    <w:p w14:paraId="0A36E4D9">
      <w:pPr>
        <w:rPr>
          <w:rFonts w:hint="eastAsia"/>
          <w:lang w:eastAsia="zh-CN"/>
        </w:rPr>
      </w:pPr>
    </w:p>
    <w:p w14:paraId="5A27E771">
      <w:pPr>
        <w:rPr>
          <w:rFonts w:hint="eastAsia"/>
          <w:lang w:eastAsia="zh-CN"/>
        </w:rPr>
      </w:pPr>
    </w:p>
    <w:p w14:paraId="5408EEC1">
      <w:pPr>
        <w:rPr>
          <w:rFonts w:hint="eastAsia"/>
          <w:lang w:eastAsia="zh-CN"/>
        </w:rPr>
      </w:pPr>
    </w:p>
    <w:p w14:paraId="21A85C74">
      <w:pPr>
        <w:rPr>
          <w:rFonts w:hint="eastAsia"/>
          <w:lang w:eastAsia="zh-CN"/>
        </w:rPr>
      </w:pPr>
    </w:p>
    <w:p w14:paraId="7EE4061C">
      <w:pPr>
        <w:rPr>
          <w:rFonts w:hint="eastAsia"/>
          <w:lang w:eastAsia="zh-CN"/>
        </w:rPr>
      </w:pPr>
    </w:p>
    <w:p w14:paraId="6FEAD2FC">
      <w:pPr>
        <w:rPr>
          <w:rFonts w:hint="eastAsia"/>
          <w:lang w:eastAsia="zh-CN"/>
        </w:rPr>
      </w:pPr>
    </w:p>
    <w:p w14:paraId="16427D49">
      <w:pPr>
        <w:rPr>
          <w:rFonts w:hint="eastAsia"/>
          <w:lang w:eastAsia="zh-CN"/>
        </w:rPr>
      </w:pPr>
    </w:p>
    <w:p w14:paraId="18CF8C5C">
      <w:pPr>
        <w:rPr>
          <w:rFonts w:hint="eastAsia"/>
          <w:lang w:eastAsia="zh-CN"/>
        </w:rPr>
      </w:pPr>
    </w:p>
    <w:p w14:paraId="789E1FD3">
      <w:pPr>
        <w:rPr>
          <w:rFonts w:hint="eastAsia"/>
          <w:lang w:eastAsia="zh-CN"/>
        </w:rPr>
      </w:pPr>
    </w:p>
    <w:p w14:paraId="59DECFF4">
      <w:pPr>
        <w:rPr>
          <w:rFonts w:hint="eastAsia"/>
          <w:lang w:eastAsia="zh-CN"/>
        </w:rPr>
      </w:pPr>
    </w:p>
    <w:p w14:paraId="15D1A9FA">
      <w:pPr>
        <w:rPr>
          <w:rFonts w:hint="eastAsia"/>
          <w:lang w:eastAsia="zh-CN"/>
        </w:rPr>
      </w:pPr>
    </w:p>
    <w:p w14:paraId="2096E778">
      <w:pPr>
        <w:rPr>
          <w:rFonts w:hint="eastAsia"/>
          <w:lang w:eastAsia="zh-CN"/>
        </w:rPr>
      </w:pPr>
    </w:p>
    <w:p w14:paraId="64FA9E39">
      <w:pPr>
        <w:rPr>
          <w:rFonts w:hint="eastAsia"/>
          <w:lang w:eastAsia="zh-CN"/>
        </w:rPr>
      </w:pPr>
    </w:p>
    <w:p w14:paraId="72678474">
      <w:pPr>
        <w:rPr>
          <w:rFonts w:hint="eastAsia"/>
          <w:lang w:eastAsia="zh-CN"/>
        </w:rPr>
      </w:pPr>
    </w:p>
    <w:p w14:paraId="245219B6">
      <w:pPr>
        <w:rPr>
          <w:rFonts w:hint="eastAsia"/>
          <w:lang w:eastAsia="zh-CN"/>
        </w:rPr>
      </w:pPr>
    </w:p>
    <w:p w14:paraId="7D670CC9">
      <w:pPr>
        <w:rPr>
          <w:rFonts w:hint="eastAsia"/>
          <w:lang w:eastAsia="zh-CN"/>
        </w:rPr>
      </w:pPr>
    </w:p>
    <w:p w14:paraId="2B566ED1">
      <w:pPr>
        <w:rPr>
          <w:rFonts w:hint="eastAsia"/>
          <w:lang w:eastAsia="zh-CN"/>
        </w:rPr>
      </w:pPr>
    </w:p>
    <w:p w14:paraId="7DA0B629">
      <w:pPr>
        <w:rPr>
          <w:rFonts w:hint="eastAsia"/>
          <w:lang w:eastAsia="zh-CN"/>
        </w:rPr>
      </w:pPr>
    </w:p>
    <w:p w14:paraId="4E49B4B0">
      <w:pPr>
        <w:rPr>
          <w:rFonts w:hint="eastAsia"/>
          <w:lang w:eastAsia="zh-CN"/>
        </w:rPr>
      </w:pPr>
    </w:p>
    <w:p w14:paraId="1DCC2006">
      <w:pPr>
        <w:rPr>
          <w:rFonts w:hint="eastAsia"/>
          <w:lang w:eastAsia="zh-CN"/>
        </w:rPr>
      </w:pPr>
    </w:p>
    <w:p w14:paraId="177ED0E1">
      <w:pPr>
        <w:rPr>
          <w:rFonts w:hint="eastAsia"/>
          <w:lang w:eastAsia="zh-CN"/>
        </w:rPr>
      </w:pPr>
    </w:p>
    <w:p w14:paraId="5C96D58B">
      <w:pPr>
        <w:rPr>
          <w:rFonts w:hint="eastAsia"/>
          <w:lang w:eastAsia="zh-CN"/>
        </w:rPr>
      </w:pPr>
    </w:p>
    <w:p w14:paraId="11DE826B">
      <w:pPr>
        <w:rPr>
          <w:rFonts w:hint="eastAsia"/>
          <w:lang w:eastAsia="zh-CN"/>
        </w:rPr>
      </w:pPr>
    </w:p>
    <w:p w14:paraId="08ED61F2">
      <w:pPr>
        <w:rPr>
          <w:rFonts w:hint="eastAsia"/>
          <w:lang w:eastAsia="zh-CN"/>
        </w:rPr>
      </w:pPr>
    </w:p>
    <w:p w14:paraId="64D9C2AD">
      <w:pPr>
        <w:rPr>
          <w:rFonts w:hint="eastAsia"/>
          <w:lang w:eastAsia="zh-CN"/>
        </w:rPr>
      </w:pPr>
    </w:p>
    <w:p w14:paraId="4D045331">
      <w:pPr>
        <w:rPr>
          <w:rFonts w:hint="eastAsia"/>
          <w:lang w:eastAsia="zh-CN"/>
        </w:rPr>
      </w:pPr>
    </w:p>
    <w:p w14:paraId="095D83AE">
      <w:pPr>
        <w:rPr>
          <w:rFonts w:hint="eastAsia"/>
          <w:lang w:eastAsia="zh-CN"/>
        </w:rPr>
      </w:pPr>
    </w:p>
    <w:p w14:paraId="5F17F77C">
      <w:pPr>
        <w:rPr>
          <w:rFonts w:hint="eastAsia"/>
          <w:lang w:eastAsia="zh-CN"/>
        </w:rPr>
      </w:pPr>
    </w:p>
    <w:p w14:paraId="1D8F454C">
      <w:pPr>
        <w:jc w:val="center"/>
        <w:rPr>
          <w:rFonts w:hint="eastAsia" w:hAnsi="宋体"/>
          <w:b/>
          <w:color w:val="000000"/>
          <w:sz w:val="32"/>
          <w:szCs w:val="32"/>
          <w:lang w:val="en-US" w:eastAsia="zh-CN"/>
        </w:rPr>
      </w:pPr>
      <w:bookmarkStart w:id="8" w:name="OLE_LINK3"/>
      <w:r>
        <w:rPr>
          <w:rFonts w:hint="eastAsia" w:hAnsi="宋体"/>
          <w:b/>
          <w:color w:val="000000"/>
          <w:sz w:val="32"/>
          <w:szCs w:val="32"/>
          <w:lang w:val="en-US" w:eastAsia="zh-CN"/>
        </w:rPr>
        <w:t>采购项目需求表</w:t>
      </w:r>
    </w:p>
    <w:bookmarkEnd w:id="8"/>
    <w:p w14:paraId="59797F0F">
      <w:pPr>
        <w:spacing w:line="360" w:lineRule="auto"/>
        <w:jc w:val="center"/>
        <w:outlineLvl w:val="1"/>
        <w:rPr>
          <w:rFonts w:ascii="宋体" w:hAnsi="宋体" w:eastAsia="宋体" w:cs="@仿宋_GB2312"/>
          <w:b/>
          <w:color w:val="auto"/>
          <w:sz w:val="28"/>
          <w:szCs w:val="20"/>
          <w:highlight w:val="none"/>
        </w:rPr>
      </w:pPr>
      <w:r>
        <w:rPr>
          <w:rFonts w:hint="eastAsia" w:ascii="宋体" w:hAnsi="宋体" w:eastAsia="宋体" w:cs="@仿宋_GB2312"/>
          <w:b/>
          <w:color w:val="auto"/>
          <w:sz w:val="28"/>
          <w:szCs w:val="20"/>
          <w:highlight w:val="none"/>
        </w:rPr>
        <w:t>采购需求</w:t>
      </w:r>
    </w:p>
    <w:p w14:paraId="13ABC924">
      <w:pPr>
        <w:spacing w:line="360" w:lineRule="auto"/>
        <w:ind w:firstLine="435"/>
        <w:outlineLvl w:val="1"/>
        <w:rPr>
          <w:rFonts w:ascii="宋体" w:hAnsi="宋体" w:eastAsia="宋体" w:cs="宋体"/>
          <w:b/>
          <w:color w:val="auto"/>
          <w:sz w:val="24"/>
          <w:szCs w:val="24"/>
          <w:highlight w:val="none"/>
        </w:rPr>
      </w:pPr>
      <w:r>
        <w:rPr>
          <w:rFonts w:hint="eastAsia" w:ascii="宋体" w:hAnsi="宋体" w:eastAsia="宋体" w:cs="宋体"/>
          <w:b/>
          <w:color w:val="auto"/>
          <w:sz w:val="24"/>
          <w:szCs w:val="24"/>
          <w:highlight w:val="none"/>
        </w:rPr>
        <w:t>一、前附表</w:t>
      </w:r>
    </w:p>
    <w:tbl>
      <w:tblPr>
        <w:tblStyle w:val="20"/>
        <w:tblW w:w="5789"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398"/>
        <w:gridCol w:w="7469"/>
      </w:tblGrid>
      <w:tr w14:paraId="76A329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2" w:hRule="atLeast"/>
          <w:jc w:val="center"/>
        </w:trPr>
        <w:tc>
          <w:tcPr>
            <w:tcW w:w="1215" w:type="pct"/>
            <w:noWrap w:val="0"/>
            <w:vAlign w:val="center"/>
          </w:tcPr>
          <w:p w14:paraId="338F9130">
            <w:pPr>
              <w:jc w:val="center"/>
              <w:rPr>
                <w:rFonts w:hint="eastAsia" w:ascii="宋体" w:hAnsi="宋体" w:eastAsia="宋体" w:cs="宋体"/>
                <w:b/>
                <w:color w:val="auto"/>
                <w:sz w:val="24"/>
                <w:szCs w:val="24"/>
                <w:highlight w:val="none"/>
              </w:rPr>
            </w:pPr>
            <w:r>
              <w:rPr>
                <w:rFonts w:hint="eastAsia" w:ascii="宋体" w:hAnsi="宋体" w:eastAsia="宋体" w:cs="宋体"/>
                <w:b/>
                <w:color w:val="auto"/>
                <w:sz w:val="24"/>
                <w:szCs w:val="24"/>
                <w:highlight w:val="none"/>
              </w:rPr>
              <w:t>项目名称</w:t>
            </w:r>
          </w:p>
        </w:tc>
        <w:tc>
          <w:tcPr>
            <w:tcW w:w="3784" w:type="pct"/>
            <w:noWrap w:val="0"/>
            <w:vAlign w:val="center"/>
          </w:tcPr>
          <w:p w14:paraId="6057456E">
            <w:pPr>
              <w:autoSpaceDE w:val="0"/>
              <w:autoSpaceDN w:val="0"/>
              <w:adjustRightInd w:val="0"/>
              <w:spacing w:line="360" w:lineRule="auto"/>
              <w:jc w:val="left"/>
              <w:rPr>
                <w:rFonts w:hint="eastAsia" w:ascii="宋体" w:hAnsi="宋体" w:eastAsia="宋体" w:cs="宋体"/>
                <w:color w:val="auto"/>
                <w:sz w:val="24"/>
                <w:szCs w:val="24"/>
                <w:highlight w:val="none"/>
                <w:lang w:val="en-US" w:eastAsia="zh-CN"/>
              </w:rPr>
            </w:pPr>
            <w:r>
              <w:rPr>
                <w:rFonts w:hint="eastAsia" w:ascii="宋体" w:hAnsi="宋体" w:eastAsia="宋体" w:cs="宋体"/>
                <w:bCs/>
                <w:color w:val="auto"/>
                <w:sz w:val="24"/>
                <w:szCs w:val="24"/>
                <w:highlight w:val="none"/>
                <w:lang w:val="en-US" w:eastAsia="zh-CN"/>
              </w:rPr>
              <w:t>2026年新桥家园公租房、万家桥生态文化陵园</w:t>
            </w:r>
            <w:r>
              <w:rPr>
                <w:rFonts w:hint="eastAsia" w:ascii="宋体" w:hAnsi="宋体" w:eastAsia="宋体" w:cs="宋体"/>
                <w:bCs/>
                <w:color w:val="auto"/>
                <w:sz w:val="24"/>
                <w:szCs w:val="24"/>
                <w:highlight w:val="none"/>
                <w:lang w:eastAsia="zh-CN"/>
              </w:rPr>
              <w:t>项目消防设施检测、</w:t>
            </w:r>
            <w:r>
              <w:rPr>
                <w:rFonts w:hint="eastAsia" w:ascii="宋体" w:hAnsi="宋体" w:eastAsia="宋体" w:cs="宋体"/>
                <w:bCs/>
                <w:color w:val="auto"/>
                <w:sz w:val="24"/>
                <w:szCs w:val="24"/>
                <w:highlight w:val="none"/>
              </w:rPr>
              <w:t>维保</w:t>
            </w:r>
            <w:r>
              <w:rPr>
                <w:rFonts w:hint="eastAsia" w:ascii="宋体" w:hAnsi="宋体" w:eastAsia="宋体" w:cs="宋体"/>
                <w:bCs/>
                <w:color w:val="auto"/>
                <w:sz w:val="24"/>
                <w:szCs w:val="24"/>
                <w:highlight w:val="none"/>
                <w:lang w:eastAsia="zh-CN"/>
              </w:rPr>
              <w:t>服务</w:t>
            </w:r>
          </w:p>
        </w:tc>
      </w:tr>
      <w:tr w14:paraId="22E695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8" w:hRule="atLeast"/>
          <w:jc w:val="center"/>
        </w:trPr>
        <w:tc>
          <w:tcPr>
            <w:tcW w:w="1215" w:type="pct"/>
            <w:noWrap w:val="0"/>
            <w:vAlign w:val="center"/>
          </w:tcPr>
          <w:p w14:paraId="24CB7873">
            <w:pPr>
              <w:jc w:val="center"/>
              <w:rPr>
                <w:rFonts w:hint="eastAsia" w:ascii="宋体" w:hAnsi="宋体" w:eastAsia="宋体" w:cs="宋体"/>
                <w:b/>
                <w:color w:val="auto"/>
                <w:sz w:val="24"/>
                <w:szCs w:val="24"/>
                <w:highlight w:val="none"/>
              </w:rPr>
            </w:pPr>
            <w:r>
              <w:rPr>
                <w:rFonts w:hint="eastAsia" w:ascii="宋体" w:hAnsi="宋体" w:eastAsia="宋体" w:cs="宋体"/>
                <w:b/>
                <w:color w:val="auto"/>
                <w:sz w:val="24"/>
                <w:szCs w:val="24"/>
                <w:highlight w:val="none"/>
              </w:rPr>
              <w:t>项目预算</w:t>
            </w:r>
          </w:p>
        </w:tc>
        <w:tc>
          <w:tcPr>
            <w:tcW w:w="3784" w:type="pct"/>
            <w:noWrap w:val="0"/>
            <w:vAlign w:val="center"/>
          </w:tcPr>
          <w:p w14:paraId="68E33FAF">
            <w:pPr>
              <w:autoSpaceDE w:val="0"/>
              <w:autoSpaceDN w:val="0"/>
              <w:adjustRightInd w:val="0"/>
              <w:spacing w:line="360" w:lineRule="auto"/>
              <w:jc w:val="left"/>
              <w:rPr>
                <w:rFonts w:hint="eastAsia" w:ascii="宋体" w:hAnsi="宋体" w:eastAsia="宋体" w:cs="宋体"/>
                <w:color w:val="auto"/>
                <w:sz w:val="24"/>
                <w:szCs w:val="24"/>
                <w:highlight w:val="none"/>
                <w:lang w:val="en-US" w:eastAsia="zh-CN"/>
              </w:rPr>
            </w:pPr>
            <w:r>
              <w:rPr>
                <w:rFonts w:hint="eastAsia" w:ascii="宋体" w:hAnsi="宋体" w:eastAsia="宋体" w:cs="宋体"/>
                <w:sz w:val="24"/>
                <w:szCs w:val="24"/>
                <w:highlight w:val="none"/>
                <w:shd w:val="clear" w:fill="FFFFFF" w:themeFill="background1"/>
                <w:lang w:val="en-US" w:eastAsia="zh-CN"/>
              </w:rPr>
              <w:t>9947</w:t>
            </w:r>
            <w:r>
              <w:rPr>
                <w:rFonts w:hint="eastAsia" w:ascii="宋体" w:hAnsi="宋体" w:eastAsia="宋体" w:cs="宋体"/>
                <w:bCs/>
                <w:color w:val="auto"/>
                <w:sz w:val="24"/>
                <w:szCs w:val="24"/>
                <w:highlight w:val="none"/>
                <w:lang w:val="en-US" w:eastAsia="zh-CN"/>
              </w:rPr>
              <w:t>元/年</w:t>
            </w:r>
          </w:p>
        </w:tc>
      </w:tr>
      <w:tr w14:paraId="3AEE10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81" w:hRule="atLeast"/>
          <w:jc w:val="center"/>
        </w:trPr>
        <w:tc>
          <w:tcPr>
            <w:tcW w:w="1215" w:type="pct"/>
            <w:noWrap w:val="0"/>
            <w:vAlign w:val="center"/>
          </w:tcPr>
          <w:p w14:paraId="5D88EE58">
            <w:pPr>
              <w:jc w:val="center"/>
              <w:rPr>
                <w:rFonts w:hint="eastAsia" w:ascii="宋体" w:hAnsi="宋体" w:eastAsia="宋体" w:cs="宋体"/>
                <w:b/>
                <w:color w:val="auto"/>
                <w:sz w:val="24"/>
                <w:szCs w:val="24"/>
                <w:highlight w:val="none"/>
              </w:rPr>
            </w:pPr>
            <w:r>
              <w:rPr>
                <w:rFonts w:hint="eastAsia" w:ascii="宋体" w:hAnsi="宋体" w:eastAsia="宋体" w:cs="宋体"/>
                <w:b/>
                <w:color w:val="auto"/>
                <w:sz w:val="24"/>
                <w:szCs w:val="24"/>
                <w:highlight w:val="none"/>
              </w:rPr>
              <w:t>项目概况</w:t>
            </w:r>
          </w:p>
        </w:tc>
        <w:tc>
          <w:tcPr>
            <w:tcW w:w="3784" w:type="pct"/>
            <w:noWrap w:val="0"/>
            <w:vAlign w:val="center"/>
          </w:tcPr>
          <w:p w14:paraId="4DB4BC9F">
            <w:pPr>
              <w:keepNext w:val="0"/>
              <w:keepLines w:val="0"/>
              <w:pageBreakBefore w:val="0"/>
              <w:widowControl w:val="0"/>
              <w:kinsoku/>
              <w:wordWrap/>
              <w:overflowPunct/>
              <w:topLinePunct w:val="0"/>
              <w:autoSpaceDE w:val="0"/>
              <w:autoSpaceDN w:val="0"/>
              <w:bidi w:val="0"/>
              <w:adjustRightInd w:val="0"/>
              <w:snapToGrid/>
              <w:spacing w:line="360" w:lineRule="auto"/>
              <w:jc w:val="left"/>
              <w:textAlignment w:val="auto"/>
              <w:rPr>
                <w:rFonts w:hint="eastAsia" w:ascii="宋体" w:hAnsi="宋体" w:eastAsia="宋体" w:cs="宋体"/>
                <w:color w:val="auto"/>
                <w:sz w:val="24"/>
                <w:szCs w:val="24"/>
                <w:highlight w:val="none"/>
                <w:u w:val="single"/>
                <w:lang w:val="en-US" w:eastAsia="zh-CN"/>
              </w:rPr>
            </w:pPr>
            <w:r>
              <w:rPr>
                <w:rFonts w:hint="eastAsia" w:ascii="宋体" w:hAnsi="宋体" w:eastAsia="宋体" w:cs="宋体"/>
                <w:bCs/>
                <w:sz w:val="24"/>
                <w:szCs w:val="24"/>
              </w:rPr>
              <w:t>本项目主要为合肥经开区</w:t>
            </w:r>
            <w:r>
              <w:rPr>
                <w:rFonts w:hint="eastAsia" w:ascii="宋体" w:hAnsi="宋体" w:eastAsia="宋体" w:cs="宋体"/>
                <w:bCs/>
                <w:sz w:val="24"/>
                <w:szCs w:val="24"/>
                <w:lang w:val="en-US" w:eastAsia="zh-CN"/>
              </w:rPr>
              <w:t>新桥分公司</w:t>
            </w:r>
            <w:r>
              <w:rPr>
                <w:rFonts w:hint="eastAsia" w:ascii="宋体" w:hAnsi="宋体" w:eastAsia="宋体" w:cs="宋体"/>
                <w:bCs/>
                <w:sz w:val="24"/>
                <w:szCs w:val="24"/>
              </w:rPr>
              <w:t>管理的</w:t>
            </w:r>
            <w:r>
              <w:rPr>
                <w:rFonts w:hint="eastAsia" w:ascii="宋体" w:hAnsi="宋体" w:eastAsia="宋体" w:cs="宋体"/>
                <w:bCs/>
                <w:sz w:val="24"/>
                <w:szCs w:val="24"/>
                <w:lang w:val="en-US" w:eastAsia="zh-CN"/>
              </w:rPr>
              <w:t>新桥家园公租房、万家桥生态文化陵园</w:t>
            </w:r>
            <w:r>
              <w:rPr>
                <w:rFonts w:hint="eastAsia" w:ascii="宋体" w:hAnsi="宋体" w:eastAsia="宋体" w:cs="宋体"/>
                <w:bCs/>
                <w:sz w:val="24"/>
                <w:szCs w:val="24"/>
                <w:highlight w:val="none"/>
              </w:rPr>
              <w:t>提供消防设施检测维修保养服务</w:t>
            </w:r>
            <w:r>
              <w:rPr>
                <w:rFonts w:hint="eastAsia" w:ascii="宋体" w:hAnsi="宋体" w:eastAsia="宋体" w:cs="宋体"/>
                <w:bCs/>
                <w:sz w:val="24"/>
                <w:szCs w:val="24"/>
                <w:highlight w:val="none"/>
                <w:lang w:eastAsia="zh-CN"/>
              </w:rPr>
              <w:t>。</w:t>
            </w:r>
            <w:r>
              <w:rPr>
                <w:rFonts w:hint="eastAsia" w:ascii="宋体" w:hAnsi="宋体" w:eastAsia="宋体" w:cs="宋体"/>
                <w:kern w:val="2"/>
                <w:sz w:val="24"/>
                <w:szCs w:val="24"/>
                <w:highlight w:val="none"/>
                <w:lang w:val="en-US" w:eastAsia="zh-CN" w:bidi="ar-SA"/>
              </w:rPr>
              <w:t>合同期内如有物业项目退出，该处服务自动终止。</w:t>
            </w:r>
          </w:p>
        </w:tc>
      </w:tr>
      <w:tr w14:paraId="0A797D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88" w:hRule="atLeast"/>
          <w:jc w:val="center"/>
        </w:trPr>
        <w:tc>
          <w:tcPr>
            <w:tcW w:w="1215" w:type="pct"/>
            <w:noWrap w:val="0"/>
            <w:vAlign w:val="center"/>
          </w:tcPr>
          <w:p w14:paraId="685160D2">
            <w:pPr>
              <w:jc w:val="center"/>
              <w:rPr>
                <w:rFonts w:hint="eastAsia" w:ascii="宋体" w:hAnsi="宋体" w:eastAsia="宋体" w:cs="宋体"/>
                <w:b/>
                <w:color w:val="auto"/>
                <w:sz w:val="24"/>
                <w:szCs w:val="24"/>
                <w:highlight w:val="none"/>
              </w:rPr>
            </w:pPr>
            <w:r>
              <w:rPr>
                <w:rFonts w:hint="eastAsia" w:ascii="宋体" w:hAnsi="宋体" w:eastAsia="宋体" w:cs="宋体"/>
                <w:b/>
                <w:color w:val="auto"/>
                <w:sz w:val="24"/>
                <w:szCs w:val="24"/>
                <w:highlight w:val="none"/>
              </w:rPr>
              <w:t>项目是否分包</w:t>
            </w:r>
          </w:p>
          <w:p w14:paraId="78D9B504">
            <w:pPr>
              <w:jc w:val="center"/>
              <w:rPr>
                <w:rFonts w:hint="eastAsia" w:ascii="宋体" w:hAnsi="宋体" w:eastAsia="宋体" w:cs="宋体"/>
                <w:b/>
                <w:color w:val="auto"/>
                <w:sz w:val="24"/>
                <w:szCs w:val="24"/>
                <w:highlight w:val="none"/>
              </w:rPr>
            </w:pPr>
            <w:r>
              <w:rPr>
                <w:rFonts w:hint="eastAsia" w:ascii="宋体" w:hAnsi="宋体" w:eastAsia="宋体" w:cs="宋体"/>
                <w:b/>
                <w:color w:val="auto"/>
                <w:sz w:val="24"/>
                <w:szCs w:val="24"/>
                <w:highlight w:val="none"/>
              </w:rPr>
              <w:t>分包预算</w:t>
            </w:r>
          </w:p>
        </w:tc>
        <w:tc>
          <w:tcPr>
            <w:tcW w:w="3784" w:type="pct"/>
            <w:noWrap w:val="0"/>
            <w:vAlign w:val="center"/>
          </w:tcPr>
          <w:p w14:paraId="07B9E746">
            <w:pPr>
              <w:autoSpaceDE w:val="0"/>
              <w:autoSpaceDN w:val="0"/>
              <w:adjustRightInd w:val="0"/>
              <w:spacing w:line="360" w:lineRule="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否</w:t>
            </w:r>
          </w:p>
        </w:tc>
      </w:tr>
      <w:tr w14:paraId="2D689E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8" w:hRule="atLeast"/>
          <w:jc w:val="center"/>
        </w:trPr>
        <w:tc>
          <w:tcPr>
            <w:tcW w:w="1215" w:type="pct"/>
            <w:noWrap w:val="0"/>
            <w:vAlign w:val="center"/>
          </w:tcPr>
          <w:p w14:paraId="0B8021BA">
            <w:pPr>
              <w:jc w:val="center"/>
              <w:rPr>
                <w:rFonts w:hint="eastAsia" w:ascii="宋体" w:hAnsi="宋体" w:eastAsia="宋体" w:cs="宋体"/>
                <w:b/>
                <w:color w:val="auto"/>
                <w:sz w:val="24"/>
                <w:szCs w:val="24"/>
                <w:highlight w:val="none"/>
              </w:rPr>
            </w:pPr>
            <w:r>
              <w:rPr>
                <w:rFonts w:hint="eastAsia" w:ascii="宋体" w:hAnsi="宋体" w:eastAsia="宋体" w:cs="宋体"/>
                <w:b/>
                <w:color w:val="auto"/>
                <w:sz w:val="24"/>
                <w:szCs w:val="24"/>
                <w:highlight w:val="none"/>
              </w:rPr>
              <w:t>投标人资格要求</w:t>
            </w:r>
          </w:p>
        </w:tc>
        <w:tc>
          <w:tcPr>
            <w:tcW w:w="3784" w:type="pct"/>
            <w:noWrap w:val="0"/>
            <w:vAlign w:val="center"/>
          </w:tcPr>
          <w:p w14:paraId="26B7CDAF">
            <w:pPr>
              <w:keepNext w:val="0"/>
              <w:keepLines w:val="0"/>
              <w:pageBreakBefore w:val="0"/>
              <w:widowControl w:val="0"/>
              <w:kinsoku/>
              <w:wordWrap/>
              <w:overflowPunct/>
              <w:topLinePunct w:val="0"/>
              <w:bidi w:val="0"/>
              <w:adjustRightInd/>
              <w:snapToGrid/>
              <w:spacing w:line="360" w:lineRule="auto"/>
              <w:ind w:firstLine="435"/>
              <w:jc w:val="left"/>
              <w:textAlignment w:val="auto"/>
              <w:rPr>
                <w:rFonts w:hint="eastAsia" w:ascii="宋体" w:hAnsi="宋体" w:eastAsia="宋体" w:cs="宋体"/>
                <w:b w:val="0"/>
                <w:bCs w:val="0"/>
                <w:color w:val="0000FF"/>
                <w:sz w:val="24"/>
                <w:szCs w:val="24"/>
                <w:highlight w:val="none"/>
                <w:u w:val="none"/>
              </w:rPr>
            </w:pPr>
            <w:r>
              <w:rPr>
                <w:rFonts w:hint="eastAsia" w:ascii="宋体" w:hAnsi="宋体" w:eastAsia="宋体" w:cs="宋体"/>
                <w:b w:val="0"/>
                <w:bCs w:val="0"/>
                <w:color w:val="0000FF"/>
                <w:sz w:val="24"/>
                <w:szCs w:val="24"/>
                <w:highlight w:val="none"/>
                <w:u w:val="none"/>
              </w:rPr>
              <w:t>1.满足《中华人民共和国政府采购法》第二十二条规定；</w:t>
            </w:r>
          </w:p>
          <w:p w14:paraId="5BAB001B">
            <w:pPr>
              <w:keepNext w:val="0"/>
              <w:keepLines w:val="0"/>
              <w:pageBreakBefore w:val="0"/>
              <w:widowControl w:val="0"/>
              <w:kinsoku/>
              <w:wordWrap/>
              <w:overflowPunct/>
              <w:topLinePunct w:val="0"/>
              <w:bidi w:val="0"/>
              <w:adjustRightInd/>
              <w:snapToGrid/>
              <w:spacing w:line="360" w:lineRule="auto"/>
              <w:ind w:firstLine="435"/>
              <w:jc w:val="left"/>
              <w:textAlignment w:val="auto"/>
              <w:rPr>
                <w:rFonts w:hint="eastAsia" w:ascii="宋体" w:hAnsi="宋体" w:eastAsia="宋体" w:cs="宋体"/>
                <w:b w:val="0"/>
                <w:bCs w:val="0"/>
                <w:color w:val="0000FF"/>
                <w:sz w:val="24"/>
                <w:szCs w:val="24"/>
                <w:highlight w:val="none"/>
                <w:u w:val="none"/>
              </w:rPr>
            </w:pPr>
            <w:r>
              <w:rPr>
                <w:rFonts w:hint="eastAsia" w:ascii="宋体" w:hAnsi="宋体" w:eastAsia="宋体" w:cs="宋体"/>
                <w:b w:val="0"/>
                <w:bCs w:val="0"/>
                <w:color w:val="0000FF"/>
                <w:sz w:val="24"/>
                <w:szCs w:val="24"/>
                <w:highlight w:val="none"/>
                <w:u w:val="none"/>
              </w:rPr>
              <w:t>2.具有消防设施维护保养检测、消防安全评估资质（符合应急〔2019〕88号《应急管理部关于印发〈消防技术服务机构从业条件〉的通知》规定，须提供在社会消防技术服务信息系统中的备案截图，服务类型须同时包含“消防设施维护保养检测”和“消防安全评估”）；</w:t>
            </w:r>
          </w:p>
          <w:p w14:paraId="322F8DC4">
            <w:pPr>
              <w:keepNext w:val="0"/>
              <w:keepLines w:val="0"/>
              <w:pageBreakBefore w:val="0"/>
              <w:widowControl w:val="0"/>
              <w:kinsoku/>
              <w:wordWrap/>
              <w:overflowPunct/>
              <w:topLinePunct w:val="0"/>
              <w:bidi w:val="0"/>
              <w:adjustRightInd/>
              <w:snapToGrid/>
              <w:spacing w:line="360" w:lineRule="auto"/>
              <w:ind w:firstLine="435"/>
              <w:jc w:val="left"/>
              <w:textAlignment w:val="auto"/>
              <w:rPr>
                <w:rFonts w:hint="eastAsia" w:ascii="宋体" w:hAnsi="宋体" w:eastAsia="宋体" w:cs="宋体"/>
                <w:b w:val="0"/>
                <w:bCs w:val="0"/>
                <w:color w:val="0000FF"/>
                <w:sz w:val="24"/>
                <w:szCs w:val="24"/>
                <w:highlight w:val="none"/>
                <w:u w:val="none"/>
              </w:rPr>
            </w:pPr>
            <w:r>
              <w:rPr>
                <w:rFonts w:hint="eastAsia" w:ascii="宋体" w:hAnsi="宋体" w:eastAsia="宋体" w:cs="宋体"/>
                <w:b w:val="0"/>
                <w:bCs w:val="0"/>
                <w:color w:val="0000FF"/>
                <w:sz w:val="24"/>
                <w:szCs w:val="24"/>
                <w:highlight w:val="none"/>
                <w:u w:val="none"/>
                <w:lang w:val="en-US" w:eastAsia="zh-CN"/>
              </w:rPr>
              <w:t>3.</w:t>
            </w:r>
            <w:r>
              <w:rPr>
                <w:rFonts w:hint="eastAsia" w:ascii="宋体" w:hAnsi="宋体" w:eastAsia="宋体" w:cs="宋体"/>
                <w:b w:val="0"/>
                <w:bCs w:val="0"/>
                <w:color w:val="0000FF"/>
                <w:sz w:val="24"/>
                <w:szCs w:val="24"/>
                <w:highlight w:val="none"/>
                <w:u w:val="none"/>
              </w:rPr>
              <w:t>自2023年1月1日以来（以合同签订时间为准），投标人具有：</w:t>
            </w:r>
          </w:p>
          <w:p w14:paraId="411C397C">
            <w:pPr>
              <w:keepNext w:val="0"/>
              <w:keepLines w:val="0"/>
              <w:pageBreakBefore w:val="0"/>
              <w:widowControl w:val="0"/>
              <w:kinsoku/>
              <w:wordWrap/>
              <w:overflowPunct/>
              <w:topLinePunct w:val="0"/>
              <w:bidi w:val="0"/>
              <w:adjustRightInd/>
              <w:snapToGrid/>
              <w:spacing w:line="360" w:lineRule="auto"/>
              <w:ind w:firstLine="435"/>
              <w:jc w:val="left"/>
              <w:textAlignment w:val="auto"/>
              <w:rPr>
                <w:rFonts w:hint="eastAsia" w:ascii="宋体" w:hAnsi="宋体" w:eastAsia="宋体" w:cs="宋体"/>
                <w:b w:val="0"/>
                <w:bCs w:val="0"/>
                <w:color w:val="0000FF"/>
                <w:sz w:val="24"/>
                <w:szCs w:val="24"/>
                <w:highlight w:val="none"/>
                <w:u w:val="none"/>
              </w:rPr>
            </w:pPr>
            <w:r>
              <w:rPr>
                <w:rFonts w:hint="eastAsia" w:ascii="宋体" w:hAnsi="宋体" w:eastAsia="宋体" w:cs="宋体"/>
                <w:b w:val="0"/>
                <w:bCs w:val="0"/>
                <w:color w:val="0000FF"/>
                <w:sz w:val="24"/>
                <w:szCs w:val="24"/>
                <w:highlight w:val="none"/>
                <w:u w:val="none"/>
              </w:rPr>
              <w:t>（1）消防设施维护保养检测类服务业绩；</w:t>
            </w:r>
          </w:p>
          <w:p w14:paraId="1A80AF33">
            <w:pPr>
              <w:keepNext w:val="0"/>
              <w:keepLines w:val="0"/>
              <w:pageBreakBefore w:val="0"/>
              <w:widowControl w:val="0"/>
              <w:kinsoku/>
              <w:wordWrap/>
              <w:overflowPunct/>
              <w:topLinePunct w:val="0"/>
              <w:bidi w:val="0"/>
              <w:adjustRightInd/>
              <w:snapToGrid/>
              <w:spacing w:line="360" w:lineRule="auto"/>
              <w:ind w:firstLine="435"/>
              <w:jc w:val="left"/>
              <w:textAlignment w:val="auto"/>
              <w:rPr>
                <w:rFonts w:hint="eastAsia" w:ascii="宋体" w:hAnsi="宋体" w:eastAsia="宋体" w:cs="宋体"/>
                <w:color w:val="auto"/>
                <w:sz w:val="24"/>
                <w:szCs w:val="24"/>
                <w:highlight w:val="none"/>
              </w:rPr>
            </w:pPr>
            <w:r>
              <w:rPr>
                <w:rFonts w:hint="eastAsia" w:ascii="宋体" w:hAnsi="宋体" w:eastAsia="宋体" w:cs="宋体"/>
                <w:b w:val="0"/>
                <w:bCs w:val="0"/>
                <w:color w:val="0000FF"/>
                <w:sz w:val="24"/>
                <w:szCs w:val="24"/>
                <w:highlight w:val="none"/>
                <w:u w:val="none"/>
              </w:rPr>
              <w:t>（2）消防安全评估类服务业绩。</w:t>
            </w:r>
          </w:p>
        </w:tc>
      </w:tr>
      <w:tr w14:paraId="0990BB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4" w:hRule="atLeast"/>
          <w:jc w:val="center"/>
        </w:trPr>
        <w:tc>
          <w:tcPr>
            <w:tcW w:w="1215" w:type="pct"/>
            <w:noWrap w:val="0"/>
            <w:vAlign w:val="center"/>
          </w:tcPr>
          <w:p w14:paraId="5F97BB1E">
            <w:pPr>
              <w:jc w:val="center"/>
              <w:rPr>
                <w:rFonts w:hint="eastAsia" w:ascii="宋体" w:hAnsi="宋体" w:eastAsia="宋体" w:cs="宋体"/>
                <w:b/>
                <w:color w:val="auto"/>
                <w:sz w:val="24"/>
                <w:szCs w:val="24"/>
                <w:highlight w:val="none"/>
              </w:rPr>
            </w:pPr>
            <w:r>
              <w:rPr>
                <w:rFonts w:hint="eastAsia" w:ascii="宋体" w:hAnsi="宋体" w:eastAsia="宋体" w:cs="宋体"/>
                <w:b/>
                <w:color w:val="auto"/>
                <w:sz w:val="24"/>
                <w:szCs w:val="24"/>
                <w:highlight w:val="none"/>
              </w:rPr>
              <w:t>付款方式</w:t>
            </w:r>
          </w:p>
        </w:tc>
        <w:tc>
          <w:tcPr>
            <w:tcW w:w="3784" w:type="pct"/>
            <w:noWrap w:val="0"/>
            <w:vAlign w:val="center"/>
          </w:tcPr>
          <w:p w14:paraId="02034AD6">
            <w:pPr>
              <w:numPr>
                <w:ilvl w:val="0"/>
                <w:numId w:val="0"/>
              </w:numPr>
              <w:autoSpaceDE w:val="0"/>
              <w:autoSpaceDN w:val="0"/>
              <w:adjustRightInd w:val="0"/>
              <w:spacing w:line="360" w:lineRule="auto"/>
              <w:jc w:val="left"/>
              <w:rPr>
                <w:rFonts w:hint="eastAsia" w:ascii="宋体" w:hAnsi="宋体" w:eastAsia="宋体" w:cs="宋体"/>
                <w:color w:val="auto"/>
                <w:sz w:val="24"/>
                <w:szCs w:val="24"/>
                <w:highlight w:val="none"/>
                <w:lang w:val="en-US" w:eastAsia="zh-CN"/>
              </w:rPr>
            </w:pPr>
            <w:r>
              <w:rPr>
                <w:rFonts w:hint="eastAsia" w:ascii="宋体" w:hAnsi="宋体" w:eastAsia="宋体" w:cs="宋体"/>
                <w:color w:val="0000FF"/>
                <w:sz w:val="24"/>
                <w:szCs w:val="24"/>
                <w:highlight w:val="none"/>
                <w:lang w:val="en-US" w:eastAsia="zh-CN"/>
              </w:rPr>
              <w:t>服务费按季度结算，采购人于每季度首月支付上季度服务费。支付金额以该季度各月考核结果核定的数额为准。中标人须在付款前向采购人开具足额增值税专用发票，否则采购人有权顺延付款，且不视为违约。</w:t>
            </w:r>
          </w:p>
        </w:tc>
      </w:tr>
      <w:tr w14:paraId="6CFEC8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2" w:hRule="atLeast"/>
          <w:jc w:val="center"/>
        </w:trPr>
        <w:tc>
          <w:tcPr>
            <w:tcW w:w="1215" w:type="pct"/>
            <w:noWrap w:val="0"/>
            <w:vAlign w:val="center"/>
          </w:tcPr>
          <w:p w14:paraId="5CDE16FD">
            <w:pPr>
              <w:jc w:val="center"/>
              <w:rPr>
                <w:rFonts w:hint="eastAsia" w:ascii="宋体" w:hAnsi="宋体" w:eastAsia="宋体" w:cs="宋体"/>
                <w:b/>
                <w:color w:val="auto"/>
                <w:sz w:val="24"/>
                <w:szCs w:val="24"/>
                <w:highlight w:val="none"/>
              </w:rPr>
            </w:pPr>
            <w:r>
              <w:rPr>
                <w:rFonts w:hint="eastAsia" w:ascii="宋体" w:hAnsi="宋体" w:eastAsia="宋体" w:cs="宋体"/>
                <w:b/>
                <w:color w:val="auto"/>
                <w:sz w:val="24"/>
                <w:szCs w:val="24"/>
                <w:highlight w:val="none"/>
              </w:rPr>
              <w:t>服务地点</w:t>
            </w:r>
          </w:p>
        </w:tc>
        <w:tc>
          <w:tcPr>
            <w:tcW w:w="3784" w:type="pct"/>
            <w:noWrap w:val="0"/>
            <w:vAlign w:val="center"/>
          </w:tcPr>
          <w:p w14:paraId="4EF40B6C">
            <w:pPr>
              <w:autoSpaceDE w:val="0"/>
              <w:autoSpaceDN w:val="0"/>
              <w:adjustRightInd w:val="0"/>
              <w:spacing w:line="360" w:lineRule="auto"/>
              <w:jc w:val="left"/>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rPr>
              <w:t>合肥经济技术开发区</w:t>
            </w:r>
          </w:p>
        </w:tc>
      </w:tr>
      <w:tr w14:paraId="44ED33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6" w:hRule="atLeast"/>
          <w:jc w:val="center"/>
        </w:trPr>
        <w:tc>
          <w:tcPr>
            <w:tcW w:w="1215" w:type="pct"/>
            <w:noWrap w:val="0"/>
            <w:vAlign w:val="center"/>
          </w:tcPr>
          <w:p w14:paraId="62E32AFB">
            <w:pPr>
              <w:jc w:val="center"/>
              <w:rPr>
                <w:rFonts w:hint="eastAsia" w:ascii="宋体" w:hAnsi="宋体" w:eastAsia="宋体" w:cs="宋体"/>
                <w:b/>
                <w:color w:val="auto"/>
                <w:sz w:val="24"/>
                <w:szCs w:val="24"/>
                <w:highlight w:val="none"/>
              </w:rPr>
            </w:pPr>
            <w:r>
              <w:rPr>
                <w:rFonts w:hint="eastAsia" w:ascii="宋体" w:hAnsi="宋体" w:eastAsia="宋体" w:cs="宋体"/>
                <w:b/>
                <w:color w:val="auto"/>
                <w:sz w:val="24"/>
                <w:szCs w:val="24"/>
                <w:highlight w:val="none"/>
              </w:rPr>
              <w:t>服务期限（工期）</w:t>
            </w:r>
          </w:p>
        </w:tc>
        <w:tc>
          <w:tcPr>
            <w:tcW w:w="3784" w:type="pct"/>
            <w:noWrap w:val="0"/>
            <w:vAlign w:val="center"/>
          </w:tcPr>
          <w:p w14:paraId="6D804D51">
            <w:pPr>
              <w:spacing w:line="360" w:lineRule="auto"/>
              <w:rPr>
                <w:rFonts w:hint="eastAsia" w:ascii="宋体" w:hAnsi="宋体" w:eastAsia="宋体" w:cs="宋体"/>
                <w:bCs/>
                <w:color w:val="auto"/>
                <w:sz w:val="24"/>
                <w:szCs w:val="24"/>
                <w:highlight w:val="none"/>
                <w:lang w:val="en-US" w:eastAsia="zh-CN"/>
              </w:rPr>
            </w:pPr>
            <w:r>
              <w:rPr>
                <w:rFonts w:hint="eastAsia" w:ascii="宋体" w:hAnsi="宋体" w:eastAsia="宋体" w:cs="宋体"/>
                <w:bCs/>
                <w:color w:val="auto"/>
                <w:sz w:val="24"/>
                <w:szCs w:val="24"/>
                <w:highlight w:val="none"/>
                <w:lang w:val="en-US" w:eastAsia="zh-CN"/>
              </w:rPr>
              <w:t>合同签订后一年。合同到期后，如考核合格，在年度预算能保证的前提下，经双方同意，可续签下一年度合同，且续签合同金额不变，最多续签2次，合同一年一签。</w:t>
            </w:r>
          </w:p>
        </w:tc>
      </w:tr>
      <w:tr w14:paraId="2F7C5E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6" w:hRule="atLeast"/>
          <w:jc w:val="center"/>
        </w:trPr>
        <w:tc>
          <w:tcPr>
            <w:tcW w:w="1215" w:type="pct"/>
            <w:noWrap w:val="0"/>
            <w:vAlign w:val="center"/>
          </w:tcPr>
          <w:p w14:paraId="74B0860C">
            <w:pPr>
              <w:spacing w:line="360" w:lineRule="auto"/>
              <w:jc w:val="center"/>
              <w:rPr>
                <w:rFonts w:hint="eastAsia" w:ascii="宋体" w:hAnsi="宋体" w:eastAsia="宋体" w:cs="宋体"/>
                <w:b/>
                <w:color w:val="auto"/>
                <w:sz w:val="24"/>
                <w:szCs w:val="24"/>
                <w:highlight w:val="none"/>
              </w:rPr>
            </w:pPr>
            <w:r>
              <w:rPr>
                <w:rFonts w:hint="eastAsia" w:ascii="宋体" w:hAnsi="宋体" w:eastAsia="宋体" w:cs="宋体"/>
                <w:b/>
                <w:color w:val="auto"/>
                <w:sz w:val="24"/>
                <w:szCs w:val="24"/>
                <w:highlight w:val="none"/>
              </w:rPr>
              <w:t>是否专门面向</w:t>
            </w:r>
          </w:p>
          <w:p w14:paraId="7A5C757B">
            <w:pPr>
              <w:spacing w:line="360" w:lineRule="auto"/>
              <w:jc w:val="center"/>
              <w:rPr>
                <w:rFonts w:hint="eastAsia" w:ascii="宋体" w:hAnsi="宋体" w:eastAsia="宋体" w:cs="宋体"/>
                <w:b/>
                <w:color w:val="auto"/>
                <w:sz w:val="24"/>
                <w:szCs w:val="24"/>
                <w:highlight w:val="none"/>
              </w:rPr>
            </w:pPr>
            <w:r>
              <w:rPr>
                <w:rFonts w:hint="eastAsia" w:ascii="宋体" w:hAnsi="宋体" w:eastAsia="宋体" w:cs="宋体"/>
                <w:b/>
                <w:color w:val="auto"/>
                <w:sz w:val="24"/>
                <w:szCs w:val="24"/>
                <w:highlight w:val="none"/>
              </w:rPr>
              <w:t>中小企业</w:t>
            </w:r>
          </w:p>
        </w:tc>
        <w:tc>
          <w:tcPr>
            <w:tcW w:w="3784" w:type="pct"/>
            <w:noWrap w:val="0"/>
            <w:vAlign w:val="center"/>
          </w:tcPr>
          <w:p w14:paraId="05C36EC6">
            <w:pPr>
              <w:spacing w:line="360" w:lineRule="auto"/>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lang w:eastAsia="zh-CN"/>
              </w:rPr>
              <w:t>否</w:t>
            </w:r>
          </w:p>
        </w:tc>
      </w:tr>
      <w:tr w14:paraId="4E6EE3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6" w:hRule="atLeast"/>
          <w:jc w:val="center"/>
        </w:trPr>
        <w:tc>
          <w:tcPr>
            <w:tcW w:w="1215" w:type="pct"/>
            <w:noWrap w:val="0"/>
            <w:vAlign w:val="center"/>
          </w:tcPr>
          <w:p w14:paraId="4ABD13AB">
            <w:pPr>
              <w:spacing w:line="360" w:lineRule="auto"/>
              <w:jc w:val="center"/>
              <w:rPr>
                <w:rFonts w:hint="eastAsia" w:ascii="宋体" w:hAnsi="宋体" w:eastAsia="宋体" w:cs="宋体"/>
                <w:b/>
                <w:color w:val="auto"/>
                <w:sz w:val="24"/>
                <w:szCs w:val="24"/>
                <w:highlight w:val="none"/>
              </w:rPr>
            </w:pPr>
            <w:r>
              <w:rPr>
                <w:rFonts w:hint="eastAsia" w:ascii="宋体" w:hAnsi="宋体" w:eastAsia="宋体" w:cs="宋体"/>
                <w:b/>
                <w:color w:val="auto"/>
                <w:sz w:val="24"/>
                <w:szCs w:val="24"/>
                <w:highlight w:val="none"/>
              </w:rPr>
              <w:t>是否接受联合体投标</w:t>
            </w:r>
          </w:p>
        </w:tc>
        <w:tc>
          <w:tcPr>
            <w:tcW w:w="3784" w:type="pct"/>
            <w:noWrap w:val="0"/>
            <w:vAlign w:val="center"/>
          </w:tcPr>
          <w:p w14:paraId="34E6CA4C">
            <w:pPr>
              <w:spacing w:line="360" w:lineRule="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否</w:t>
            </w:r>
          </w:p>
        </w:tc>
      </w:tr>
      <w:tr w14:paraId="677880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6" w:hRule="atLeast"/>
          <w:jc w:val="center"/>
        </w:trPr>
        <w:tc>
          <w:tcPr>
            <w:tcW w:w="1215" w:type="pct"/>
            <w:noWrap w:val="0"/>
            <w:vAlign w:val="center"/>
          </w:tcPr>
          <w:p w14:paraId="6E2B3E6B">
            <w:pPr>
              <w:spacing w:line="500" w:lineRule="exact"/>
              <w:jc w:val="center"/>
              <w:rPr>
                <w:rFonts w:hint="eastAsia" w:ascii="宋体" w:hAnsi="宋体" w:eastAsia="宋体" w:cs="宋体"/>
                <w:b/>
                <w:color w:val="auto"/>
                <w:sz w:val="24"/>
                <w:szCs w:val="24"/>
                <w:highlight w:val="none"/>
              </w:rPr>
            </w:pPr>
            <w:r>
              <w:rPr>
                <w:rFonts w:hint="eastAsia" w:ascii="宋体" w:hAnsi="宋体" w:eastAsia="宋体" w:cs="宋体"/>
                <w:b/>
                <w:bCs/>
                <w:color w:val="auto"/>
                <w:sz w:val="24"/>
                <w:szCs w:val="24"/>
                <w:highlight w:val="none"/>
              </w:rPr>
              <w:t>本地化服务</w:t>
            </w:r>
          </w:p>
        </w:tc>
        <w:tc>
          <w:tcPr>
            <w:tcW w:w="3784" w:type="pct"/>
            <w:noWrap w:val="0"/>
            <w:vAlign w:val="center"/>
          </w:tcPr>
          <w:p w14:paraId="721F6FD8">
            <w:pPr>
              <w:spacing w:line="360" w:lineRule="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本项目是否要求本地化服务能力：</w:t>
            </w:r>
            <w:r>
              <w:rPr>
                <w:rFonts w:hint="eastAsia" w:ascii="宋体" w:hAnsi="宋体" w:eastAsia="宋体" w:cs="宋体"/>
                <w:b/>
                <w:bCs/>
                <w:color w:val="auto"/>
                <w:sz w:val="24"/>
                <w:szCs w:val="24"/>
                <w:highlight w:val="none"/>
                <w:u w:val="none"/>
              </w:rPr>
              <w:sym w:font="Wingdings" w:char="00FE"/>
            </w:r>
            <w:r>
              <w:rPr>
                <w:rFonts w:hint="eastAsia" w:ascii="宋体" w:hAnsi="宋体" w:eastAsia="宋体" w:cs="宋体"/>
                <w:color w:val="auto"/>
                <w:sz w:val="24"/>
                <w:szCs w:val="24"/>
                <w:highlight w:val="none"/>
              </w:rPr>
              <w:t>要求□不要求</w:t>
            </w:r>
          </w:p>
          <w:p w14:paraId="28ADCD8C">
            <w:pPr>
              <w:spacing w:line="360" w:lineRule="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本地化服务的能力是指具有以下条件之一：</w:t>
            </w:r>
          </w:p>
          <w:p w14:paraId="514C7168">
            <w:pPr>
              <w:spacing w:line="360" w:lineRule="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1）在本地具有固定的办公场所及人员；</w:t>
            </w:r>
          </w:p>
          <w:p w14:paraId="5D8DFC6D">
            <w:pPr>
              <w:spacing w:line="360" w:lineRule="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2）在本地注册成立的；</w:t>
            </w:r>
          </w:p>
          <w:p w14:paraId="7943A2F1">
            <w:pPr>
              <w:spacing w:line="360" w:lineRule="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3）承诺成交即设立本地化服务机构。</w:t>
            </w:r>
          </w:p>
          <w:p w14:paraId="3288BDD5">
            <w:pPr>
              <w:spacing w:line="360" w:lineRule="auto"/>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rPr>
              <w:t>备注：“本地”系指：合肥市</w:t>
            </w:r>
          </w:p>
        </w:tc>
      </w:tr>
      <w:tr w14:paraId="1726E6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6" w:hRule="atLeast"/>
          <w:jc w:val="center"/>
        </w:trPr>
        <w:tc>
          <w:tcPr>
            <w:tcW w:w="1215" w:type="pct"/>
            <w:noWrap w:val="0"/>
            <w:vAlign w:val="center"/>
          </w:tcPr>
          <w:p w14:paraId="357F79F3">
            <w:pPr>
              <w:spacing w:line="360" w:lineRule="auto"/>
              <w:jc w:val="center"/>
              <w:rPr>
                <w:rFonts w:hint="eastAsia" w:ascii="宋体" w:hAnsi="宋体" w:eastAsia="宋体" w:cs="宋体"/>
                <w:b/>
                <w:color w:val="auto"/>
                <w:sz w:val="24"/>
                <w:szCs w:val="24"/>
                <w:highlight w:val="none"/>
              </w:rPr>
            </w:pPr>
            <w:r>
              <w:rPr>
                <w:rFonts w:hint="eastAsia" w:ascii="宋体" w:hAnsi="宋体" w:eastAsia="宋体" w:cs="宋体"/>
                <w:b/>
                <w:color w:val="auto"/>
                <w:sz w:val="24"/>
                <w:szCs w:val="24"/>
                <w:highlight w:val="none"/>
              </w:rPr>
              <w:t>履约保证金退还时间</w:t>
            </w:r>
          </w:p>
        </w:tc>
        <w:tc>
          <w:tcPr>
            <w:tcW w:w="3784" w:type="pct"/>
            <w:noWrap w:val="0"/>
            <w:vAlign w:val="center"/>
          </w:tcPr>
          <w:p w14:paraId="10B0406A">
            <w:pPr>
              <w:autoSpaceDE w:val="0"/>
              <w:autoSpaceDN w:val="0"/>
              <w:adjustRightInd w:val="0"/>
              <w:spacing w:line="360" w:lineRule="auto"/>
              <w:jc w:val="left"/>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lang w:val="en-US" w:eastAsia="zh-CN"/>
              </w:rPr>
              <w:t>本项目无履约保证金</w:t>
            </w:r>
          </w:p>
        </w:tc>
      </w:tr>
      <w:tr w14:paraId="5E90A2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8" w:hRule="atLeast"/>
          <w:jc w:val="center"/>
        </w:trPr>
        <w:tc>
          <w:tcPr>
            <w:tcW w:w="1215" w:type="pct"/>
            <w:noWrap w:val="0"/>
            <w:vAlign w:val="center"/>
          </w:tcPr>
          <w:p w14:paraId="377C6B42">
            <w:pPr>
              <w:jc w:val="center"/>
              <w:rPr>
                <w:rFonts w:hint="eastAsia" w:ascii="宋体" w:hAnsi="宋体" w:eastAsia="宋体" w:cs="宋体"/>
                <w:b/>
                <w:color w:val="auto"/>
                <w:sz w:val="24"/>
                <w:szCs w:val="24"/>
                <w:highlight w:val="none"/>
              </w:rPr>
            </w:pPr>
            <w:r>
              <w:rPr>
                <w:rFonts w:hint="eastAsia" w:ascii="宋体" w:hAnsi="宋体" w:eastAsia="宋体" w:cs="宋体"/>
                <w:b/>
                <w:color w:val="auto"/>
                <w:sz w:val="24"/>
                <w:szCs w:val="24"/>
                <w:highlight w:val="none"/>
              </w:rPr>
              <w:t>拟采用的评标办法</w:t>
            </w:r>
          </w:p>
        </w:tc>
        <w:tc>
          <w:tcPr>
            <w:tcW w:w="3784" w:type="pct"/>
            <w:noWrap w:val="0"/>
            <w:vAlign w:val="center"/>
          </w:tcPr>
          <w:p w14:paraId="1B481841">
            <w:pPr>
              <w:autoSpaceDE w:val="0"/>
              <w:autoSpaceDN w:val="0"/>
              <w:adjustRightInd w:val="0"/>
              <w:spacing w:line="360" w:lineRule="auto"/>
              <w:jc w:val="left"/>
              <w:rPr>
                <w:rFonts w:hint="eastAsia" w:ascii="宋体" w:hAnsi="宋体" w:eastAsia="宋体" w:cs="宋体"/>
                <w:color w:val="auto"/>
                <w:sz w:val="24"/>
                <w:szCs w:val="24"/>
                <w:highlight w:val="none"/>
                <w:lang w:eastAsia="zh-CN"/>
              </w:rPr>
            </w:pPr>
            <w:r>
              <w:rPr>
                <w:rFonts w:hint="eastAsia" w:ascii="宋体" w:hAnsi="宋体" w:eastAsia="宋体" w:cs="宋体"/>
                <w:b/>
                <w:color w:val="auto"/>
                <w:sz w:val="24"/>
                <w:szCs w:val="24"/>
                <w:highlight w:val="none"/>
                <w:lang w:eastAsia="zh-CN"/>
              </w:rPr>
              <w:t>平均价法</w:t>
            </w:r>
          </w:p>
        </w:tc>
      </w:tr>
    </w:tbl>
    <w:p w14:paraId="5E2D4383">
      <w:pPr>
        <w:spacing w:line="360" w:lineRule="auto"/>
        <w:ind w:firstLine="435"/>
        <w:outlineLvl w:val="1"/>
        <w:rPr>
          <w:rFonts w:hint="eastAsia" w:ascii="宋体" w:hAnsi="宋体" w:eastAsia="宋体" w:cs="宋体"/>
          <w:b/>
          <w:color w:val="auto"/>
          <w:sz w:val="24"/>
          <w:szCs w:val="24"/>
          <w:highlight w:val="none"/>
        </w:rPr>
      </w:pPr>
      <w:r>
        <w:rPr>
          <w:rFonts w:hint="eastAsia" w:ascii="宋体" w:hAnsi="宋体" w:eastAsia="宋体" w:cs="宋体"/>
          <w:b/>
          <w:color w:val="auto"/>
          <w:sz w:val="24"/>
          <w:szCs w:val="24"/>
          <w:highlight w:val="none"/>
        </w:rPr>
        <w:t>二、项目概况</w:t>
      </w:r>
    </w:p>
    <w:p w14:paraId="7411F702">
      <w:pPr>
        <w:spacing w:line="360" w:lineRule="auto"/>
        <w:ind w:firstLine="480" w:firstLineChars="200"/>
        <w:rPr>
          <w:rFonts w:hint="eastAsia" w:ascii="宋体" w:hAnsi="宋体" w:eastAsia="宋体" w:cs="宋体"/>
          <w:bCs/>
          <w:color w:val="000000" w:themeColor="text1"/>
          <w:sz w:val="24"/>
          <w:szCs w:val="24"/>
          <w:lang w:eastAsia="zh-CN"/>
          <w14:textFill>
            <w14:solidFill>
              <w14:schemeClr w14:val="tx1"/>
            </w14:solidFill>
          </w14:textFill>
        </w:rPr>
      </w:pPr>
      <w:r>
        <w:rPr>
          <w:rFonts w:hint="eastAsia" w:ascii="宋体" w:hAnsi="宋体" w:eastAsia="宋体" w:cs="宋体"/>
          <w:bCs/>
          <w:sz w:val="24"/>
          <w:szCs w:val="24"/>
        </w:rPr>
        <w:t>1.项目情况：本项目主要为合肥经开区</w:t>
      </w:r>
      <w:r>
        <w:rPr>
          <w:rFonts w:hint="eastAsia" w:ascii="宋体" w:hAnsi="宋体" w:eastAsia="宋体" w:cs="宋体"/>
          <w:bCs/>
          <w:sz w:val="24"/>
          <w:szCs w:val="24"/>
          <w:lang w:val="en-US" w:eastAsia="zh-CN"/>
        </w:rPr>
        <w:t>新桥分公司</w:t>
      </w:r>
      <w:r>
        <w:rPr>
          <w:rFonts w:hint="eastAsia" w:ascii="宋体" w:hAnsi="宋体" w:eastAsia="宋体" w:cs="宋体"/>
          <w:bCs/>
          <w:sz w:val="24"/>
          <w:szCs w:val="24"/>
        </w:rPr>
        <w:t>管理的</w:t>
      </w:r>
      <w:r>
        <w:rPr>
          <w:rFonts w:hint="eastAsia" w:ascii="宋体" w:hAnsi="宋体" w:eastAsia="宋体" w:cs="宋体"/>
          <w:bCs/>
          <w:sz w:val="24"/>
          <w:szCs w:val="24"/>
          <w:lang w:val="en-US" w:eastAsia="zh-CN"/>
        </w:rPr>
        <w:t>新桥家园公租房、万家桥生态文化陵园</w:t>
      </w:r>
      <w:r>
        <w:rPr>
          <w:rFonts w:hint="eastAsia" w:ascii="宋体" w:hAnsi="宋体" w:eastAsia="宋体" w:cs="宋体"/>
          <w:bCs/>
          <w:sz w:val="24"/>
          <w:szCs w:val="24"/>
          <w:highlight w:val="none"/>
        </w:rPr>
        <w:t>提供消防设施检测维修保养服务。</w:t>
      </w:r>
      <w:r>
        <w:rPr>
          <w:rFonts w:hint="eastAsia" w:ascii="宋体" w:hAnsi="宋体" w:eastAsia="宋体" w:cs="宋体"/>
          <w:bCs/>
          <w:color w:val="000000" w:themeColor="text1"/>
          <w:sz w:val="24"/>
          <w:szCs w:val="24"/>
          <w:highlight w:val="none"/>
          <w:lang w:eastAsia="zh-CN"/>
          <w14:textFill>
            <w14:solidFill>
              <w14:schemeClr w14:val="tx1"/>
            </w14:solidFill>
          </w14:textFill>
        </w:rPr>
        <w:t>其中</w:t>
      </w:r>
      <w:r>
        <w:rPr>
          <w:rFonts w:hint="eastAsia" w:ascii="宋体" w:hAnsi="宋体" w:eastAsia="宋体" w:cs="宋体"/>
          <w:bCs/>
          <w:color w:val="000000" w:themeColor="text1"/>
          <w:sz w:val="24"/>
          <w:szCs w:val="24"/>
          <w:lang w:val="en-US" w:eastAsia="zh-CN"/>
          <w14:textFill>
            <w14:solidFill>
              <w14:schemeClr w14:val="tx1"/>
            </w14:solidFill>
          </w14:textFill>
        </w:rPr>
        <w:t>新桥家园公租房建筑面积约32300平方米，万家桥生态文化陵园建筑面积约</w:t>
      </w:r>
      <w:r>
        <w:rPr>
          <w:rFonts w:hint="eastAsia" w:ascii="宋体" w:hAnsi="宋体" w:eastAsia="宋体" w:cs="宋体"/>
          <w:snapToGrid w:val="0"/>
          <w:color w:val="000000" w:themeColor="text1"/>
          <w:spacing w:val="20"/>
          <w:kern w:val="0"/>
          <w:sz w:val="24"/>
          <w:szCs w:val="24"/>
          <w14:textFill>
            <w14:solidFill>
              <w14:schemeClr w14:val="tx1"/>
            </w14:solidFill>
          </w14:textFill>
        </w:rPr>
        <w:t>12917</w:t>
      </w:r>
      <w:r>
        <w:rPr>
          <w:rFonts w:hint="eastAsia" w:ascii="宋体" w:hAnsi="宋体" w:eastAsia="宋体" w:cs="宋体"/>
          <w:bCs/>
          <w:color w:val="000000" w:themeColor="text1"/>
          <w:sz w:val="24"/>
          <w:szCs w:val="24"/>
          <w:lang w:val="en-US" w:eastAsia="zh-CN"/>
          <w14:textFill>
            <w14:solidFill>
              <w14:schemeClr w14:val="tx1"/>
            </w14:solidFill>
          </w14:textFill>
        </w:rPr>
        <w:t>平方米</w:t>
      </w:r>
      <w:r>
        <w:rPr>
          <w:rFonts w:hint="eastAsia" w:ascii="宋体" w:hAnsi="宋体" w:eastAsia="宋体" w:cs="宋体"/>
          <w:bCs/>
          <w:color w:val="000000" w:themeColor="text1"/>
          <w:sz w:val="24"/>
          <w:szCs w:val="24"/>
          <w:lang w:eastAsia="zh-CN"/>
          <w14:textFill>
            <w14:solidFill>
              <w14:schemeClr w14:val="tx1"/>
            </w14:solidFill>
          </w14:textFill>
        </w:rPr>
        <w:t>。</w:t>
      </w:r>
    </w:p>
    <w:p w14:paraId="273D5CAE">
      <w:pPr>
        <w:spacing w:line="360" w:lineRule="auto"/>
        <w:ind w:firstLine="480" w:firstLineChars="200"/>
        <w:rPr>
          <w:rFonts w:hint="eastAsia" w:ascii="宋体" w:hAnsi="宋体" w:eastAsia="宋体" w:cs="宋体"/>
          <w:bCs/>
          <w:sz w:val="24"/>
          <w:szCs w:val="24"/>
        </w:rPr>
      </w:pPr>
      <w:r>
        <w:rPr>
          <w:rFonts w:hint="eastAsia" w:ascii="宋体" w:hAnsi="宋体" w:eastAsia="宋体" w:cs="宋体"/>
          <w:bCs/>
          <w:sz w:val="24"/>
          <w:szCs w:val="24"/>
          <w:lang w:val="en-US" w:eastAsia="zh-CN"/>
        </w:rPr>
        <w:t>2</w:t>
      </w:r>
      <w:r>
        <w:rPr>
          <w:rFonts w:hint="eastAsia" w:ascii="宋体" w:hAnsi="宋体" w:eastAsia="宋体" w:cs="宋体"/>
          <w:bCs/>
          <w:sz w:val="24"/>
          <w:szCs w:val="24"/>
        </w:rPr>
        <w:t>.投标人自行勘探现场，以便投标人获得有关投标文件编制和签署合同所需的进一步的资料。投标人踏勘现场自行得出的结论和解释由其自己负责，采购人不因此承担任何责任。现场踏勘的交通、食宿等由投标人自行安排，费用自理。</w:t>
      </w:r>
    </w:p>
    <w:p w14:paraId="4D081C34">
      <w:pPr>
        <w:spacing w:line="360" w:lineRule="auto"/>
        <w:ind w:firstLine="482" w:firstLineChars="200"/>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三、服务需求</w:t>
      </w:r>
    </w:p>
    <w:p w14:paraId="1A43E28F">
      <w:pPr>
        <w:spacing w:line="360" w:lineRule="auto"/>
        <w:ind w:firstLine="482" w:firstLineChars="200"/>
        <w:rPr>
          <w:rFonts w:hint="eastAsia" w:ascii="宋体" w:hAnsi="宋体" w:eastAsia="宋体" w:cs="宋体"/>
          <w:b/>
          <w:bCs w:val="0"/>
          <w:color w:val="auto"/>
          <w:sz w:val="24"/>
          <w:szCs w:val="24"/>
          <w:highlight w:val="none"/>
        </w:rPr>
      </w:pPr>
      <w:r>
        <w:rPr>
          <w:rFonts w:hint="eastAsia" w:ascii="宋体" w:hAnsi="宋体" w:eastAsia="宋体" w:cs="宋体"/>
          <w:b/>
          <w:bCs w:val="0"/>
          <w:color w:val="auto"/>
          <w:sz w:val="24"/>
          <w:szCs w:val="24"/>
          <w:highlight w:val="none"/>
          <w:lang w:val="en-US" w:eastAsia="zh-CN"/>
        </w:rPr>
        <w:t>1.</w:t>
      </w:r>
      <w:r>
        <w:rPr>
          <w:rFonts w:hint="eastAsia" w:ascii="宋体" w:hAnsi="宋体" w:eastAsia="宋体" w:cs="宋体"/>
          <w:b/>
          <w:bCs w:val="0"/>
          <w:color w:val="auto"/>
          <w:sz w:val="24"/>
          <w:szCs w:val="24"/>
          <w:highlight w:val="none"/>
          <w:lang w:eastAsia="zh-CN"/>
        </w:rPr>
        <w:t>进场</w:t>
      </w:r>
      <w:r>
        <w:rPr>
          <w:rFonts w:hint="eastAsia" w:ascii="宋体" w:hAnsi="宋体" w:eastAsia="宋体" w:cs="宋体"/>
          <w:b/>
          <w:bCs w:val="0"/>
          <w:color w:val="auto"/>
          <w:sz w:val="24"/>
          <w:szCs w:val="24"/>
          <w:highlight w:val="none"/>
        </w:rPr>
        <w:t>检测要求</w:t>
      </w:r>
    </w:p>
    <w:p w14:paraId="0712FD59">
      <w:pPr>
        <w:spacing w:line="360" w:lineRule="auto"/>
        <w:ind w:firstLine="480" w:firstLineChars="200"/>
        <w:rPr>
          <w:rFonts w:hint="eastAsia" w:ascii="宋体" w:hAnsi="宋体" w:eastAsia="宋体" w:cs="宋体"/>
          <w:bCs/>
          <w:color w:val="auto"/>
          <w:sz w:val="24"/>
          <w:szCs w:val="24"/>
          <w:highlight w:val="none"/>
          <w:lang w:eastAsia="zh-CN"/>
        </w:rPr>
      </w:pPr>
      <w:r>
        <w:rPr>
          <w:rFonts w:hint="eastAsia" w:ascii="宋体" w:hAnsi="宋体" w:eastAsia="宋体" w:cs="宋体"/>
          <w:bCs/>
          <w:color w:val="auto"/>
          <w:sz w:val="24"/>
          <w:szCs w:val="24"/>
          <w:highlight w:val="none"/>
          <w:lang w:eastAsia="zh-CN"/>
        </w:rPr>
        <w:t>进场</w:t>
      </w:r>
      <w:r>
        <w:rPr>
          <w:rFonts w:hint="eastAsia" w:ascii="宋体" w:hAnsi="宋体" w:eastAsia="宋体" w:cs="宋体"/>
          <w:bCs/>
          <w:color w:val="auto"/>
          <w:sz w:val="24"/>
          <w:szCs w:val="24"/>
          <w:highlight w:val="none"/>
        </w:rPr>
        <w:t>检测要求：</w:t>
      </w:r>
      <w:r>
        <w:rPr>
          <w:rFonts w:hint="eastAsia" w:ascii="宋体" w:hAnsi="宋体" w:eastAsia="宋体" w:cs="宋体"/>
          <w:bCs/>
          <w:color w:val="auto"/>
          <w:sz w:val="24"/>
          <w:szCs w:val="24"/>
          <w:highlight w:val="none"/>
          <w:lang w:eastAsia="zh-CN"/>
        </w:rPr>
        <w:t>采购人按现状移交中标人进行维修、维护；中标人进场时</w:t>
      </w:r>
      <w:r>
        <w:rPr>
          <w:rFonts w:hint="eastAsia" w:ascii="宋体" w:hAnsi="宋体" w:eastAsia="宋体" w:cs="宋体"/>
          <w:bCs/>
          <w:color w:val="auto"/>
          <w:sz w:val="24"/>
          <w:szCs w:val="24"/>
          <w:highlight w:val="none"/>
        </w:rPr>
        <w:t>负责对</w:t>
      </w:r>
      <w:r>
        <w:rPr>
          <w:rFonts w:hint="eastAsia" w:ascii="宋体" w:hAnsi="宋体" w:eastAsia="宋体" w:cs="宋体"/>
          <w:bCs/>
          <w:color w:val="auto"/>
          <w:sz w:val="24"/>
          <w:szCs w:val="24"/>
          <w:highlight w:val="none"/>
          <w:lang w:eastAsia="zh-CN"/>
        </w:rPr>
        <w:t>采购人</w:t>
      </w:r>
      <w:r>
        <w:rPr>
          <w:rFonts w:hint="eastAsia" w:ascii="宋体" w:hAnsi="宋体" w:eastAsia="宋体" w:cs="宋体"/>
          <w:bCs/>
          <w:color w:val="auto"/>
          <w:sz w:val="24"/>
          <w:szCs w:val="24"/>
          <w:highlight w:val="none"/>
        </w:rPr>
        <w:t>建筑消防设施进行检测</w:t>
      </w:r>
      <w:r>
        <w:rPr>
          <w:rFonts w:hint="eastAsia" w:ascii="宋体" w:hAnsi="宋体" w:eastAsia="宋体" w:cs="宋体"/>
          <w:bCs/>
          <w:color w:val="auto"/>
          <w:sz w:val="24"/>
          <w:szCs w:val="24"/>
          <w:highlight w:val="none"/>
          <w:lang w:eastAsia="zh-CN"/>
        </w:rPr>
        <w:t>、维修、保养，确保消防设施设备符合规范使用标准并正常使用。</w:t>
      </w:r>
    </w:p>
    <w:p w14:paraId="1597D8D7">
      <w:pPr>
        <w:spacing w:line="360" w:lineRule="auto"/>
        <w:ind w:firstLine="482" w:firstLineChars="200"/>
        <w:rPr>
          <w:rFonts w:hint="eastAsia" w:ascii="宋体" w:hAnsi="宋体" w:eastAsia="宋体" w:cs="宋体"/>
          <w:b/>
          <w:bCs w:val="0"/>
          <w:color w:val="auto"/>
          <w:sz w:val="24"/>
          <w:szCs w:val="24"/>
          <w:highlight w:val="none"/>
        </w:rPr>
      </w:pPr>
      <w:r>
        <w:rPr>
          <w:rFonts w:hint="eastAsia" w:ascii="宋体" w:hAnsi="宋体" w:eastAsia="宋体" w:cs="宋体"/>
          <w:b/>
          <w:bCs w:val="0"/>
          <w:color w:val="auto"/>
          <w:sz w:val="24"/>
          <w:szCs w:val="24"/>
          <w:highlight w:val="none"/>
          <w:lang w:val="en-US" w:eastAsia="zh-CN"/>
        </w:rPr>
        <w:t>2.日常</w:t>
      </w:r>
      <w:r>
        <w:rPr>
          <w:rFonts w:hint="eastAsia" w:ascii="宋体" w:hAnsi="宋体" w:eastAsia="宋体" w:cs="宋体"/>
          <w:b/>
          <w:bCs w:val="0"/>
          <w:color w:val="auto"/>
          <w:sz w:val="24"/>
          <w:szCs w:val="24"/>
          <w:highlight w:val="none"/>
        </w:rPr>
        <w:t>维护保养</w:t>
      </w:r>
    </w:p>
    <w:p w14:paraId="42E198D1">
      <w:pPr>
        <w:spacing w:line="360" w:lineRule="auto"/>
        <w:ind w:firstLine="480" w:firstLineChars="200"/>
        <w:rPr>
          <w:rFonts w:hint="eastAsia" w:ascii="宋体" w:hAnsi="宋体" w:eastAsia="宋体" w:cs="宋体"/>
          <w:bCs/>
          <w:color w:val="auto"/>
          <w:sz w:val="24"/>
          <w:szCs w:val="24"/>
          <w:highlight w:val="none"/>
          <w:lang w:eastAsia="zh-CN"/>
        </w:rPr>
      </w:pPr>
      <w:r>
        <w:rPr>
          <w:rFonts w:hint="eastAsia" w:ascii="宋体" w:hAnsi="宋体" w:eastAsia="宋体" w:cs="宋体"/>
          <w:bCs/>
          <w:color w:val="auto"/>
          <w:sz w:val="24"/>
          <w:szCs w:val="24"/>
          <w:highlight w:val="none"/>
          <w:lang w:eastAsia="zh-CN"/>
        </w:rPr>
        <w:t>中标人负责对</w:t>
      </w:r>
      <w:r>
        <w:rPr>
          <w:rFonts w:hint="eastAsia" w:ascii="宋体" w:hAnsi="宋体" w:eastAsia="宋体" w:cs="宋体"/>
          <w:bCs/>
          <w:color w:val="auto"/>
          <w:sz w:val="24"/>
          <w:szCs w:val="24"/>
          <w:highlight w:val="none"/>
        </w:rPr>
        <w:t>火灾自动报警系统、消防联动控制系统</w:t>
      </w:r>
      <w:r>
        <w:rPr>
          <w:rFonts w:hint="eastAsia" w:ascii="宋体" w:hAnsi="宋体" w:eastAsia="宋体" w:cs="宋体"/>
          <w:bCs/>
          <w:color w:val="auto"/>
          <w:sz w:val="24"/>
          <w:szCs w:val="24"/>
          <w:highlight w:val="none"/>
          <w:lang w:eastAsia="zh-CN"/>
        </w:rPr>
        <w:t>、</w:t>
      </w:r>
      <w:r>
        <w:rPr>
          <w:rFonts w:hint="eastAsia" w:ascii="宋体" w:hAnsi="宋体" w:eastAsia="宋体" w:cs="宋体"/>
          <w:bCs/>
          <w:color w:val="auto"/>
          <w:sz w:val="24"/>
          <w:szCs w:val="24"/>
          <w:highlight w:val="none"/>
        </w:rPr>
        <w:t>自动喷</w:t>
      </w:r>
      <w:r>
        <w:rPr>
          <w:rFonts w:hint="eastAsia" w:ascii="宋体" w:hAnsi="宋体" w:eastAsia="宋体" w:cs="宋体"/>
          <w:bCs/>
          <w:color w:val="auto"/>
          <w:sz w:val="24"/>
          <w:szCs w:val="24"/>
          <w:highlight w:val="none"/>
          <w:lang w:eastAsia="zh-CN"/>
        </w:rPr>
        <w:t>水</w:t>
      </w:r>
      <w:r>
        <w:rPr>
          <w:rFonts w:hint="eastAsia" w:ascii="宋体" w:hAnsi="宋体" w:eastAsia="宋体" w:cs="宋体"/>
          <w:bCs/>
          <w:color w:val="auto"/>
          <w:sz w:val="24"/>
          <w:szCs w:val="24"/>
          <w:highlight w:val="none"/>
        </w:rPr>
        <w:t>灭火系统、消火栓系统、</w:t>
      </w:r>
      <w:r>
        <w:rPr>
          <w:rFonts w:hint="eastAsia" w:ascii="宋体" w:hAnsi="宋体" w:eastAsia="宋体" w:cs="宋体"/>
          <w:bCs/>
          <w:color w:val="auto"/>
          <w:sz w:val="24"/>
          <w:szCs w:val="24"/>
          <w:highlight w:val="none"/>
          <w:lang w:eastAsia="zh-CN"/>
        </w:rPr>
        <w:t>机械防排烟系统</w:t>
      </w:r>
      <w:r>
        <w:rPr>
          <w:rFonts w:hint="eastAsia" w:ascii="宋体" w:hAnsi="宋体" w:eastAsia="宋体" w:cs="宋体"/>
          <w:bCs/>
          <w:color w:val="auto"/>
          <w:sz w:val="24"/>
          <w:szCs w:val="24"/>
          <w:highlight w:val="none"/>
        </w:rPr>
        <w:t>、消防</w:t>
      </w:r>
      <w:r>
        <w:rPr>
          <w:rFonts w:hint="eastAsia" w:ascii="宋体" w:hAnsi="宋体" w:eastAsia="宋体" w:cs="宋体"/>
          <w:bCs/>
          <w:color w:val="auto"/>
          <w:sz w:val="24"/>
          <w:szCs w:val="24"/>
          <w:highlight w:val="none"/>
          <w:lang w:eastAsia="zh-CN"/>
        </w:rPr>
        <w:t>广播</w:t>
      </w:r>
      <w:r>
        <w:rPr>
          <w:rFonts w:hint="eastAsia" w:ascii="宋体" w:hAnsi="宋体" w:eastAsia="宋体" w:cs="宋体"/>
          <w:bCs/>
          <w:color w:val="auto"/>
          <w:sz w:val="24"/>
          <w:szCs w:val="24"/>
          <w:highlight w:val="none"/>
        </w:rPr>
        <w:t>、消防电话</w:t>
      </w:r>
      <w:r>
        <w:rPr>
          <w:rFonts w:hint="eastAsia" w:ascii="宋体" w:hAnsi="宋体" w:eastAsia="宋体" w:cs="宋体"/>
          <w:bCs/>
          <w:color w:val="auto"/>
          <w:sz w:val="24"/>
          <w:szCs w:val="24"/>
          <w:highlight w:val="none"/>
          <w:lang w:eastAsia="zh-CN"/>
        </w:rPr>
        <w:t>、防火分隔系统、</w:t>
      </w:r>
      <w:r>
        <w:rPr>
          <w:rFonts w:hint="eastAsia" w:ascii="宋体" w:hAnsi="宋体" w:eastAsia="宋体" w:cs="宋体"/>
          <w:bCs/>
          <w:color w:val="auto"/>
          <w:sz w:val="24"/>
          <w:szCs w:val="24"/>
          <w:highlight w:val="none"/>
        </w:rPr>
        <w:t>应急照明和疏散指示系统、气体灭火系统</w:t>
      </w:r>
      <w:r>
        <w:rPr>
          <w:rFonts w:hint="eastAsia" w:ascii="宋体" w:hAnsi="宋体" w:eastAsia="宋体" w:cs="宋体"/>
          <w:bCs/>
          <w:color w:val="auto"/>
          <w:sz w:val="24"/>
          <w:szCs w:val="24"/>
          <w:highlight w:val="none"/>
          <w:lang w:eastAsia="zh-CN"/>
        </w:rPr>
        <w:t>、电气火灾监控系统等进行检测、维保、维修，并提供月度、季度、年度各消防系统的测试报告。</w:t>
      </w:r>
    </w:p>
    <w:p w14:paraId="344558C9">
      <w:pPr>
        <w:spacing w:line="360" w:lineRule="auto"/>
        <w:ind w:firstLine="480" w:firstLineChars="200"/>
        <w:rPr>
          <w:rFonts w:hint="eastAsia" w:ascii="宋体" w:hAnsi="宋体" w:eastAsia="宋体" w:cs="宋体"/>
          <w:bCs/>
          <w:color w:val="auto"/>
          <w:sz w:val="24"/>
          <w:szCs w:val="24"/>
          <w:highlight w:val="none"/>
          <w:lang w:val="en-US" w:eastAsia="zh-CN"/>
        </w:rPr>
      </w:pPr>
      <w:r>
        <w:rPr>
          <w:rFonts w:hint="eastAsia" w:ascii="宋体" w:hAnsi="宋体" w:eastAsia="宋体" w:cs="宋体"/>
          <w:bCs/>
          <w:color w:val="auto"/>
          <w:sz w:val="24"/>
          <w:szCs w:val="24"/>
          <w:highlight w:val="none"/>
          <w:lang w:eastAsia="zh-CN"/>
        </w:rPr>
        <w:t>消防供配电设施、强电电缆电线、各类电机及控制柜由</w:t>
      </w:r>
      <w:r>
        <w:rPr>
          <w:rFonts w:hint="eastAsia" w:ascii="宋体" w:hAnsi="宋体" w:eastAsia="宋体" w:cs="宋体"/>
          <w:bCs/>
          <w:color w:val="auto"/>
          <w:sz w:val="24"/>
          <w:szCs w:val="24"/>
          <w:highlight w:val="none"/>
          <w:lang w:val="en-US" w:eastAsia="zh-CN"/>
        </w:rPr>
        <w:t>中标人进行检查，采购人自行维修处置。</w:t>
      </w:r>
    </w:p>
    <w:p w14:paraId="1B5F3148">
      <w:pPr>
        <w:spacing w:line="360" w:lineRule="auto"/>
        <w:ind w:firstLine="482" w:firstLineChars="200"/>
        <w:rPr>
          <w:rFonts w:hint="eastAsia" w:ascii="宋体" w:hAnsi="宋体" w:eastAsia="宋体" w:cs="宋体"/>
          <w:b/>
          <w:bCs w:val="0"/>
          <w:color w:val="auto"/>
          <w:sz w:val="24"/>
          <w:szCs w:val="24"/>
          <w:highlight w:val="none"/>
          <w:lang w:val="en-US" w:eastAsia="zh-CN"/>
        </w:rPr>
      </w:pPr>
      <w:r>
        <w:rPr>
          <w:rFonts w:hint="eastAsia" w:ascii="宋体" w:hAnsi="宋体" w:eastAsia="宋体" w:cs="宋体"/>
          <w:b/>
          <w:bCs w:val="0"/>
          <w:color w:val="auto"/>
          <w:sz w:val="24"/>
          <w:szCs w:val="24"/>
          <w:highlight w:val="none"/>
          <w:lang w:val="en-US" w:eastAsia="zh-CN"/>
        </w:rPr>
        <w:t>3.维护保养模式</w:t>
      </w:r>
    </w:p>
    <w:p w14:paraId="32E7C78D">
      <w:pPr>
        <w:spacing w:line="360" w:lineRule="auto"/>
        <w:ind w:firstLine="480" w:firstLineChars="200"/>
        <w:rPr>
          <w:rFonts w:hint="eastAsia" w:ascii="宋体" w:hAnsi="宋体" w:eastAsia="宋体" w:cs="宋体"/>
          <w:bCs/>
          <w:color w:val="auto"/>
          <w:sz w:val="24"/>
          <w:szCs w:val="24"/>
          <w:highlight w:val="none"/>
          <w:lang w:val="en-US" w:eastAsia="zh-CN"/>
        </w:rPr>
      </w:pPr>
      <w:r>
        <w:rPr>
          <w:rFonts w:hint="eastAsia" w:ascii="宋体" w:hAnsi="宋体" w:eastAsia="宋体" w:cs="宋体"/>
          <w:bCs/>
          <w:color w:val="auto"/>
          <w:sz w:val="24"/>
          <w:szCs w:val="24"/>
          <w:highlight w:val="none"/>
          <w:lang w:val="en-US" w:eastAsia="zh-CN"/>
        </w:rPr>
        <w:t>中标人按要求对采购人各消防系统进行消防设施维保检测，每月出具消防设施维护保养报告。设备更换及维修所需的辅材费、人工费用等由中标人负责。</w:t>
      </w:r>
    </w:p>
    <w:p w14:paraId="4E80E873">
      <w:pPr>
        <w:numPr>
          <w:ilvl w:val="0"/>
          <w:numId w:val="1"/>
        </w:numPr>
        <w:spacing w:line="360" w:lineRule="auto"/>
        <w:ind w:firstLine="437"/>
        <w:rPr>
          <w:rFonts w:hint="eastAsia" w:ascii="宋体" w:hAnsi="宋体" w:eastAsia="宋体" w:cs="宋体"/>
          <w:b/>
          <w:bCs/>
          <w:color w:val="0000FF"/>
          <w:sz w:val="24"/>
          <w:szCs w:val="24"/>
          <w:highlight w:val="none"/>
        </w:rPr>
      </w:pPr>
      <w:r>
        <w:rPr>
          <w:rFonts w:hint="eastAsia" w:ascii="宋体" w:hAnsi="宋体" w:eastAsia="宋体" w:cs="宋体"/>
          <w:b/>
          <w:bCs/>
          <w:color w:val="0000FF"/>
          <w:sz w:val="24"/>
          <w:szCs w:val="24"/>
          <w:highlight w:val="none"/>
        </w:rPr>
        <w:t>报价要求</w:t>
      </w:r>
    </w:p>
    <w:p w14:paraId="7EC599E4">
      <w:pPr>
        <w:spacing w:line="360" w:lineRule="auto"/>
        <w:jc w:val="left"/>
        <w:rPr>
          <w:rFonts w:hint="eastAsia" w:ascii="宋体" w:hAnsi="宋体" w:eastAsia="宋体" w:cs="宋体"/>
          <w:color w:val="0000FF"/>
          <w:sz w:val="24"/>
          <w:szCs w:val="24"/>
          <w:highlight w:val="none"/>
          <w:lang w:eastAsia="zh-CN"/>
        </w:rPr>
      </w:pPr>
      <w:r>
        <w:rPr>
          <w:rFonts w:hint="eastAsia" w:ascii="宋体" w:hAnsi="宋体" w:eastAsia="宋体" w:cs="宋体"/>
          <w:color w:val="0000FF"/>
          <w:sz w:val="24"/>
          <w:szCs w:val="24"/>
          <w:highlight w:val="none"/>
          <w:lang w:val="en-US" w:eastAsia="zh-CN"/>
        </w:rPr>
        <w:t xml:space="preserve">   </w:t>
      </w:r>
      <w:r>
        <w:rPr>
          <w:rFonts w:hint="eastAsia" w:ascii="宋体" w:hAnsi="宋体" w:eastAsia="宋体" w:cs="宋体"/>
          <w:color w:val="0000FF"/>
          <w:sz w:val="24"/>
          <w:szCs w:val="24"/>
          <w:highlight w:val="none"/>
        </w:rPr>
        <w:t>1</w:t>
      </w:r>
      <w:r>
        <w:rPr>
          <w:rFonts w:hint="eastAsia" w:ascii="宋体" w:hAnsi="宋体" w:eastAsia="宋体" w:cs="宋体"/>
          <w:color w:val="0000FF"/>
          <w:sz w:val="24"/>
          <w:szCs w:val="24"/>
          <w:highlight w:val="none"/>
          <w:lang w:val="en-US" w:eastAsia="zh-CN"/>
        </w:rPr>
        <w:t>.本项目预算价为人民币9,947元/年，供应商报价超过预算价的，视为无效报价。成交供应商的确定方式为：以所有有效报价的算术平均值为基准，报价与基准价差值绝对值最小者成交。如差值绝对值相同，取报价较低者。</w:t>
      </w:r>
    </w:p>
    <w:tbl>
      <w:tblPr>
        <w:tblStyle w:val="21"/>
        <w:tblW w:w="8956"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241"/>
        <w:gridCol w:w="2415"/>
        <w:gridCol w:w="3300"/>
      </w:tblGrid>
      <w:tr w14:paraId="0860A5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3241" w:type="dxa"/>
            <w:noWrap w:val="0"/>
            <w:vAlign w:val="center"/>
          </w:tcPr>
          <w:p w14:paraId="682D2B5A">
            <w:pPr>
              <w:spacing w:line="360" w:lineRule="auto"/>
              <w:jc w:val="center"/>
              <w:rPr>
                <w:rFonts w:hint="eastAsia" w:ascii="宋体" w:hAnsi="宋体" w:eastAsia="宋体" w:cs="宋体"/>
                <w:b/>
                <w:bCs/>
                <w:color w:val="0000FF"/>
                <w:sz w:val="24"/>
                <w:szCs w:val="24"/>
                <w:highlight w:val="none"/>
                <w:vertAlign w:val="baseline"/>
                <w:lang w:val="en-US" w:eastAsia="zh-CN"/>
              </w:rPr>
            </w:pPr>
            <w:r>
              <w:rPr>
                <w:rFonts w:hint="eastAsia" w:ascii="宋体" w:hAnsi="宋体" w:eastAsia="宋体" w:cs="宋体"/>
                <w:b/>
                <w:bCs/>
                <w:color w:val="0000FF"/>
                <w:sz w:val="24"/>
                <w:szCs w:val="24"/>
                <w:highlight w:val="none"/>
                <w:vertAlign w:val="baseline"/>
                <w:lang w:val="en-US" w:eastAsia="zh-CN"/>
              </w:rPr>
              <w:t>项目</w:t>
            </w:r>
          </w:p>
        </w:tc>
        <w:tc>
          <w:tcPr>
            <w:tcW w:w="2415" w:type="dxa"/>
            <w:noWrap w:val="0"/>
            <w:vAlign w:val="center"/>
          </w:tcPr>
          <w:p w14:paraId="59B7B2EF">
            <w:pPr>
              <w:spacing w:line="360" w:lineRule="auto"/>
              <w:jc w:val="center"/>
              <w:rPr>
                <w:rFonts w:hint="eastAsia" w:ascii="宋体" w:hAnsi="宋体" w:eastAsia="宋体" w:cs="宋体"/>
                <w:b/>
                <w:bCs/>
                <w:color w:val="0000FF"/>
                <w:sz w:val="24"/>
                <w:szCs w:val="24"/>
                <w:highlight w:val="none"/>
                <w:vertAlign w:val="baseline"/>
                <w:lang w:val="en-US" w:eastAsia="zh-CN"/>
              </w:rPr>
            </w:pPr>
            <w:r>
              <w:rPr>
                <w:rFonts w:hint="eastAsia" w:ascii="宋体" w:hAnsi="宋体" w:eastAsia="宋体" w:cs="宋体"/>
                <w:b/>
                <w:bCs/>
                <w:color w:val="0000FF"/>
                <w:sz w:val="24"/>
                <w:szCs w:val="24"/>
                <w:highlight w:val="none"/>
                <w:vertAlign w:val="baseline"/>
                <w:lang w:val="en-US" w:eastAsia="zh-CN"/>
              </w:rPr>
              <w:t>面积（</w:t>
            </w:r>
            <w:r>
              <w:rPr>
                <w:rFonts w:hint="eastAsia" w:ascii="宋体" w:hAnsi="宋体" w:eastAsia="宋体" w:cs="宋体"/>
                <w:b/>
                <w:bCs/>
                <w:color w:val="0000FF"/>
                <w:sz w:val="24"/>
                <w:szCs w:val="24"/>
                <w:highlight w:val="none"/>
                <w:lang w:val="en-US" w:eastAsia="zh-CN"/>
              </w:rPr>
              <w:t>㎡</w:t>
            </w:r>
            <w:r>
              <w:rPr>
                <w:rFonts w:hint="eastAsia" w:ascii="宋体" w:hAnsi="宋体" w:eastAsia="宋体" w:cs="宋体"/>
                <w:b/>
                <w:bCs/>
                <w:color w:val="0000FF"/>
                <w:sz w:val="24"/>
                <w:szCs w:val="24"/>
                <w:highlight w:val="none"/>
                <w:vertAlign w:val="baseline"/>
                <w:lang w:val="en-US" w:eastAsia="zh-CN"/>
              </w:rPr>
              <w:t>）</w:t>
            </w:r>
          </w:p>
        </w:tc>
        <w:tc>
          <w:tcPr>
            <w:tcW w:w="3300" w:type="dxa"/>
            <w:noWrap w:val="0"/>
            <w:vAlign w:val="center"/>
          </w:tcPr>
          <w:p w14:paraId="5B76D31D">
            <w:pPr>
              <w:spacing w:line="360" w:lineRule="auto"/>
              <w:jc w:val="center"/>
              <w:rPr>
                <w:rFonts w:hint="eastAsia" w:ascii="宋体" w:hAnsi="宋体" w:eastAsia="宋体" w:cs="宋体"/>
                <w:b/>
                <w:bCs/>
                <w:color w:val="0000FF"/>
                <w:sz w:val="24"/>
                <w:szCs w:val="24"/>
                <w:highlight w:val="none"/>
                <w:vertAlign w:val="baseline"/>
                <w:lang w:val="en-US" w:eastAsia="zh-CN"/>
              </w:rPr>
            </w:pPr>
            <w:r>
              <w:rPr>
                <w:rFonts w:hint="eastAsia" w:ascii="宋体" w:hAnsi="宋体" w:eastAsia="宋体" w:cs="宋体"/>
                <w:b/>
                <w:bCs/>
                <w:color w:val="0000FF"/>
                <w:sz w:val="24"/>
                <w:szCs w:val="24"/>
                <w:highlight w:val="none"/>
                <w:vertAlign w:val="baseline"/>
                <w:lang w:val="en-US" w:eastAsia="zh-CN"/>
              </w:rPr>
              <w:t>备注</w:t>
            </w:r>
          </w:p>
        </w:tc>
      </w:tr>
      <w:tr w14:paraId="059737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64" w:hRule="atLeast"/>
        </w:trPr>
        <w:tc>
          <w:tcPr>
            <w:tcW w:w="3241" w:type="dxa"/>
            <w:shd w:val="clear" w:color="auto" w:fill="auto"/>
            <w:noWrap w:val="0"/>
            <w:vAlign w:val="center"/>
          </w:tcPr>
          <w:p w14:paraId="441BE111">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宋体" w:hAnsi="宋体" w:eastAsia="宋体" w:cs="宋体"/>
                <w:color w:val="0000FF"/>
                <w:kern w:val="2"/>
                <w:sz w:val="24"/>
                <w:szCs w:val="24"/>
                <w:highlight w:val="none"/>
                <w:vertAlign w:val="baseline"/>
                <w:lang w:val="en-US" w:eastAsia="zh-CN" w:bidi="ar-SA"/>
              </w:rPr>
            </w:pPr>
            <w:r>
              <w:rPr>
                <w:rFonts w:hint="eastAsia" w:ascii="宋体" w:hAnsi="宋体" w:eastAsia="宋体" w:cs="宋体"/>
                <w:color w:val="0000FF"/>
                <w:kern w:val="2"/>
                <w:sz w:val="24"/>
                <w:szCs w:val="24"/>
                <w:highlight w:val="none"/>
                <w:vertAlign w:val="baseline"/>
                <w:lang w:val="en-US" w:eastAsia="zh-CN" w:bidi="ar-SA"/>
              </w:rPr>
              <w:t>万家桥生态文化陵园</w:t>
            </w:r>
          </w:p>
        </w:tc>
        <w:tc>
          <w:tcPr>
            <w:tcW w:w="2415" w:type="dxa"/>
            <w:shd w:val="clear" w:color="auto" w:fill="auto"/>
            <w:noWrap w:val="0"/>
            <w:vAlign w:val="center"/>
          </w:tcPr>
          <w:p w14:paraId="1262E6AF">
            <w:pPr>
              <w:spacing w:line="360" w:lineRule="auto"/>
              <w:jc w:val="center"/>
              <w:rPr>
                <w:rFonts w:hint="eastAsia" w:ascii="宋体" w:hAnsi="宋体" w:eastAsia="宋体" w:cs="宋体"/>
                <w:color w:val="0000FF"/>
                <w:kern w:val="2"/>
                <w:sz w:val="24"/>
                <w:szCs w:val="24"/>
                <w:highlight w:val="none"/>
                <w:vertAlign w:val="baseline"/>
                <w:lang w:val="en-US" w:eastAsia="zh-CN" w:bidi="ar-SA"/>
              </w:rPr>
            </w:pPr>
            <w:r>
              <w:rPr>
                <w:rFonts w:hint="eastAsia" w:ascii="宋体" w:hAnsi="宋体" w:eastAsia="宋体" w:cs="宋体"/>
                <w:color w:val="0000FF"/>
                <w:kern w:val="2"/>
                <w:sz w:val="24"/>
                <w:szCs w:val="24"/>
                <w:highlight w:val="none"/>
                <w:vertAlign w:val="baseline"/>
                <w:lang w:val="en-US" w:eastAsia="zh-CN" w:bidi="ar-SA"/>
              </w:rPr>
              <w:t>12917</w:t>
            </w:r>
          </w:p>
        </w:tc>
        <w:tc>
          <w:tcPr>
            <w:tcW w:w="3300" w:type="dxa"/>
            <w:noWrap w:val="0"/>
            <w:vAlign w:val="center"/>
          </w:tcPr>
          <w:p w14:paraId="2D462C34">
            <w:pPr>
              <w:numPr>
                <w:ilvl w:val="0"/>
                <w:numId w:val="0"/>
              </w:numPr>
              <w:spacing w:line="240" w:lineRule="auto"/>
              <w:rPr>
                <w:rFonts w:hint="eastAsia" w:ascii="宋体" w:hAnsi="宋体" w:eastAsia="宋体" w:cs="宋体"/>
                <w:color w:val="0000FF"/>
                <w:sz w:val="24"/>
                <w:szCs w:val="24"/>
                <w:highlight w:val="none"/>
                <w:lang w:val="en-US" w:eastAsia="zh-CN"/>
              </w:rPr>
            </w:pPr>
          </w:p>
        </w:tc>
      </w:tr>
      <w:tr w14:paraId="49DAE3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0" w:hRule="atLeast"/>
        </w:trPr>
        <w:tc>
          <w:tcPr>
            <w:tcW w:w="3241" w:type="dxa"/>
            <w:shd w:val="clear" w:color="auto" w:fill="auto"/>
            <w:noWrap w:val="0"/>
            <w:vAlign w:val="center"/>
          </w:tcPr>
          <w:p w14:paraId="731B4591">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color w:val="0000FF"/>
                <w:kern w:val="2"/>
                <w:sz w:val="24"/>
                <w:szCs w:val="24"/>
                <w:highlight w:val="none"/>
                <w:vertAlign w:val="baseline"/>
                <w:lang w:val="en-US" w:eastAsia="zh-CN" w:bidi="ar-SA"/>
              </w:rPr>
            </w:pPr>
            <w:r>
              <w:rPr>
                <w:rFonts w:hint="eastAsia" w:ascii="宋体" w:hAnsi="宋体" w:eastAsia="宋体" w:cs="宋体"/>
                <w:color w:val="0000FF"/>
                <w:kern w:val="2"/>
                <w:sz w:val="24"/>
                <w:szCs w:val="24"/>
                <w:highlight w:val="none"/>
                <w:vertAlign w:val="baseline"/>
                <w:lang w:val="en-US" w:eastAsia="zh-CN" w:bidi="ar-SA"/>
              </w:rPr>
              <w:t>新桥家园公租房</w:t>
            </w:r>
          </w:p>
        </w:tc>
        <w:tc>
          <w:tcPr>
            <w:tcW w:w="2415" w:type="dxa"/>
            <w:shd w:val="clear" w:color="auto" w:fill="auto"/>
            <w:noWrap w:val="0"/>
            <w:vAlign w:val="center"/>
          </w:tcPr>
          <w:p w14:paraId="7C1D3423">
            <w:pPr>
              <w:spacing w:line="360" w:lineRule="auto"/>
              <w:jc w:val="center"/>
              <w:rPr>
                <w:rFonts w:hint="eastAsia" w:ascii="宋体" w:hAnsi="宋体" w:eastAsia="宋体" w:cs="宋体"/>
                <w:color w:val="0000FF"/>
                <w:kern w:val="2"/>
                <w:sz w:val="24"/>
                <w:szCs w:val="24"/>
                <w:highlight w:val="none"/>
                <w:vertAlign w:val="baseline"/>
                <w:lang w:val="en-US" w:eastAsia="zh-CN" w:bidi="ar-SA"/>
              </w:rPr>
            </w:pPr>
            <w:r>
              <w:rPr>
                <w:rFonts w:hint="eastAsia" w:ascii="宋体" w:hAnsi="宋体" w:eastAsia="宋体" w:cs="宋体"/>
                <w:color w:val="0000FF"/>
                <w:kern w:val="2"/>
                <w:sz w:val="24"/>
                <w:szCs w:val="24"/>
                <w:highlight w:val="none"/>
                <w:vertAlign w:val="baseline"/>
                <w:lang w:val="en-US" w:eastAsia="zh-CN" w:bidi="ar-SA"/>
              </w:rPr>
              <w:t>32300</w:t>
            </w:r>
          </w:p>
        </w:tc>
        <w:tc>
          <w:tcPr>
            <w:tcW w:w="3300" w:type="dxa"/>
            <w:shd w:val="clear" w:color="auto" w:fill="auto"/>
            <w:noWrap w:val="0"/>
            <w:vAlign w:val="center"/>
          </w:tcPr>
          <w:p w14:paraId="1603BD51">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color w:val="0000FF"/>
                <w:kern w:val="2"/>
                <w:sz w:val="24"/>
                <w:szCs w:val="24"/>
                <w:highlight w:val="none"/>
                <w:vertAlign w:val="baseline"/>
                <w:lang w:val="en-US" w:eastAsia="zh-CN" w:bidi="ar-SA"/>
              </w:rPr>
            </w:pPr>
          </w:p>
        </w:tc>
      </w:tr>
    </w:tbl>
    <w:p w14:paraId="61B7C71E">
      <w:pPr>
        <w:spacing w:line="360" w:lineRule="auto"/>
        <w:ind w:firstLine="437"/>
        <w:rPr>
          <w:rFonts w:hint="eastAsia" w:ascii="宋体" w:hAnsi="宋体" w:eastAsia="宋体" w:cs="宋体"/>
          <w:color w:val="auto"/>
          <w:sz w:val="24"/>
          <w:szCs w:val="24"/>
          <w:highlight w:val="none"/>
          <w:lang w:val="en-US" w:eastAsia="zh-CN"/>
        </w:rPr>
      </w:pPr>
      <w:r>
        <w:rPr>
          <w:rFonts w:hint="eastAsia" w:ascii="宋体" w:hAnsi="宋体" w:eastAsia="宋体" w:cs="宋体"/>
          <w:b/>
          <w:bCs/>
          <w:color w:val="auto"/>
          <w:sz w:val="24"/>
          <w:szCs w:val="24"/>
          <w:highlight w:val="none"/>
          <w:lang w:val="en-US" w:eastAsia="zh-CN"/>
        </w:rPr>
        <w:t>说明：</w:t>
      </w:r>
      <w:r>
        <w:rPr>
          <w:rFonts w:hint="eastAsia" w:ascii="宋体" w:hAnsi="宋体" w:eastAsia="宋体" w:cs="宋体"/>
          <w:b w:val="0"/>
          <w:bCs w:val="0"/>
          <w:color w:val="auto"/>
          <w:sz w:val="24"/>
          <w:szCs w:val="24"/>
          <w:highlight w:val="none"/>
          <w:lang w:val="en-US" w:eastAsia="zh-CN"/>
        </w:rPr>
        <w:t>合同期内需维保12次，每月1次。</w:t>
      </w:r>
      <w:r>
        <w:rPr>
          <w:rFonts w:hint="eastAsia" w:ascii="宋体" w:hAnsi="宋体" w:eastAsia="宋体" w:cs="宋体"/>
          <w:color w:val="auto"/>
          <w:sz w:val="24"/>
          <w:szCs w:val="24"/>
          <w:highlight w:val="none"/>
          <w:lang w:val="en-US" w:eastAsia="zh-CN"/>
        </w:rPr>
        <w:t>维保费用依据实际维保次数和实际维保面积据实结算。</w:t>
      </w:r>
    </w:p>
    <w:p w14:paraId="7FC134D7">
      <w:pPr>
        <w:spacing w:line="360" w:lineRule="auto"/>
        <w:ind w:firstLine="437"/>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val="en-US" w:eastAsia="zh-CN"/>
        </w:rPr>
        <w:t>2</w:t>
      </w:r>
      <w:r>
        <w:rPr>
          <w:rFonts w:hint="eastAsia" w:ascii="宋体" w:hAnsi="宋体" w:eastAsia="宋体" w:cs="宋体"/>
          <w:color w:val="auto"/>
          <w:sz w:val="24"/>
          <w:szCs w:val="24"/>
          <w:highlight w:val="none"/>
        </w:rPr>
        <w:t>.</w:t>
      </w:r>
      <w:r>
        <w:rPr>
          <w:rFonts w:hint="eastAsia" w:ascii="宋体" w:hAnsi="宋体" w:eastAsia="宋体" w:cs="宋体"/>
          <w:color w:val="auto"/>
          <w:sz w:val="24"/>
          <w:szCs w:val="24"/>
          <w:highlight w:val="none"/>
          <w:lang w:eastAsia="zh-CN"/>
        </w:rPr>
        <w:t>上述基准价格</w:t>
      </w:r>
      <w:r>
        <w:rPr>
          <w:rFonts w:hint="eastAsia" w:ascii="宋体" w:hAnsi="宋体" w:eastAsia="宋体" w:cs="宋体"/>
          <w:color w:val="auto"/>
          <w:sz w:val="24"/>
          <w:szCs w:val="24"/>
          <w:highlight w:val="none"/>
        </w:rPr>
        <w:t>包含维保人员工资、管理费、施工费、交通费、通讯费、福利、社保、劳保费、利润、服务费、合同期内的责任险费用、税费、检验检测费、年检费</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rPr>
        <w:t>维修费等一切费用。</w:t>
      </w:r>
    </w:p>
    <w:p w14:paraId="1A12D754">
      <w:pPr>
        <w:pStyle w:val="12"/>
        <w:wordWrap w:val="0"/>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val="en-US" w:eastAsia="zh-CN"/>
        </w:rPr>
        <w:t>3</w:t>
      </w:r>
      <w:r>
        <w:rPr>
          <w:rFonts w:hint="eastAsia" w:ascii="宋体" w:hAnsi="宋体" w:eastAsia="宋体" w:cs="宋体"/>
          <w:color w:val="auto"/>
          <w:sz w:val="24"/>
          <w:szCs w:val="24"/>
          <w:highlight w:val="none"/>
        </w:rPr>
        <w:t>.中标</w:t>
      </w:r>
      <w:r>
        <w:rPr>
          <w:rFonts w:hint="eastAsia" w:ascii="宋体" w:hAnsi="宋体" w:eastAsia="宋体" w:cs="宋体"/>
          <w:color w:val="auto"/>
          <w:sz w:val="24"/>
          <w:szCs w:val="24"/>
          <w:highlight w:val="none"/>
          <w:lang w:val="en-US" w:eastAsia="zh-CN"/>
        </w:rPr>
        <w:t>金额</w:t>
      </w:r>
      <w:r>
        <w:rPr>
          <w:rFonts w:hint="eastAsia" w:ascii="宋体" w:hAnsi="宋体" w:eastAsia="宋体" w:cs="宋体"/>
          <w:color w:val="auto"/>
          <w:sz w:val="24"/>
          <w:szCs w:val="24"/>
          <w:highlight w:val="none"/>
        </w:rPr>
        <w:t>在中标后的合同期内保持不变，即不因市场价格或政策性价格的调整而增减。请投标人报价时综合考虑，合理报价。投标人应自行踏勘现场，</w:t>
      </w:r>
      <w:r>
        <w:rPr>
          <w:rFonts w:hint="eastAsia" w:ascii="宋体" w:hAnsi="宋体" w:eastAsia="宋体" w:cs="宋体"/>
          <w:color w:val="auto"/>
          <w:sz w:val="24"/>
          <w:szCs w:val="24"/>
          <w:highlight w:val="none"/>
          <w:lang w:eastAsia="zh-CN"/>
        </w:rPr>
        <w:t>避免</w:t>
      </w:r>
      <w:r>
        <w:rPr>
          <w:rFonts w:hint="eastAsia" w:ascii="宋体" w:hAnsi="宋体" w:eastAsia="宋体" w:cs="宋体"/>
          <w:color w:val="auto"/>
          <w:sz w:val="24"/>
          <w:szCs w:val="24"/>
          <w:highlight w:val="none"/>
        </w:rPr>
        <w:t>导致中标后无法兑现服务。</w:t>
      </w:r>
    </w:p>
    <w:p w14:paraId="5A656C12">
      <w:pPr>
        <w:pStyle w:val="12"/>
        <w:wordWrap w:val="0"/>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val="en-US" w:eastAsia="zh-CN"/>
        </w:rPr>
        <w:t>4</w:t>
      </w:r>
      <w:r>
        <w:rPr>
          <w:rFonts w:hint="eastAsia" w:ascii="宋体" w:hAnsi="宋体" w:eastAsia="宋体" w:cs="宋体"/>
          <w:color w:val="auto"/>
          <w:sz w:val="24"/>
          <w:szCs w:val="24"/>
          <w:highlight w:val="none"/>
        </w:rPr>
        <w:t>.中标人应按合肥市行业主管部门的规定办理相关手续。</w:t>
      </w:r>
    </w:p>
    <w:p w14:paraId="05D30F96">
      <w:pPr>
        <w:pStyle w:val="12"/>
        <w:wordWrap w:val="0"/>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val="en-US" w:eastAsia="zh-CN"/>
        </w:rPr>
        <w:t>5</w:t>
      </w:r>
      <w:r>
        <w:rPr>
          <w:rFonts w:hint="eastAsia" w:ascii="宋体" w:hAnsi="宋体" w:eastAsia="宋体" w:cs="宋体"/>
          <w:color w:val="auto"/>
          <w:sz w:val="24"/>
          <w:szCs w:val="24"/>
          <w:highlight w:val="none"/>
        </w:rPr>
        <w:t>.中标人须为本项目购买安全责任险，保险费用包含在报价总价中，</w:t>
      </w:r>
      <w:r>
        <w:rPr>
          <w:rFonts w:hint="eastAsia" w:ascii="宋体" w:hAnsi="宋体" w:eastAsia="宋体" w:cs="宋体"/>
          <w:color w:val="auto"/>
          <w:sz w:val="24"/>
          <w:szCs w:val="24"/>
          <w:highlight w:val="none"/>
          <w:lang w:eastAsia="zh-CN"/>
        </w:rPr>
        <w:t>采购</w:t>
      </w:r>
      <w:r>
        <w:rPr>
          <w:rFonts w:hint="eastAsia" w:ascii="宋体" w:hAnsi="宋体" w:eastAsia="宋体" w:cs="宋体"/>
          <w:color w:val="auto"/>
          <w:sz w:val="24"/>
          <w:szCs w:val="24"/>
          <w:highlight w:val="none"/>
        </w:rPr>
        <w:t>人不再另行支付保险费用，请投标人充分考虑相关风险并进行合理报价。</w:t>
      </w:r>
    </w:p>
    <w:p w14:paraId="4709E8D3">
      <w:pPr>
        <w:spacing w:line="360" w:lineRule="auto"/>
        <w:ind w:firstLine="482" w:firstLineChars="200"/>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五、其他要求</w:t>
      </w:r>
    </w:p>
    <w:p w14:paraId="6427EE2E">
      <w:pPr>
        <w:pStyle w:val="12"/>
        <w:wordWrap w:val="0"/>
        <w:spacing w:line="360" w:lineRule="auto"/>
        <w:ind w:firstLine="480" w:firstLineChars="200"/>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1.定期检查、保养各种消防设施，及时进行维修工作，保障消防系统处于无故障状态，且满足消防规范要求。</w:t>
      </w:r>
    </w:p>
    <w:p w14:paraId="089324FE">
      <w:pPr>
        <w:pStyle w:val="12"/>
        <w:wordWrap w:val="0"/>
        <w:spacing w:line="360" w:lineRule="auto"/>
        <w:ind w:firstLine="480" w:firstLineChars="200"/>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2.发现有故障后应及时维修或更换。</w:t>
      </w:r>
    </w:p>
    <w:p w14:paraId="2F13F239">
      <w:pPr>
        <w:pStyle w:val="12"/>
        <w:wordWrap w:val="0"/>
        <w:spacing w:line="360" w:lineRule="auto"/>
        <w:ind w:firstLine="480" w:firstLineChars="200"/>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3.向采购人提供详细的月、季、年维护保养计划、保养记录以及维修记录，所有材料提交纸质文档，双方负责人签字后交采购人存档。</w:t>
      </w:r>
    </w:p>
    <w:p w14:paraId="5A787C0A">
      <w:pPr>
        <w:pStyle w:val="12"/>
        <w:wordWrap w:val="0"/>
        <w:spacing w:line="360" w:lineRule="auto"/>
        <w:ind w:firstLine="480" w:firstLineChars="200"/>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4.在巡检过程中，发现有消防隐患或者其他影响消防安全的问题，中标人应及时消除。</w:t>
      </w:r>
    </w:p>
    <w:p w14:paraId="4027CBA6">
      <w:pPr>
        <w:pStyle w:val="12"/>
        <w:wordWrap w:val="0"/>
        <w:spacing w:line="360" w:lineRule="auto"/>
        <w:ind w:firstLine="480" w:firstLineChars="200"/>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5.当接到采购人故障报告后，中标人专业维保人员立即赶到现场维修，非工作时间2小时内需到故障现场进行维修工作，24小时内排除故障，如现场无备件，应待备件到场后24小时内排除故障。</w:t>
      </w:r>
    </w:p>
    <w:p w14:paraId="00E61D14">
      <w:pPr>
        <w:pStyle w:val="12"/>
        <w:wordWrap w:val="0"/>
        <w:spacing w:line="360" w:lineRule="auto"/>
        <w:ind w:firstLine="480" w:firstLineChars="200"/>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6.维护保养所需的工具、检测仪器及其他必备物品中标人自备。</w:t>
      </w:r>
    </w:p>
    <w:p w14:paraId="0939CC8F">
      <w:pPr>
        <w:pStyle w:val="12"/>
        <w:wordWrap w:val="0"/>
        <w:spacing w:line="360" w:lineRule="auto"/>
        <w:ind w:firstLine="480" w:firstLineChars="200"/>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7.若维保期间中标人没有及时维修导致消防设施没有发挥其功能，造成消防事故，给采购人造成损失，中标人赔偿损失并承担法律责任。</w:t>
      </w:r>
    </w:p>
    <w:p w14:paraId="3637416C">
      <w:pPr>
        <w:pStyle w:val="12"/>
        <w:wordWrap w:val="0"/>
        <w:spacing w:line="360" w:lineRule="auto"/>
        <w:ind w:firstLine="480" w:firstLineChars="200"/>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8.采购人提供的图纸和技术资料中标人有保密义务，不得对第三方泄露，否则采购人有权要求中标人赔偿损失。</w:t>
      </w:r>
    </w:p>
    <w:p w14:paraId="77D91D98">
      <w:pPr>
        <w:pStyle w:val="12"/>
        <w:wordWrap w:val="0"/>
        <w:spacing w:line="360" w:lineRule="auto"/>
        <w:ind w:firstLine="480" w:firstLineChars="200"/>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9.中标人需根据各项目管理处特点和实际需求，编写下列材料：</w:t>
      </w:r>
    </w:p>
    <w:p w14:paraId="23311CA4">
      <w:pPr>
        <w:pStyle w:val="12"/>
        <w:wordWrap w:val="0"/>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val="en-US" w:eastAsia="zh-CN"/>
        </w:rPr>
        <w:t>（1）</w:t>
      </w:r>
      <w:r>
        <w:rPr>
          <w:rFonts w:hint="eastAsia" w:ascii="宋体" w:hAnsi="宋体" w:eastAsia="宋体" w:cs="宋体"/>
          <w:color w:val="auto"/>
          <w:sz w:val="24"/>
          <w:szCs w:val="24"/>
          <w:highlight w:val="none"/>
        </w:rPr>
        <w:t>项目分析报告，内容包括但不限于：项目现场状况、</w:t>
      </w:r>
      <w:r>
        <w:rPr>
          <w:rFonts w:hint="eastAsia" w:ascii="宋体" w:hAnsi="宋体" w:eastAsia="宋体" w:cs="宋体"/>
          <w:color w:val="auto"/>
          <w:sz w:val="24"/>
          <w:szCs w:val="24"/>
          <w:highlight w:val="none"/>
          <w:lang w:eastAsia="zh-CN"/>
        </w:rPr>
        <w:t>消防设备</w:t>
      </w:r>
      <w:r>
        <w:rPr>
          <w:rFonts w:hint="eastAsia" w:ascii="宋体" w:hAnsi="宋体" w:eastAsia="宋体" w:cs="宋体"/>
          <w:color w:val="auto"/>
          <w:sz w:val="24"/>
          <w:szCs w:val="24"/>
          <w:highlight w:val="none"/>
        </w:rPr>
        <w:t>运行状况、重难点分析、服务愿景等主要方面。</w:t>
      </w:r>
    </w:p>
    <w:p w14:paraId="20607868">
      <w:pPr>
        <w:pStyle w:val="12"/>
        <w:wordWrap w:val="0"/>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lang w:val="en-US" w:eastAsia="zh-CN"/>
        </w:rPr>
        <w:t>2</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rPr>
        <w:t>明确的服务方案、工作流程等。</w:t>
      </w:r>
    </w:p>
    <w:p w14:paraId="1BD34B38">
      <w:pPr>
        <w:pStyle w:val="12"/>
        <w:wordWrap w:val="0"/>
        <w:spacing w:line="360" w:lineRule="auto"/>
        <w:ind w:firstLine="480" w:firstLineChars="200"/>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lang w:val="en-US" w:eastAsia="zh-CN"/>
        </w:rPr>
        <w:t>3</w:t>
      </w:r>
      <w:r>
        <w:rPr>
          <w:rFonts w:hint="eastAsia" w:ascii="宋体" w:hAnsi="宋体" w:eastAsia="宋体" w:cs="宋体"/>
          <w:color w:val="auto"/>
          <w:sz w:val="24"/>
          <w:szCs w:val="24"/>
          <w:highlight w:val="none"/>
          <w:lang w:eastAsia="zh-CN"/>
        </w:rPr>
        <w:t>）明确的消防隐患管理及处置流程、沟通反馈机制、消防维保档案管理及要求等</w:t>
      </w:r>
    </w:p>
    <w:p w14:paraId="7B67B7F2">
      <w:pPr>
        <w:pStyle w:val="12"/>
        <w:wordWrap w:val="0"/>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lang w:val="en-US" w:eastAsia="zh-CN"/>
        </w:rPr>
        <w:t>4</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rPr>
        <w:t>消防维保过程中应急抢修方案，</w:t>
      </w:r>
      <w:r>
        <w:rPr>
          <w:rFonts w:hint="eastAsia" w:ascii="宋体" w:hAnsi="宋体" w:eastAsia="宋体" w:cs="宋体"/>
          <w:color w:val="auto"/>
          <w:sz w:val="24"/>
          <w:szCs w:val="24"/>
          <w:highlight w:val="none"/>
          <w:lang w:eastAsia="zh-CN"/>
        </w:rPr>
        <w:t>明确</w:t>
      </w:r>
      <w:r>
        <w:rPr>
          <w:rFonts w:hint="eastAsia" w:ascii="宋体" w:hAnsi="宋体" w:eastAsia="宋体" w:cs="宋体"/>
          <w:color w:val="auto"/>
          <w:sz w:val="24"/>
          <w:szCs w:val="24"/>
          <w:highlight w:val="none"/>
        </w:rPr>
        <w:t>反应时效，处理质量。</w:t>
      </w:r>
    </w:p>
    <w:p w14:paraId="465FC14F">
      <w:pPr>
        <w:pStyle w:val="12"/>
        <w:wordWrap w:val="0"/>
        <w:spacing w:line="360" w:lineRule="auto"/>
        <w:ind w:firstLine="480" w:firstLineChars="200"/>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lang w:val="en-US" w:eastAsia="zh-CN"/>
        </w:rPr>
        <w:t>5</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rPr>
        <w:t>日常消防维保过程中工作安全、质量、进度的保障方案</w:t>
      </w:r>
      <w:r>
        <w:rPr>
          <w:rFonts w:hint="eastAsia" w:ascii="宋体" w:hAnsi="宋体" w:eastAsia="宋体" w:cs="宋体"/>
          <w:color w:val="auto"/>
          <w:sz w:val="24"/>
          <w:szCs w:val="24"/>
          <w:highlight w:val="none"/>
          <w:lang w:eastAsia="zh-CN"/>
        </w:rPr>
        <w:t>。</w:t>
      </w:r>
    </w:p>
    <w:p w14:paraId="1D8DD722">
      <w:pPr>
        <w:pStyle w:val="12"/>
        <w:wordWrap w:val="0"/>
        <w:spacing w:line="360" w:lineRule="auto"/>
        <w:ind w:firstLine="480" w:firstLineChars="200"/>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lang w:val="en-US" w:eastAsia="zh-CN"/>
        </w:rPr>
        <w:t>6</w:t>
      </w:r>
      <w:r>
        <w:rPr>
          <w:rFonts w:hint="eastAsia" w:ascii="宋体" w:hAnsi="宋体" w:eastAsia="宋体" w:cs="宋体"/>
          <w:color w:val="auto"/>
          <w:sz w:val="24"/>
          <w:szCs w:val="24"/>
          <w:highlight w:val="none"/>
          <w:lang w:eastAsia="zh-CN"/>
        </w:rPr>
        <w:t>）提供</w:t>
      </w:r>
      <w:r>
        <w:rPr>
          <w:rFonts w:hint="eastAsia" w:ascii="宋体" w:hAnsi="宋体" w:eastAsia="宋体" w:cs="宋体"/>
          <w:color w:val="auto"/>
          <w:sz w:val="24"/>
          <w:szCs w:val="24"/>
          <w:highlight w:val="none"/>
        </w:rPr>
        <w:t>重大活动、接待、检查等事项期间人力组织措施方案和现场管理方案</w:t>
      </w:r>
      <w:r>
        <w:rPr>
          <w:rFonts w:hint="eastAsia" w:ascii="宋体" w:hAnsi="宋体" w:eastAsia="宋体" w:cs="宋体"/>
          <w:color w:val="auto"/>
          <w:sz w:val="24"/>
          <w:szCs w:val="24"/>
          <w:highlight w:val="none"/>
          <w:lang w:val="en-US" w:eastAsia="zh-CN"/>
        </w:rPr>
        <w:t>。</w:t>
      </w:r>
    </w:p>
    <w:p w14:paraId="1EF5DCFA">
      <w:pPr>
        <w:pStyle w:val="12"/>
        <w:wordWrap w:val="0"/>
        <w:spacing w:line="360" w:lineRule="auto"/>
        <w:ind w:firstLine="480" w:firstLineChars="200"/>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上述中标人提供的材料应具有</w:t>
      </w:r>
      <w:r>
        <w:rPr>
          <w:rFonts w:hint="eastAsia" w:ascii="宋体" w:hAnsi="宋体" w:eastAsia="宋体" w:cs="宋体"/>
          <w:color w:val="auto"/>
          <w:sz w:val="24"/>
          <w:szCs w:val="24"/>
          <w:highlight w:val="none"/>
        </w:rPr>
        <w:t>全面性、合理性</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rPr>
        <w:t>可行性</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rPr>
        <w:t>可操作性强</w:t>
      </w:r>
      <w:r>
        <w:rPr>
          <w:rFonts w:hint="eastAsia" w:ascii="宋体" w:hAnsi="宋体" w:eastAsia="宋体" w:cs="宋体"/>
          <w:color w:val="auto"/>
          <w:sz w:val="24"/>
          <w:szCs w:val="24"/>
          <w:highlight w:val="none"/>
          <w:lang w:eastAsia="zh-CN"/>
        </w:rPr>
        <w:t>，并得到项目管理处认可。</w:t>
      </w:r>
    </w:p>
    <w:p w14:paraId="647B1E63">
      <w:pPr>
        <w:spacing w:line="360" w:lineRule="auto"/>
        <w:ind w:firstLine="482" w:firstLineChars="200"/>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六、管理考核</w:t>
      </w:r>
    </w:p>
    <w:p w14:paraId="79653C9E">
      <w:pPr>
        <w:pStyle w:val="12"/>
        <w:wordWrap w:val="0"/>
        <w:spacing w:line="360" w:lineRule="auto"/>
        <w:ind w:firstLine="482" w:firstLineChars="200"/>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(一) 考核形式</w:t>
      </w:r>
    </w:p>
    <w:p w14:paraId="36C62C74">
      <w:pPr>
        <w:pStyle w:val="12"/>
        <w:wordWrap w:val="0"/>
        <w:spacing w:line="360" w:lineRule="auto"/>
        <w:ind w:firstLine="480" w:firstLineChars="200"/>
        <w:rPr>
          <w:rFonts w:hint="eastAsia" w:ascii="宋体" w:hAnsi="宋体" w:eastAsia="宋体" w:cs="宋体"/>
          <w:b w:val="0"/>
          <w:bCs w:val="0"/>
          <w:color w:val="0000FF"/>
          <w:sz w:val="24"/>
          <w:szCs w:val="24"/>
          <w:highlight w:val="none"/>
        </w:rPr>
      </w:pPr>
      <w:r>
        <w:rPr>
          <w:rFonts w:hint="eastAsia" w:ascii="宋体" w:hAnsi="宋体" w:eastAsia="宋体" w:cs="宋体"/>
          <w:b w:val="0"/>
          <w:bCs w:val="0"/>
          <w:color w:val="0000FF"/>
          <w:sz w:val="24"/>
          <w:szCs w:val="24"/>
          <w:highlight w:val="none"/>
        </w:rPr>
        <w:t>采购人每月组织不少于2人的考核小组，对照考核标准进行现场评分亮分，结果由中标人当场签字确认。中标人拒绝签字的，以考核小组不少于2名成员共同签字的考核记录及现场影像资料为准，考核结论即行生效，视为中标人已认可。</w:t>
      </w:r>
    </w:p>
    <w:p w14:paraId="3CB35FC8">
      <w:pPr>
        <w:pStyle w:val="12"/>
        <w:wordWrap w:val="0"/>
        <w:spacing w:line="360" w:lineRule="auto"/>
        <w:ind w:firstLine="482" w:firstLineChars="200"/>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 xml:space="preserve">(二) </w:t>
      </w:r>
      <w:r>
        <w:rPr>
          <w:rFonts w:hint="eastAsia" w:ascii="宋体" w:hAnsi="宋体" w:eastAsia="宋体" w:cs="宋体"/>
          <w:b/>
          <w:bCs/>
          <w:color w:val="auto"/>
          <w:sz w:val="24"/>
          <w:szCs w:val="24"/>
          <w:highlight w:val="none"/>
          <w:lang w:eastAsia="zh-CN"/>
        </w:rPr>
        <w:t>考核</w:t>
      </w:r>
      <w:r>
        <w:rPr>
          <w:rFonts w:hint="eastAsia" w:ascii="宋体" w:hAnsi="宋体" w:eastAsia="宋体" w:cs="宋体"/>
          <w:b/>
          <w:bCs/>
          <w:color w:val="auto"/>
          <w:sz w:val="24"/>
          <w:szCs w:val="24"/>
          <w:highlight w:val="none"/>
        </w:rPr>
        <w:t>评定</w:t>
      </w:r>
    </w:p>
    <w:p w14:paraId="3A804AE0">
      <w:pPr>
        <w:pStyle w:val="12"/>
        <w:wordWrap w:val="0"/>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考核分值为100分</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rPr>
        <w:t>每次考核按照《考核</w:t>
      </w:r>
      <w:r>
        <w:rPr>
          <w:rFonts w:hint="eastAsia" w:ascii="宋体" w:hAnsi="宋体" w:eastAsia="宋体" w:cs="宋体"/>
          <w:color w:val="auto"/>
          <w:sz w:val="24"/>
          <w:szCs w:val="24"/>
          <w:highlight w:val="none"/>
          <w:lang w:eastAsia="zh-CN"/>
        </w:rPr>
        <w:t>标准</w:t>
      </w:r>
      <w:r>
        <w:rPr>
          <w:rFonts w:hint="eastAsia" w:ascii="宋体" w:hAnsi="宋体" w:eastAsia="宋体" w:cs="宋体"/>
          <w:color w:val="auto"/>
          <w:sz w:val="24"/>
          <w:szCs w:val="24"/>
          <w:highlight w:val="none"/>
        </w:rPr>
        <w:t>》规定进行</w:t>
      </w:r>
      <w:r>
        <w:rPr>
          <w:rFonts w:hint="eastAsia" w:ascii="宋体" w:hAnsi="宋体" w:eastAsia="宋体" w:cs="宋体"/>
          <w:color w:val="auto"/>
          <w:sz w:val="24"/>
          <w:szCs w:val="24"/>
          <w:highlight w:val="none"/>
          <w:lang w:eastAsia="zh-CN"/>
        </w:rPr>
        <w:t>考核</w:t>
      </w:r>
      <w:r>
        <w:rPr>
          <w:rFonts w:hint="eastAsia" w:ascii="宋体" w:hAnsi="宋体" w:eastAsia="宋体" w:cs="宋体"/>
          <w:color w:val="auto"/>
          <w:sz w:val="24"/>
          <w:szCs w:val="24"/>
          <w:highlight w:val="none"/>
        </w:rPr>
        <w:t>，</w:t>
      </w:r>
      <w:r>
        <w:rPr>
          <w:rFonts w:hint="eastAsia" w:ascii="宋体" w:hAnsi="宋体" w:eastAsia="宋体" w:cs="宋体"/>
          <w:color w:val="auto"/>
          <w:sz w:val="24"/>
          <w:szCs w:val="24"/>
          <w:highlight w:val="none"/>
          <w:lang w:eastAsia="zh-CN"/>
        </w:rPr>
        <w:t>考核</w:t>
      </w:r>
      <w:r>
        <w:rPr>
          <w:rFonts w:hint="eastAsia" w:ascii="宋体" w:hAnsi="宋体" w:eastAsia="宋体" w:cs="宋体"/>
          <w:color w:val="auto"/>
          <w:sz w:val="24"/>
          <w:szCs w:val="24"/>
          <w:highlight w:val="none"/>
        </w:rPr>
        <w:t>结果作为对中标人支付日常维保服务费用的依据。</w:t>
      </w:r>
    </w:p>
    <w:p w14:paraId="27DEDE96">
      <w:pPr>
        <w:pStyle w:val="12"/>
        <w:wordWrap w:val="0"/>
        <w:spacing w:line="360" w:lineRule="auto"/>
        <w:ind w:firstLine="482" w:firstLineChars="200"/>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(三) 管理考核</w:t>
      </w:r>
    </w:p>
    <w:p w14:paraId="743C6D95">
      <w:pPr>
        <w:pStyle w:val="12"/>
        <w:wordWrap w:val="0"/>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1.每月考核得分≥85分为合格。</w:t>
      </w:r>
    </w:p>
    <w:p w14:paraId="06E46C47">
      <w:pPr>
        <w:pStyle w:val="12"/>
        <w:wordWrap w:val="0"/>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2.本项目维保工作受到国家、省、市、区表彰 (凭证书或文件)</w:t>
      </w:r>
      <w:r>
        <w:rPr>
          <w:rFonts w:hint="eastAsia" w:ascii="宋体" w:hAnsi="宋体" w:eastAsia="宋体" w:cs="宋体"/>
          <w:color w:val="auto"/>
          <w:sz w:val="24"/>
          <w:szCs w:val="24"/>
          <w:highlight w:val="none"/>
          <w:lang w:val="en-US" w:eastAsia="zh-CN"/>
        </w:rPr>
        <w:t>, 当</w:t>
      </w:r>
      <w:r>
        <w:rPr>
          <w:rFonts w:hint="eastAsia" w:ascii="宋体" w:hAnsi="宋体" w:eastAsia="宋体" w:cs="宋体"/>
          <w:color w:val="auto"/>
          <w:sz w:val="24"/>
          <w:szCs w:val="24"/>
          <w:highlight w:val="none"/>
        </w:rPr>
        <w:t>月在得分中分别增加4 分、3 分、2 分、1 分。</w:t>
      </w:r>
    </w:p>
    <w:p w14:paraId="3F9444FA">
      <w:pPr>
        <w:pStyle w:val="12"/>
        <w:wordWrap w:val="0"/>
        <w:spacing w:line="360" w:lineRule="auto"/>
        <w:ind w:firstLine="480" w:firstLineChars="200"/>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rPr>
        <w:t>3.每月考核</w:t>
      </w:r>
      <w:r>
        <w:rPr>
          <w:rFonts w:hint="eastAsia" w:ascii="宋体" w:hAnsi="宋体" w:eastAsia="宋体" w:cs="宋体"/>
          <w:color w:val="auto"/>
          <w:sz w:val="24"/>
          <w:szCs w:val="24"/>
          <w:highlight w:val="none"/>
          <w:lang w:eastAsia="zh-CN"/>
        </w:rPr>
        <w:t>产生的处罚金额从服务费中扣除。</w:t>
      </w:r>
    </w:p>
    <w:p w14:paraId="3D5E9F6A">
      <w:pPr>
        <w:pStyle w:val="12"/>
        <w:wordWrap w:val="0"/>
        <w:spacing w:line="360" w:lineRule="auto"/>
        <w:ind w:firstLine="480" w:firstLineChars="200"/>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rPr>
        <w:t>4.被省、市、区媒体曝光，确属本职工作失误或失职，造成不良影响的， 在当月总分中扣4分</w:t>
      </w:r>
      <w:r>
        <w:rPr>
          <w:rFonts w:hint="eastAsia" w:ascii="宋体" w:hAnsi="宋体" w:eastAsia="宋体" w:cs="宋体"/>
          <w:color w:val="auto"/>
          <w:sz w:val="24"/>
          <w:szCs w:val="24"/>
          <w:highlight w:val="none"/>
          <w:lang w:eastAsia="zh-CN"/>
        </w:rPr>
        <w:t>，并处以每起</w:t>
      </w:r>
      <w:r>
        <w:rPr>
          <w:rFonts w:hint="eastAsia" w:ascii="宋体" w:hAnsi="宋体" w:eastAsia="宋体" w:cs="宋体"/>
          <w:color w:val="auto"/>
          <w:sz w:val="24"/>
          <w:szCs w:val="24"/>
          <w:highlight w:val="none"/>
        </w:rPr>
        <w:t>1000元</w:t>
      </w:r>
      <w:r>
        <w:rPr>
          <w:rFonts w:hint="eastAsia" w:ascii="宋体" w:hAnsi="宋体" w:eastAsia="宋体" w:cs="宋体"/>
          <w:color w:val="auto"/>
          <w:sz w:val="24"/>
          <w:szCs w:val="24"/>
          <w:highlight w:val="none"/>
          <w:lang w:eastAsia="zh-CN"/>
        </w:rPr>
        <w:t>的处罚。</w:t>
      </w:r>
    </w:p>
    <w:p w14:paraId="6957517D">
      <w:pPr>
        <w:pStyle w:val="12"/>
        <w:wordWrap w:val="0"/>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5.在法定节假日和省、市重大活动期间，因管理不到位，群众反映强烈的，在当月总分中扣4 分</w:t>
      </w:r>
      <w:r>
        <w:rPr>
          <w:rFonts w:hint="eastAsia" w:ascii="宋体" w:hAnsi="宋体" w:eastAsia="宋体" w:cs="宋体"/>
          <w:color w:val="auto"/>
          <w:sz w:val="24"/>
          <w:szCs w:val="24"/>
          <w:highlight w:val="none"/>
          <w:lang w:eastAsia="zh-CN"/>
        </w:rPr>
        <w:t>，并处以每起</w:t>
      </w:r>
      <w:r>
        <w:rPr>
          <w:rFonts w:hint="eastAsia" w:ascii="宋体" w:hAnsi="宋体" w:eastAsia="宋体" w:cs="宋体"/>
          <w:color w:val="auto"/>
          <w:sz w:val="24"/>
          <w:szCs w:val="24"/>
          <w:highlight w:val="none"/>
        </w:rPr>
        <w:t>1000元</w:t>
      </w:r>
      <w:r>
        <w:rPr>
          <w:rFonts w:hint="eastAsia" w:ascii="宋体" w:hAnsi="宋体" w:eastAsia="宋体" w:cs="宋体"/>
          <w:color w:val="auto"/>
          <w:sz w:val="24"/>
          <w:szCs w:val="24"/>
          <w:highlight w:val="none"/>
          <w:lang w:eastAsia="zh-CN"/>
        </w:rPr>
        <w:t>的处罚。</w:t>
      </w:r>
    </w:p>
    <w:p w14:paraId="7C9A2C0C">
      <w:pPr>
        <w:pStyle w:val="12"/>
        <w:wordWrap w:val="0"/>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6.连续两个月考核在85分(不含85分) 以下的，</w:t>
      </w:r>
      <w:r>
        <w:rPr>
          <w:rFonts w:hint="eastAsia" w:ascii="宋体" w:hAnsi="宋体" w:eastAsia="宋体" w:cs="宋体"/>
          <w:color w:val="auto"/>
          <w:sz w:val="24"/>
          <w:szCs w:val="24"/>
          <w:highlight w:val="none"/>
          <w:lang w:eastAsia="zh-CN"/>
        </w:rPr>
        <w:t>采购人</w:t>
      </w:r>
      <w:r>
        <w:rPr>
          <w:rFonts w:hint="eastAsia" w:ascii="宋体" w:hAnsi="宋体" w:eastAsia="宋体" w:cs="宋体"/>
          <w:color w:val="auto"/>
          <w:sz w:val="24"/>
          <w:szCs w:val="24"/>
          <w:highlight w:val="none"/>
        </w:rPr>
        <w:t>有权解除合同</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rPr>
        <w:t>造成的影响和损失均由中标人承担。</w:t>
      </w:r>
    </w:p>
    <w:p w14:paraId="73F9ABEF">
      <w:pPr>
        <w:spacing w:line="360" w:lineRule="auto"/>
        <w:rPr>
          <w:rFonts w:hint="eastAsia" w:ascii="宋体" w:hAnsi="宋体" w:eastAsia="宋体" w:cs="宋体"/>
          <w:b/>
          <w:bCs/>
          <w:color w:val="auto"/>
          <w:kern w:val="2"/>
          <w:sz w:val="24"/>
          <w:szCs w:val="24"/>
          <w:highlight w:val="none"/>
          <w:lang w:val="en-US" w:eastAsia="zh-CN" w:bidi="ar-SA"/>
        </w:rPr>
      </w:pPr>
      <w:r>
        <w:rPr>
          <w:rFonts w:hint="eastAsia" w:ascii="宋体" w:hAnsi="宋体" w:eastAsia="宋体" w:cs="宋体"/>
          <w:b/>
          <w:bCs/>
          <w:color w:val="auto"/>
          <w:kern w:val="2"/>
          <w:sz w:val="24"/>
          <w:szCs w:val="24"/>
          <w:highlight w:val="none"/>
          <w:lang w:val="en-US" w:eastAsia="zh-CN" w:bidi="ar-SA"/>
        </w:rPr>
        <w:t>附件：考核标准</w:t>
      </w:r>
    </w:p>
    <w:p w14:paraId="0EB9AA96">
      <w:pPr>
        <w:spacing w:line="300" w:lineRule="auto"/>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rPr>
        <w:t xml:space="preserve">  </w:t>
      </w:r>
      <w:r>
        <w:rPr>
          <w:rFonts w:hint="eastAsia" w:ascii="宋体" w:hAnsi="宋体" w:eastAsia="宋体" w:cs="宋体"/>
          <w:color w:val="auto"/>
          <w:sz w:val="24"/>
          <w:szCs w:val="24"/>
          <w:highlight w:val="none"/>
          <w:lang w:val="en-US" w:eastAsia="zh-CN"/>
        </w:rPr>
        <w:t>1.</w:t>
      </w:r>
      <w:r>
        <w:rPr>
          <w:rFonts w:hint="eastAsia" w:ascii="宋体" w:hAnsi="宋体" w:eastAsia="宋体" w:cs="宋体"/>
          <w:color w:val="auto"/>
          <w:sz w:val="24"/>
          <w:szCs w:val="24"/>
          <w:highlight w:val="none"/>
        </w:rPr>
        <w:t>火灾自动报警系统</w:t>
      </w:r>
    </w:p>
    <w:tbl>
      <w:tblPr>
        <w:tblStyle w:val="20"/>
        <w:tblW w:w="9603" w:type="dxa"/>
        <w:jc w:val="center"/>
        <w:tblLayout w:type="fixed"/>
        <w:tblCellMar>
          <w:top w:w="15" w:type="dxa"/>
          <w:left w:w="15" w:type="dxa"/>
          <w:bottom w:w="15" w:type="dxa"/>
          <w:right w:w="15" w:type="dxa"/>
        </w:tblCellMar>
      </w:tblPr>
      <w:tblGrid>
        <w:gridCol w:w="746"/>
        <w:gridCol w:w="2857"/>
        <w:gridCol w:w="3027"/>
        <w:gridCol w:w="2973"/>
      </w:tblGrid>
      <w:tr w14:paraId="6A8A1D0C">
        <w:tblPrEx>
          <w:tblCellMar>
            <w:top w:w="15" w:type="dxa"/>
            <w:left w:w="15" w:type="dxa"/>
            <w:bottom w:w="15" w:type="dxa"/>
            <w:right w:w="15" w:type="dxa"/>
          </w:tblCellMar>
        </w:tblPrEx>
        <w:trPr>
          <w:trHeight w:val="228" w:hRule="atLeast"/>
          <w:jc w:val="center"/>
        </w:trPr>
        <w:tc>
          <w:tcPr>
            <w:tcW w:w="746" w:type="dxa"/>
            <w:tcBorders>
              <w:top w:val="single" w:color="000000" w:sz="4" w:space="0"/>
              <w:left w:val="single" w:color="000000" w:sz="4" w:space="0"/>
              <w:bottom w:val="single" w:color="000000" w:sz="4" w:space="0"/>
              <w:right w:val="single" w:color="000000" w:sz="4" w:space="0"/>
            </w:tcBorders>
            <w:noWrap w:val="0"/>
            <w:vAlign w:val="center"/>
          </w:tcPr>
          <w:p w14:paraId="29628378">
            <w:pPr>
              <w:pStyle w:val="12"/>
              <w:wordWrap w:val="0"/>
              <w:spacing w:line="360" w:lineRule="auto"/>
              <w:jc w:val="center"/>
              <w:rPr>
                <w:rFonts w:hint="eastAsia" w:ascii="宋体" w:hAnsi="宋体" w:eastAsia="宋体" w:cs="宋体"/>
                <w:b/>
                <w:bCs/>
                <w:color w:val="auto"/>
                <w:kern w:val="2"/>
                <w:sz w:val="24"/>
                <w:szCs w:val="24"/>
                <w:highlight w:val="none"/>
                <w:lang w:val="en-US" w:eastAsia="zh-CN" w:bidi="ar-SA"/>
              </w:rPr>
            </w:pPr>
            <w:r>
              <w:rPr>
                <w:rFonts w:hint="eastAsia" w:ascii="宋体" w:hAnsi="宋体" w:eastAsia="宋体" w:cs="宋体"/>
                <w:b/>
                <w:bCs/>
                <w:color w:val="auto"/>
                <w:kern w:val="2"/>
                <w:sz w:val="24"/>
                <w:szCs w:val="24"/>
                <w:highlight w:val="none"/>
                <w:lang w:val="en-US" w:eastAsia="zh-CN" w:bidi="ar-SA"/>
              </w:rPr>
              <w:t>序号</w:t>
            </w:r>
          </w:p>
        </w:tc>
        <w:tc>
          <w:tcPr>
            <w:tcW w:w="2857" w:type="dxa"/>
            <w:tcBorders>
              <w:top w:val="single" w:color="000000" w:sz="4" w:space="0"/>
              <w:left w:val="single" w:color="000000" w:sz="4" w:space="0"/>
              <w:bottom w:val="single" w:color="000000" w:sz="4" w:space="0"/>
              <w:right w:val="single" w:color="000000" w:sz="4" w:space="0"/>
            </w:tcBorders>
            <w:noWrap w:val="0"/>
            <w:vAlign w:val="center"/>
          </w:tcPr>
          <w:p w14:paraId="0E3C0FA2">
            <w:pPr>
              <w:pStyle w:val="12"/>
              <w:wordWrap w:val="0"/>
              <w:spacing w:line="360" w:lineRule="auto"/>
              <w:jc w:val="center"/>
              <w:rPr>
                <w:rFonts w:hint="eastAsia" w:ascii="宋体" w:hAnsi="宋体" w:eastAsia="宋体" w:cs="宋体"/>
                <w:b/>
                <w:bCs/>
                <w:color w:val="auto"/>
                <w:kern w:val="2"/>
                <w:sz w:val="24"/>
                <w:szCs w:val="24"/>
                <w:highlight w:val="none"/>
                <w:lang w:val="en-US" w:eastAsia="zh-CN" w:bidi="ar-SA"/>
              </w:rPr>
            </w:pPr>
            <w:r>
              <w:rPr>
                <w:rFonts w:hint="eastAsia" w:ascii="宋体" w:hAnsi="宋体" w:eastAsia="宋体" w:cs="宋体"/>
                <w:b/>
                <w:bCs/>
                <w:color w:val="auto"/>
                <w:kern w:val="2"/>
                <w:sz w:val="24"/>
                <w:szCs w:val="24"/>
                <w:highlight w:val="none"/>
                <w:lang w:val="en-US" w:eastAsia="zh-CN" w:bidi="ar-SA"/>
              </w:rPr>
              <w:t>维护保养工作内容</w:t>
            </w:r>
          </w:p>
        </w:tc>
        <w:tc>
          <w:tcPr>
            <w:tcW w:w="3027" w:type="dxa"/>
            <w:tcBorders>
              <w:top w:val="single" w:color="000000" w:sz="4" w:space="0"/>
              <w:left w:val="single" w:color="000000" w:sz="4" w:space="0"/>
              <w:bottom w:val="single" w:color="000000" w:sz="4" w:space="0"/>
              <w:right w:val="single" w:color="000000" w:sz="4" w:space="0"/>
            </w:tcBorders>
            <w:noWrap w:val="0"/>
            <w:vAlign w:val="center"/>
          </w:tcPr>
          <w:p w14:paraId="57C540B7">
            <w:pPr>
              <w:pStyle w:val="12"/>
              <w:wordWrap w:val="0"/>
              <w:spacing w:line="360" w:lineRule="auto"/>
              <w:jc w:val="center"/>
              <w:rPr>
                <w:rFonts w:hint="eastAsia" w:ascii="宋体" w:hAnsi="宋体" w:eastAsia="宋体" w:cs="宋体"/>
                <w:b/>
                <w:bCs/>
                <w:color w:val="auto"/>
                <w:kern w:val="2"/>
                <w:sz w:val="24"/>
                <w:szCs w:val="24"/>
                <w:highlight w:val="none"/>
                <w:lang w:val="en-US" w:eastAsia="zh-CN" w:bidi="ar-SA"/>
              </w:rPr>
            </w:pPr>
            <w:r>
              <w:rPr>
                <w:rFonts w:hint="eastAsia" w:ascii="宋体" w:hAnsi="宋体" w:eastAsia="宋体" w:cs="宋体"/>
                <w:b/>
                <w:bCs/>
                <w:color w:val="auto"/>
                <w:kern w:val="2"/>
                <w:sz w:val="24"/>
                <w:szCs w:val="24"/>
                <w:highlight w:val="none"/>
                <w:lang w:val="en-US" w:eastAsia="zh-CN" w:bidi="ar-SA"/>
              </w:rPr>
              <w:t>维护保养标准</w:t>
            </w:r>
          </w:p>
        </w:tc>
        <w:tc>
          <w:tcPr>
            <w:tcW w:w="2973" w:type="dxa"/>
            <w:tcBorders>
              <w:top w:val="single" w:color="000000" w:sz="4" w:space="0"/>
              <w:left w:val="single" w:color="000000" w:sz="4" w:space="0"/>
              <w:bottom w:val="single" w:color="000000" w:sz="4" w:space="0"/>
              <w:right w:val="single" w:color="000000" w:sz="4" w:space="0"/>
            </w:tcBorders>
            <w:noWrap w:val="0"/>
            <w:vAlign w:val="center"/>
          </w:tcPr>
          <w:p w14:paraId="55051F70">
            <w:pPr>
              <w:pStyle w:val="12"/>
              <w:wordWrap w:val="0"/>
              <w:spacing w:line="360" w:lineRule="auto"/>
              <w:jc w:val="center"/>
              <w:rPr>
                <w:rFonts w:hint="eastAsia" w:ascii="宋体" w:hAnsi="宋体" w:eastAsia="宋体" w:cs="宋体"/>
                <w:color w:val="auto"/>
                <w:sz w:val="24"/>
                <w:szCs w:val="24"/>
                <w:highlight w:val="none"/>
              </w:rPr>
            </w:pPr>
            <w:r>
              <w:rPr>
                <w:rFonts w:hint="eastAsia" w:ascii="宋体" w:hAnsi="宋体" w:eastAsia="宋体" w:cs="宋体"/>
                <w:b/>
                <w:bCs/>
                <w:color w:val="auto"/>
                <w:kern w:val="2"/>
                <w:sz w:val="24"/>
                <w:szCs w:val="24"/>
                <w:highlight w:val="none"/>
                <w:lang w:val="en-US" w:eastAsia="zh-CN" w:bidi="ar-SA"/>
              </w:rPr>
              <w:t>扣分标准</w:t>
            </w:r>
          </w:p>
        </w:tc>
      </w:tr>
      <w:tr w14:paraId="6F1CDCC2">
        <w:tblPrEx>
          <w:tblCellMar>
            <w:top w:w="15" w:type="dxa"/>
            <w:left w:w="15" w:type="dxa"/>
            <w:bottom w:w="15" w:type="dxa"/>
            <w:right w:w="15" w:type="dxa"/>
          </w:tblCellMar>
        </w:tblPrEx>
        <w:trPr>
          <w:trHeight w:val="1612" w:hRule="atLeast"/>
          <w:jc w:val="center"/>
        </w:trPr>
        <w:tc>
          <w:tcPr>
            <w:tcW w:w="746" w:type="dxa"/>
            <w:tcBorders>
              <w:top w:val="single" w:color="000000" w:sz="4" w:space="0"/>
              <w:left w:val="single" w:color="000000" w:sz="4" w:space="0"/>
              <w:bottom w:val="single" w:color="000000" w:sz="4" w:space="0"/>
              <w:right w:val="single" w:color="000000" w:sz="4" w:space="0"/>
            </w:tcBorders>
            <w:noWrap w:val="0"/>
            <w:vAlign w:val="center"/>
          </w:tcPr>
          <w:p w14:paraId="0EE601BF">
            <w:pPr>
              <w:pStyle w:val="12"/>
              <w:wordWrap w:val="0"/>
              <w:spacing w:line="240" w:lineRule="auto"/>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w:t>
            </w:r>
          </w:p>
        </w:tc>
        <w:tc>
          <w:tcPr>
            <w:tcW w:w="2857" w:type="dxa"/>
            <w:tcBorders>
              <w:top w:val="single" w:color="000000" w:sz="4" w:space="0"/>
              <w:left w:val="single" w:color="000000" w:sz="4" w:space="0"/>
              <w:bottom w:val="single" w:color="000000" w:sz="4" w:space="0"/>
              <w:right w:val="single" w:color="000000" w:sz="4" w:space="0"/>
            </w:tcBorders>
            <w:noWrap w:val="0"/>
            <w:vAlign w:val="center"/>
          </w:tcPr>
          <w:p w14:paraId="7C583947">
            <w:pPr>
              <w:pStyle w:val="12"/>
              <w:wordWrap w:val="0"/>
              <w:spacing w:line="240" w:lineRule="auto"/>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每月检查控制主机各项功能是否正常</w:t>
            </w:r>
          </w:p>
        </w:tc>
        <w:tc>
          <w:tcPr>
            <w:tcW w:w="3027" w:type="dxa"/>
            <w:tcBorders>
              <w:top w:val="single" w:color="000000" w:sz="4" w:space="0"/>
              <w:left w:val="single" w:color="000000" w:sz="4" w:space="0"/>
              <w:bottom w:val="single" w:color="000000" w:sz="4" w:space="0"/>
              <w:right w:val="single" w:color="000000" w:sz="4" w:space="0"/>
            </w:tcBorders>
            <w:noWrap w:val="0"/>
            <w:vAlign w:val="center"/>
          </w:tcPr>
          <w:p w14:paraId="5239FF7B">
            <w:pPr>
              <w:pStyle w:val="12"/>
              <w:wordWrap w:val="0"/>
              <w:spacing w:line="240" w:lineRule="auto"/>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主机外观完好、整洁，保证控制主机自检、复位、消音、火灾报警、故障报警、打印等各项功能正常工作，信号输入、输出模块运行状态正常，火灾显示器运行状态正常</w:t>
            </w:r>
          </w:p>
        </w:tc>
        <w:tc>
          <w:tcPr>
            <w:tcW w:w="2973" w:type="dxa"/>
            <w:tcBorders>
              <w:top w:val="single" w:color="000000" w:sz="4" w:space="0"/>
              <w:left w:val="single" w:color="000000" w:sz="4" w:space="0"/>
              <w:bottom w:val="single" w:color="000000" w:sz="4" w:space="0"/>
              <w:right w:val="single" w:color="000000" w:sz="4" w:space="0"/>
            </w:tcBorders>
            <w:noWrap w:val="0"/>
            <w:vAlign w:val="center"/>
          </w:tcPr>
          <w:p w14:paraId="05D3FF42">
            <w:pPr>
              <w:pStyle w:val="12"/>
              <w:wordWrap w:val="0"/>
              <w:spacing w:line="240" w:lineRule="auto"/>
              <w:jc w:val="left"/>
              <w:rPr>
                <w:rFonts w:hint="eastAsia" w:ascii="宋体" w:hAnsi="宋体" w:eastAsia="宋体" w:cs="宋体"/>
                <w:color w:val="auto"/>
                <w:sz w:val="24"/>
                <w:szCs w:val="24"/>
                <w:highlight w:val="none"/>
                <w:lang w:val="en-US"/>
              </w:rPr>
            </w:pPr>
            <w:r>
              <w:rPr>
                <w:rFonts w:hint="eastAsia" w:ascii="宋体" w:hAnsi="宋体" w:eastAsia="宋体" w:cs="宋体"/>
                <w:color w:val="auto"/>
                <w:kern w:val="2"/>
                <w:sz w:val="24"/>
                <w:szCs w:val="24"/>
                <w:highlight w:val="none"/>
                <w:lang w:val="en-US" w:eastAsia="zh-CN" w:bidi="ar-SA"/>
              </w:rPr>
              <w:t>任一处未达标准，扣考核评分0.5分，并扣除服务费100元。</w:t>
            </w:r>
          </w:p>
        </w:tc>
      </w:tr>
      <w:tr w14:paraId="1B37696A">
        <w:tblPrEx>
          <w:tblCellMar>
            <w:top w:w="15" w:type="dxa"/>
            <w:left w:w="15" w:type="dxa"/>
            <w:bottom w:w="15" w:type="dxa"/>
            <w:right w:w="15" w:type="dxa"/>
          </w:tblCellMar>
        </w:tblPrEx>
        <w:trPr>
          <w:trHeight w:val="912" w:hRule="atLeast"/>
          <w:jc w:val="center"/>
        </w:trPr>
        <w:tc>
          <w:tcPr>
            <w:tcW w:w="746" w:type="dxa"/>
            <w:tcBorders>
              <w:top w:val="single" w:color="000000" w:sz="4" w:space="0"/>
              <w:left w:val="single" w:color="000000" w:sz="4" w:space="0"/>
              <w:bottom w:val="single" w:color="000000" w:sz="4" w:space="0"/>
              <w:right w:val="single" w:color="000000" w:sz="4" w:space="0"/>
            </w:tcBorders>
            <w:noWrap w:val="0"/>
            <w:vAlign w:val="center"/>
          </w:tcPr>
          <w:p w14:paraId="041DDAD5">
            <w:pPr>
              <w:pStyle w:val="12"/>
              <w:wordWrap w:val="0"/>
              <w:spacing w:line="240" w:lineRule="auto"/>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w:t>
            </w:r>
          </w:p>
        </w:tc>
        <w:tc>
          <w:tcPr>
            <w:tcW w:w="2857" w:type="dxa"/>
            <w:tcBorders>
              <w:top w:val="single" w:color="000000" w:sz="4" w:space="0"/>
              <w:left w:val="single" w:color="000000" w:sz="4" w:space="0"/>
              <w:bottom w:val="single" w:color="000000" w:sz="4" w:space="0"/>
              <w:right w:val="single" w:color="000000" w:sz="4" w:space="0"/>
            </w:tcBorders>
            <w:noWrap w:val="0"/>
            <w:vAlign w:val="center"/>
          </w:tcPr>
          <w:p w14:paraId="3AFC8E7F">
            <w:pPr>
              <w:pStyle w:val="12"/>
              <w:wordWrap w:val="0"/>
              <w:spacing w:line="240" w:lineRule="auto"/>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每年用测试仪分区域分批次测试温感、烟感、红外等探测器火灾报警和故障报警功能（覆盖率≥50%）</w:t>
            </w:r>
          </w:p>
        </w:tc>
        <w:tc>
          <w:tcPr>
            <w:tcW w:w="3027" w:type="dxa"/>
            <w:tcBorders>
              <w:top w:val="single" w:color="000000" w:sz="4" w:space="0"/>
              <w:left w:val="single" w:color="000000" w:sz="4" w:space="0"/>
              <w:bottom w:val="single" w:color="000000" w:sz="4" w:space="0"/>
              <w:right w:val="single" w:color="000000" w:sz="4" w:space="0"/>
            </w:tcBorders>
            <w:noWrap w:val="0"/>
            <w:vAlign w:val="center"/>
          </w:tcPr>
          <w:p w14:paraId="42B8C183">
            <w:pPr>
              <w:pStyle w:val="12"/>
              <w:wordWrap w:val="0"/>
              <w:spacing w:line="240" w:lineRule="auto"/>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探测器动作灵敏、报警准确</w:t>
            </w:r>
          </w:p>
        </w:tc>
        <w:tc>
          <w:tcPr>
            <w:tcW w:w="2973" w:type="dxa"/>
            <w:tcBorders>
              <w:top w:val="single" w:color="000000" w:sz="4" w:space="0"/>
              <w:left w:val="single" w:color="000000" w:sz="4" w:space="0"/>
              <w:bottom w:val="single" w:color="000000" w:sz="4" w:space="0"/>
              <w:right w:val="single" w:color="000000" w:sz="4" w:space="0"/>
            </w:tcBorders>
            <w:noWrap w:val="0"/>
            <w:vAlign w:val="center"/>
          </w:tcPr>
          <w:p w14:paraId="5936821C">
            <w:pPr>
              <w:pStyle w:val="12"/>
              <w:wordWrap w:val="0"/>
              <w:spacing w:line="240" w:lineRule="auto"/>
              <w:jc w:val="left"/>
              <w:rPr>
                <w:rFonts w:hint="eastAsia" w:ascii="宋体" w:hAnsi="宋体" w:eastAsia="宋体" w:cs="宋体"/>
                <w:color w:val="auto"/>
                <w:sz w:val="24"/>
                <w:szCs w:val="24"/>
                <w:highlight w:val="none"/>
              </w:rPr>
            </w:pPr>
            <w:r>
              <w:rPr>
                <w:rFonts w:hint="eastAsia" w:ascii="宋体" w:hAnsi="宋体" w:eastAsia="宋体" w:cs="宋体"/>
                <w:color w:val="auto"/>
                <w:kern w:val="2"/>
                <w:sz w:val="24"/>
                <w:szCs w:val="24"/>
                <w:highlight w:val="none"/>
                <w:lang w:val="en-US" w:eastAsia="zh-CN" w:bidi="ar-SA"/>
              </w:rPr>
              <w:t>任一处未达标准，扣考核评分1分，并扣除服务费200元。</w:t>
            </w:r>
          </w:p>
        </w:tc>
      </w:tr>
      <w:tr w14:paraId="1E4766AD">
        <w:tblPrEx>
          <w:tblCellMar>
            <w:top w:w="15" w:type="dxa"/>
            <w:left w:w="15" w:type="dxa"/>
            <w:bottom w:w="15" w:type="dxa"/>
            <w:right w:w="15" w:type="dxa"/>
          </w:tblCellMar>
        </w:tblPrEx>
        <w:trPr>
          <w:trHeight w:val="827" w:hRule="atLeast"/>
          <w:jc w:val="center"/>
        </w:trPr>
        <w:tc>
          <w:tcPr>
            <w:tcW w:w="746" w:type="dxa"/>
            <w:tcBorders>
              <w:top w:val="single" w:color="000000" w:sz="4" w:space="0"/>
              <w:left w:val="single" w:color="000000" w:sz="4" w:space="0"/>
              <w:bottom w:val="single" w:color="000000" w:sz="4" w:space="0"/>
              <w:right w:val="single" w:color="000000" w:sz="4" w:space="0"/>
            </w:tcBorders>
            <w:noWrap w:val="0"/>
            <w:vAlign w:val="center"/>
          </w:tcPr>
          <w:p w14:paraId="71C42C1E">
            <w:pPr>
              <w:pStyle w:val="12"/>
              <w:wordWrap w:val="0"/>
              <w:spacing w:line="240" w:lineRule="auto"/>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w:t>
            </w:r>
          </w:p>
        </w:tc>
        <w:tc>
          <w:tcPr>
            <w:tcW w:w="2857" w:type="dxa"/>
            <w:tcBorders>
              <w:top w:val="single" w:color="000000" w:sz="4" w:space="0"/>
              <w:left w:val="single" w:color="000000" w:sz="4" w:space="0"/>
              <w:bottom w:val="single" w:color="000000" w:sz="4" w:space="0"/>
              <w:right w:val="single" w:color="000000" w:sz="4" w:space="0"/>
            </w:tcBorders>
            <w:noWrap w:val="0"/>
            <w:vAlign w:val="center"/>
          </w:tcPr>
          <w:p w14:paraId="154B5A5F">
            <w:pPr>
              <w:pStyle w:val="12"/>
              <w:wordWrap w:val="0"/>
              <w:spacing w:line="240" w:lineRule="auto"/>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每月对火灾声光报警装置进行检查、测试</w:t>
            </w:r>
          </w:p>
        </w:tc>
        <w:tc>
          <w:tcPr>
            <w:tcW w:w="3027" w:type="dxa"/>
            <w:tcBorders>
              <w:top w:val="single" w:color="000000" w:sz="4" w:space="0"/>
              <w:left w:val="single" w:color="000000" w:sz="4" w:space="0"/>
              <w:bottom w:val="single" w:color="000000" w:sz="4" w:space="0"/>
              <w:right w:val="single" w:color="000000" w:sz="4" w:space="0"/>
            </w:tcBorders>
            <w:noWrap w:val="0"/>
            <w:vAlign w:val="center"/>
          </w:tcPr>
          <w:p w14:paraId="74D20ADD">
            <w:pPr>
              <w:pStyle w:val="12"/>
              <w:wordWrap w:val="0"/>
              <w:spacing w:line="240" w:lineRule="auto"/>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火灾声光报警装置正常</w:t>
            </w:r>
          </w:p>
        </w:tc>
        <w:tc>
          <w:tcPr>
            <w:tcW w:w="2973" w:type="dxa"/>
            <w:tcBorders>
              <w:top w:val="single" w:color="000000" w:sz="4" w:space="0"/>
              <w:left w:val="single" w:color="000000" w:sz="4" w:space="0"/>
              <w:bottom w:val="single" w:color="000000" w:sz="4" w:space="0"/>
              <w:right w:val="single" w:color="000000" w:sz="4" w:space="0"/>
            </w:tcBorders>
            <w:noWrap w:val="0"/>
            <w:vAlign w:val="center"/>
          </w:tcPr>
          <w:p w14:paraId="4D55E961">
            <w:pPr>
              <w:pStyle w:val="12"/>
              <w:wordWrap w:val="0"/>
              <w:spacing w:line="240" w:lineRule="auto"/>
              <w:jc w:val="left"/>
              <w:rPr>
                <w:rFonts w:hint="eastAsia" w:ascii="宋体" w:hAnsi="宋体" w:eastAsia="宋体" w:cs="宋体"/>
                <w:color w:val="auto"/>
                <w:sz w:val="24"/>
                <w:szCs w:val="24"/>
                <w:highlight w:val="none"/>
              </w:rPr>
            </w:pPr>
            <w:r>
              <w:rPr>
                <w:rFonts w:hint="eastAsia" w:ascii="宋体" w:hAnsi="宋体" w:eastAsia="宋体" w:cs="宋体"/>
                <w:color w:val="auto"/>
                <w:kern w:val="2"/>
                <w:sz w:val="24"/>
                <w:szCs w:val="24"/>
                <w:highlight w:val="none"/>
                <w:lang w:val="en-US" w:eastAsia="zh-CN" w:bidi="ar-SA"/>
              </w:rPr>
              <w:t>任一处未达标准，扣考核评分0.5分，并扣除服务费100元。</w:t>
            </w:r>
          </w:p>
        </w:tc>
      </w:tr>
      <w:tr w14:paraId="131E935E">
        <w:tblPrEx>
          <w:tblCellMar>
            <w:top w:w="15" w:type="dxa"/>
            <w:left w:w="15" w:type="dxa"/>
            <w:bottom w:w="15" w:type="dxa"/>
            <w:right w:w="15" w:type="dxa"/>
          </w:tblCellMar>
        </w:tblPrEx>
        <w:trPr>
          <w:trHeight w:val="1020" w:hRule="atLeast"/>
          <w:jc w:val="center"/>
        </w:trPr>
        <w:tc>
          <w:tcPr>
            <w:tcW w:w="746" w:type="dxa"/>
            <w:tcBorders>
              <w:top w:val="single" w:color="000000" w:sz="4" w:space="0"/>
              <w:left w:val="single" w:color="000000" w:sz="4" w:space="0"/>
              <w:bottom w:val="single" w:color="000000" w:sz="4" w:space="0"/>
              <w:right w:val="single" w:color="000000" w:sz="4" w:space="0"/>
            </w:tcBorders>
            <w:noWrap w:val="0"/>
            <w:vAlign w:val="center"/>
          </w:tcPr>
          <w:p w14:paraId="3F566AB5">
            <w:pPr>
              <w:pStyle w:val="12"/>
              <w:wordWrap w:val="0"/>
              <w:spacing w:line="240" w:lineRule="auto"/>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4</w:t>
            </w:r>
          </w:p>
        </w:tc>
        <w:tc>
          <w:tcPr>
            <w:tcW w:w="2857" w:type="dxa"/>
            <w:tcBorders>
              <w:top w:val="single" w:color="000000" w:sz="4" w:space="0"/>
              <w:left w:val="single" w:color="000000" w:sz="4" w:space="0"/>
              <w:bottom w:val="single" w:color="000000" w:sz="4" w:space="0"/>
              <w:right w:val="single" w:color="000000" w:sz="4" w:space="0"/>
            </w:tcBorders>
            <w:noWrap w:val="0"/>
            <w:vAlign w:val="center"/>
          </w:tcPr>
          <w:p w14:paraId="4248A5AE">
            <w:pPr>
              <w:pStyle w:val="12"/>
              <w:wordWrap w:val="0"/>
              <w:spacing w:line="240" w:lineRule="auto"/>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每季检查所有手动报警按钮是否遗漏、损坏、遮挡，测试所有手动报警按钮报警功能</w:t>
            </w:r>
          </w:p>
        </w:tc>
        <w:tc>
          <w:tcPr>
            <w:tcW w:w="3027" w:type="dxa"/>
            <w:tcBorders>
              <w:top w:val="single" w:color="000000" w:sz="4" w:space="0"/>
              <w:left w:val="single" w:color="000000" w:sz="4" w:space="0"/>
              <w:bottom w:val="single" w:color="000000" w:sz="4" w:space="0"/>
              <w:right w:val="single" w:color="000000" w:sz="4" w:space="0"/>
            </w:tcBorders>
            <w:noWrap w:val="0"/>
            <w:vAlign w:val="center"/>
          </w:tcPr>
          <w:p w14:paraId="7F658417">
            <w:pPr>
              <w:pStyle w:val="12"/>
              <w:wordWrap w:val="0"/>
              <w:spacing w:line="240" w:lineRule="auto"/>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手动报警按钮无缺漏、损坏或遮挡，手动报警按钮动作灵敏、报警准确</w:t>
            </w:r>
          </w:p>
        </w:tc>
        <w:tc>
          <w:tcPr>
            <w:tcW w:w="2973" w:type="dxa"/>
            <w:tcBorders>
              <w:top w:val="single" w:color="000000" w:sz="4" w:space="0"/>
              <w:left w:val="single" w:color="000000" w:sz="4" w:space="0"/>
              <w:bottom w:val="single" w:color="000000" w:sz="4" w:space="0"/>
              <w:right w:val="single" w:color="000000" w:sz="4" w:space="0"/>
            </w:tcBorders>
            <w:noWrap w:val="0"/>
            <w:vAlign w:val="center"/>
          </w:tcPr>
          <w:p w14:paraId="05C35038">
            <w:pPr>
              <w:pStyle w:val="12"/>
              <w:wordWrap w:val="0"/>
              <w:spacing w:line="240" w:lineRule="auto"/>
              <w:jc w:val="left"/>
              <w:rPr>
                <w:rFonts w:hint="eastAsia" w:ascii="宋体" w:hAnsi="宋体" w:eastAsia="宋体" w:cs="宋体"/>
                <w:color w:val="auto"/>
                <w:sz w:val="24"/>
                <w:szCs w:val="24"/>
                <w:highlight w:val="none"/>
              </w:rPr>
            </w:pPr>
            <w:r>
              <w:rPr>
                <w:rFonts w:hint="eastAsia" w:ascii="宋体" w:hAnsi="宋体" w:eastAsia="宋体" w:cs="宋体"/>
                <w:color w:val="auto"/>
                <w:kern w:val="2"/>
                <w:sz w:val="24"/>
                <w:szCs w:val="24"/>
                <w:highlight w:val="none"/>
                <w:lang w:val="en-US" w:eastAsia="zh-CN" w:bidi="ar-SA"/>
              </w:rPr>
              <w:t>任一处未达标准，扣考核评分0.5分，并扣除服务费100元。</w:t>
            </w:r>
          </w:p>
        </w:tc>
      </w:tr>
      <w:tr w14:paraId="3F54BF53">
        <w:tblPrEx>
          <w:tblCellMar>
            <w:top w:w="15" w:type="dxa"/>
            <w:left w:w="15" w:type="dxa"/>
            <w:bottom w:w="15" w:type="dxa"/>
            <w:right w:w="15" w:type="dxa"/>
          </w:tblCellMar>
        </w:tblPrEx>
        <w:trPr>
          <w:trHeight w:val="1020" w:hRule="atLeast"/>
          <w:jc w:val="center"/>
        </w:trPr>
        <w:tc>
          <w:tcPr>
            <w:tcW w:w="746" w:type="dxa"/>
            <w:tcBorders>
              <w:top w:val="single" w:color="000000" w:sz="4" w:space="0"/>
              <w:left w:val="single" w:color="000000" w:sz="4" w:space="0"/>
              <w:bottom w:val="single" w:color="000000" w:sz="4" w:space="0"/>
              <w:right w:val="single" w:color="000000" w:sz="4" w:space="0"/>
            </w:tcBorders>
            <w:noWrap w:val="0"/>
            <w:vAlign w:val="center"/>
          </w:tcPr>
          <w:p w14:paraId="1D98C8FD">
            <w:pPr>
              <w:pStyle w:val="12"/>
              <w:wordWrap w:val="0"/>
              <w:spacing w:line="240" w:lineRule="auto"/>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5</w:t>
            </w:r>
          </w:p>
        </w:tc>
        <w:tc>
          <w:tcPr>
            <w:tcW w:w="2857" w:type="dxa"/>
            <w:tcBorders>
              <w:top w:val="single" w:color="000000" w:sz="4" w:space="0"/>
              <w:left w:val="single" w:color="000000" w:sz="4" w:space="0"/>
              <w:bottom w:val="single" w:color="000000" w:sz="4" w:space="0"/>
              <w:right w:val="single" w:color="000000" w:sz="4" w:space="0"/>
            </w:tcBorders>
            <w:noWrap w:val="0"/>
            <w:vAlign w:val="center"/>
          </w:tcPr>
          <w:p w14:paraId="20F48C31">
            <w:pPr>
              <w:pStyle w:val="12"/>
              <w:wordWrap w:val="0"/>
              <w:spacing w:line="240" w:lineRule="auto"/>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每季对备用电源进行1-2次冲放电试验、1次主备电源切换试验</w:t>
            </w:r>
          </w:p>
        </w:tc>
        <w:tc>
          <w:tcPr>
            <w:tcW w:w="3027" w:type="dxa"/>
            <w:tcBorders>
              <w:top w:val="single" w:color="000000" w:sz="4" w:space="0"/>
              <w:left w:val="single" w:color="000000" w:sz="4" w:space="0"/>
              <w:bottom w:val="single" w:color="000000" w:sz="4" w:space="0"/>
              <w:right w:val="single" w:color="000000" w:sz="4" w:space="0"/>
            </w:tcBorders>
            <w:noWrap w:val="0"/>
            <w:vAlign w:val="center"/>
          </w:tcPr>
          <w:p w14:paraId="4FEE196F">
            <w:pPr>
              <w:pStyle w:val="12"/>
              <w:wordWrap w:val="0"/>
              <w:spacing w:line="240" w:lineRule="auto"/>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主、备电源自动切换功能正常</w:t>
            </w:r>
          </w:p>
        </w:tc>
        <w:tc>
          <w:tcPr>
            <w:tcW w:w="2973" w:type="dxa"/>
            <w:tcBorders>
              <w:top w:val="single" w:color="000000" w:sz="4" w:space="0"/>
              <w:left w:val="single" w:color="000000" w:sz="4" w:space="0"/>
              <w:bottom w:val="single" w:color="000000" w:sz="4" w:space="0"/>
              <w:right w:val="single" w:color="000000" w:sz="4" w:space="0"/>
            </w:tcBorders>
            <w:noWrap w:val="0"/>
            <w:vAlign w:val="center"/>
          </w:tcPr>
          <w:p w14:paraId="7D90172E">
            <w:pPr>
              <w:pStyle w:val="12"/>
              <w:wordWrap w:val="0"/>
              <w:spacing w:line="240" w:lineRule="auto"/>
              <w:jc w:val="left"/>
              <w:rPr>
                <w:rFonts w:hint="eastAsia" w:ascii="宋体" w:hAnsi="宋体" w:eastAsia="宋体" w:cs="宋体"/>
                <w:color w:val="auto"/>
                <w:sz w:val="24"/>
                <w:szCs w:val="24"/>
                <w:highlight w:val="none"/>
              </w:rPr>
            </w:pPr>
            <w:r>
              <w:rPr>
                <w:rFonts w:hint="eastAsia" w:ascii="宋体" w:hAnsi="宋体" w:eastAsia="宋体" w:cs="宋体"/>
                <w:color w:val="auto"/>
                <w:kern w:val="2"/>
                <w:sz w:val="24"/>
                <w:szCs w:val="24"/>
                <w:highlight w:val="none"/>
                <w:lang w:val="en-US" w:eastAsia="zh-CN" w:bidi="ar-SA"/>
              </w:rPr>
              <w:t>任一处未达标准，扣考核评分1分，并扣除服务费200元。</w:t>
            </w:r>
          </w:p>
        </w:tc>
      </w:tr>
      <w:tr w14:paraId="4797DF9A">
        <w:tblPrEx>
          <w:tblCellMar>
            <w:top w:w="15" w:type="dxa"/>
            <w:left w:w="15" w:type="dxa"/>
            <w:bottom w:w="15" w:type="dxa"/>
            <w:right w:w="15" w:type="dxa"/>
          </w:tblCellMar>
        </w:tblPrEx>
        <w:trPr>
          <w:trHeight w:val="625" w:hRule="atLeast"/>
          <w:jc w:val="center"/>
        </w:trPr>
        <w:tc>
          <w:tcPr>
            <w:tcW w:w="746" w:type="dxa"/>
            <w:tcBorders>
              <w:top w:val="single" w:color="000000" w:sz="4" w:space="0"/>
              <w:left w:val="single" w:color="000000" w:sz="4" w:space="0"/>
              <w:bottom w:val="single" w:color="000000" w:sz="4" w:space="0"/>
              <w:right w:val="single" w:color="000000" w:sz="4" w:space="0"/>
            </w:tcBorders>
            <w:noWrap w:val="0"/>
            <w:vAlign w:val="center"/>
          </w:tcPr>
          <w:p w14:paraId="3CC279DB">
            <w:pPr>
              <w:pStyle w:val="12"/>
              <w:wordWrap w:val="0"/>
              <w:spacing w:line="240" w:lineRule="auto"/>
              <w:jc w:val="center"/>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6</w:t>
            </w:r>
          </w:p>
        </w:tc>
        <w:tc>
          <w:tcPr>
            <w:tcW w:w="2857" w:type="dxa"/>
            <w:tcBorders>
              <w:top w:val="single" w:color="000000" w:sz="4" w:space="0"/>
              <w:left w:val="single" w:color="000000" w:sz="4" w:space="0"/>
              <w:bottom w:val="single" w:color="000000" w:sz="4" w:space="0"/>
              <w:right w:val="single" w:color="000000" w:sz="4" w:space="0"/>
            </w:tcBorders>
            <w:noWrap w:val="0"/>
            <w:vAlign w:val="center"/>
          </w:tcPr>
          <w:p w14:paraId="47337CFE">
            <w:pPr>
              <w:pStyle w:val="12"/>
              <w:wordWrap w:val="0"/>
              <w:spacing w:line="240" w:lineRule="auto"/>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每季检查消防主机所有接线端子是否松动、破损和脱落</w:t>
            </w:r>
          </w:p>
        </w:tc>
        <w:tc>
          <w:tcPr>
            <w:tcW w:w="3027" w:type="dxa"/>
            <w:tcBorders>
              <w:top w:val="single" w:color="000000" w:sz="4" w:space="0"/>
              <w:left w:val="single" w:color="000000" w:sz="4" w:space="0"/>
              <w:bottom w:val="single" w:color="000000" w:sz="4" w:space="0"/>
              <w:right w:val="single" w:color="000000" w:sz="4" w:space="0"/>
            </w:tcBorders>
            <w:noWrap w:val="0"/>
            <w:vAlign w:val="center"/>
          </w:tcPr>
          <w:p w14:paraId="30CD8474">
            <w:pPr>
              <w:pStyle w:val="12"/>
              <w:wordWrap w:val="0"/>
              <w:spacing w:line="240" w:lineRule="auto"/>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主机设备的所有接线牢固，无松动、破损和脱落</w:t>
            </w:r>
          </w:p>
        </w:tc>
        <w:tc>
          <w:tcPr>
            <w:tcW w:w="2973" w:type="dxa"/>
            <w:tcBorders>
              <w:top w:val="single" w:color="000000" w:sz="4" w:space="0"/>
              <w:left w:val="single" w:color="000000" w:sz="4" w:space="0"/>
              <w:bottom w:val="single" w:color="000000" w:sz="4" w:space="0"/>
              <w:right w:val="single" w:color="000000" w:sz="4" w:space="0"/>
            </w:tcBorders>
            <w:noWrap w:val="0"/>
            <w:vAlign w:val="center"/>
          </w:tcPr>
          <w:p w14:paraId="2EFABB05">
            <w:pPr>
              <w:pStyle w:val="12"/>
              <w:wordWrap w:val="0"/>
              <w:spacing w:line="240" w:lineRule="auto"/>
              <w:jc w:val="left"/>
              <w:rPr>
                <w:rFonts w:hint="eastAsia" w:ascii="宋体" w:hAnsi="宋体" w:eastAsia="宋体" w:cs="宋体"/>
                <w:color w:val="auto"/>
                <w:sz w:val="24"/>
                <w:szCs w:val="24"/>
                <w:highlight w:val="none"/>
              </w:rPr>
            </w:pPr>
            <w:r>
              <w:rPr>
                <w:rFonts w:hint="eastAsia" w:ascii="宋体" w:hAnsi="宋体" w:eastAsia="宋体" w:cs="宋体"/>
                <w:color w:val="auto"/>
                <w:kern w:val="2"/>
                <w:sz w:val="24"/>
                <w:szCs w:val="24"/>
                <w:highlight w:val="none"/>
                <w:lang w:val="en-US" w:eastAsia="zh-CN" w:bidi="ar-SA"/>
              </w:rPr>
              <w:t>任一处未达标准，扣考核评分1分，并扣除服务费200元。</w:t>
            </w:r>
          </w:p>
        </w:tc>
      </w:tr>
    </w:tbl>
    <w:p w14:paraId="154723C4">
      <w:pPr>
        <w:pStyle w:val="12"/>
        <w:numPr>
          <w:ilvl w:val="0"/>
          <w:numId w:val="0"/>
        </w:numPr>
        <w:wordWrap w:val="0"/>
        <w:spacing w:line="360" w:lineRule="auto"/>
        <w:rPr>
          <w:rFonts w:hint="eastAsia" w:ascii="宋体" w:hAnsi="宋体" w:eastAsia="宋体" w:cs="宋体"/>
          <w:color w:val="auto"/>
          <w:sz w:val="24"/>
          <w:szCs w:val="24"/>
          <w:highlight w:val="none"/>
        </w:rPr>
      </w:pPr>
      <w:r>
        <w:rPr>
          <w:rFonts w:hint="eastAsia" w:ascii="宋体" w:hAnsi="宋体" w:eastAsia="宋体" w:cs="宋体"/>
          <w:color w:val="auto"/>
          <w:kern w:val="2"/>
          <w:sz w:val="24"/>
          <w:szCs w:val="24"/>
          <w:highlight w:val="none"/>
          <w:lang w:val="en-US" w:eastAsia="zh-CN" w:bidi="ar-SA"/>
        </w:rPr>
        <w:t>2.</w:t>
      </w:r>
      <w:r>
        <w:rPr>
          <w:rFonts w:hint="eastAsia" w:ascii="宋体" w:hAnsi="宋体" w:eastAsia="宋体" w:cs="宋体"/>
          <w:color w:val="auto"/>
          <w:sz w:val="24"/>
          <w:szCs w:val="24"/>
          <w:highlight w:val="none"/>
        </w:rPr>
        <w:t>自动喷</w:t>
      </w:r>
      <w:r>
        <w:rPr>
          <w:rFonts w:hint="eastAsia" w:ascii="宋体" w:hAnsi="宋体" w:eastAsia="宋体" w:cs="宋体"/>
          <w:color w:val="auto"/>
          <w:sz w:val="24"/>
          <w:szCs w:val="24"/>
          <w:highlight w:val="none"/>
          <w:lang w:eastAsia="zh-CN"/>
        </w:rPr>
        <w:t>水</w:t>
      </w:r>
      <w:r>
        <w:rPr>
          <w:rFonts w:hint="eastAsia" w:ascii="宋体" w:hAnsi="宋体" w:eastAsia="宋体" w:cs="宋体"/>
          <w:color w:val="auto"/>
          <w:sz w:val="24"/>
          <w:szCs w:val="24"/>
          <w:highlight w:val="none"/>
        </w:rPr>
        <w:t>灭火系统</w:t>
      </w:r>
    </w:p>
    <w:tbl>
      <w:tblPr>
        <w:tblStyle w:val="20"/>
        <w:tblW w:w="9585" w:type="dxa"/>
        <w:tblInd w:w="-549" w:type="dxa"/>
        <w:tblLayout w:type="fixed"/>
        <w:tblCellMar>
          <w:top w:w="15" w:type="dxa"/>
          <w:left w:w="15" w:type="dxa"/>
          <w:bottom w:w="15" w:type="dxa"/>
          <w:right w:w="15" w:type="dxa"/>
        </w:tblCellMar>
      </w:tblPr>
      <w:tblGrid>
        <w:gridCol w:w="750"/>
        <w:gridCol w:w="2835"/>
        <w:gridCol w:w="3000"/>
        <w:gridCol w:w="3000"/>
      </w:tblGrid>
      <w:tr w14:paraId="1580E9D2">
        <w:tblPrEx>
          <w:tblCellMar>
            <w:top w:w="15" w:type="dxa"/>
            <w:left w:w="15" w:type="dxa"/>
            <w:bottom w:w="15" w:type="dxa"/>
            <w:right w:w="15" w:type="dxa"/>
          </w:tblCellMar>
        </w:tblPrEx>
        <w:trPr>
          <w:trHeight w:val="360" w:hRule="atLeast"/>
        </w:trPr>
        <w:tc>
          <w:tcPr>
            <w:tcW w:w="750" w:type="dxa"/>
            <w:tcBorders>
              <w:top w:val="single" w:color="000000" w:sz="4" w:space="0"/>
              <w:left w:val="single" w:color="000000" w:sz="4" w:space="0"/>
              <w:bottom w:val="single" w:color="000000" w:sz="4" w:space="0"/>
              <w:right w:val="single" w:color="000000" w:sz="4" w:space="0"/>
            </w:tcBorders>
            <w:noWrap w:val="0"/>
            <w:vAlign w:val="center"/>
          </w:tcPr>
          <w:p w14:paraId="75A52999">
            <w:pPr>
              <w:pStyle w:val="12"/>
              <w:wordWrap w:val="0"/>
              <w:spacing w:line="360" w:lineRule="auto"/>
              <w:jc w:val="center"/>
              <w:rPr>
                <w:rFonts w:hint="eastAsia" w:ascii="宋体" w:hAnsi="宋体" w:eastAsia="宋体" w:cs="宋体"/>
                <w:b/>
                <w:bCs/>
                <w:color w:val="auto"/>
                <w:kern w:val="2"/>
                <w:sz w:val="24"/>
                <w:szCs w:val="24"/>
                <w:highlight w:val="none"/>
                <w:lang w:val="en-US" w:eastAsia="zh-CN" w:bidi="ar-SA"/>
              </w:rPr>
            </w:pPr>
            <w:r>
              <w:rPr>
                <w:rFonts w:hint="eastAsia" w:ascii="宋体" w:hAnsi="宋体" w:eastAsia="宋体" w:cs="宋体"/>
                <w:b/>
                <w:bCs/>
                <w:color w:val="auto"/>
                <w:kern w:val="2"/>
                <w:sz w:val="24"/>
                <w:szCs w:val="24"/>
                <w:highlight w:val="none"/>
                <w:lang w:val="en-US" w:eastAsia="zh-CN" w:bidi="ar-SA"/>
              </w:rPr>
              <w:t>序号</w:t>
            </w:r>
          </w:p>
        </w:tc>
        <w:tc>
          <w:tcPr>
            <w:tcW w:w="2835" w:type="dxa"/>
            <w:tcBorders>
              <w:top w:val="single" w:color="000000" w:sz="4" w:space="0"/>
              <w:left w:val="single" w:color="000000" w:sz="4" w:space="0"/>
              <w:bottom w:val="single" w:color="000000" w:sz="4" w:space="0"/>
              <w:right w:val="single" w:color="000000" w:sz="4" w:space="0"/>
            </w:tcBorders>
            <w:noWrap w:val="0"/>
            <w:vAlign w:val="center"/>
          </w:tcPr>
          <w:p w14:paraId="320AD83E">
            <w:pPr>
              <w:pStyle w:val="12"/>
              <w:wordWrap w:val="0"/>
              <w:spacing w:line="360" w:lineRule="auto"/>
              <w:jc w:val="center"/>
              <w:rPr>
                <w:rFonts w:hint="eastAsia" w:ascii="宋体" w:hAnsi="宋体" w:eastAsia="宋体" w:cs="宋体"/>
                <w:b/>
                <w:bCs/>
                <w:color w:val="auto"/>
                <w:kern w:val="2"/>
                <w:sz w:val="24"/>
                <w:szCs w:val="24"/>
                <w:highlight w:val="none"/>
                <w:lang w:val="en-US" w:eastAsia="zh-CN" w:bidi="ar-SA"/>
              </w:rPr>
            </w:pPr>
            <w:r>
              <w:rPr>
                <w:rFonts w:hint="eastAsia" w:ascii="宋体" w:hAnsi="宋体" w:eastAsia="宋体" w:cs="宋体"/>
                <w:b/>
                <w:bCs/>
                <w:color w:val="auto"/>
                <w:kern w:val="2"/>
                <w:sz w:val="24"/>
                <w:szCs w:val="24"/>
                <w:highlight w:val="none"/>
                <w:lang w:val="en-US" w:eastAsia="zh-CN" w:bidi="ar-SA"/>
              </w:rPr>
              <w:t>维护保养工作内容</w:t>
            </w:r>
          </w:p>
        </w:tc>
        <w:tc>
          <w:tcPr>
            <w:tcW w:w="3000" w:type="dxa"/>
            <w:tcBorders>
              <w:top w:val="single" w:color="000000" w:sz="4" w:space="0"/>
              <w:left w:val="single" w:color="000000" w:sz="4" w:space="0"/>
              <w:bottom w:val="single" w:color="000000" w:sz="4" w:space="0"/>
              <w:right w:val="single" w:color="000000" w:sz="4" w:space="0"/>
            </w:tcBorders>
            <w:noWrap w:val="0"/>
            <w:vAlign w:val="center"/>
          </w:tcPr>
          <w:p w14:paraId="0BB1FDF2">
            <w:pPr>
              <w:pStyle w:val="12"/>
              <w:wordWrap w:val="0"/>
              <w:spacing w:line="360" w:lineRule="auto"/>
              <w:jc w:val="center"/>
              <w:rPr>
                <w:rFonts w:hint="eastAsia" w:ascii="宋体" w:hAnsi="宋体" w:eastAsia="宋体" w:cs="宋体"/>
                <w:b/>
                <w:bCs/>
                <w:color w:val="auto"/>
                <w:kern w:val="2"/>
                <w:sz w:val="24"/>
                <w:szCs w:val="24"/>
                <w:highlight w:val="none"/>
                <w:lang w:val="en-US" w:eastAsia="zh-CN" w:bidi="ar-SA"/>
              </w:rPr>
            </w:pPr>
            <w:r>
              <w:rPr>
                <w:rFonts w:hint="eastAsia" w:ascii="宋体" w:hAnsi="宋体" w:eastAsia="宋体" w:cs="宋体"/>
                <w:b/>
                <w:bCs/>
                <w:color w:val="auto"/>
                <w:kern w:val="2"/>
                <w:sz w:val="24"/>
                <w:szCs w:val="24"/>
                <w:highlight w:val="none"/>
                <w:lang w:val="en-US" w:eastAsia="zh-CN" w:bidi="ar-SA"/>
              </w:rPr>
              <w:t>维护保养标准</w:t>
            </w:r>
          </w:p>
        </w:tc>
        <w:tc>
          <w:tcPr>
            <w:tcW w:w="3000" w:type="dxa"/>
            <w:tcBorders>
              <w:top w:val="single" w:color="000000" w:sz="4" w:space="0"/>
              <w:left w:val="single" w:color="000000" w:sz="4" w:space="0"/>
              <w:bottom w:val="single" w:color="000000" w:sz="4" w:space="0"/>
              <w:right w:val="single" w:color="000000" w:sz="4" w:space="0"/>
            </w:tcBorders>
            <w:noWrap w:val="0"/>
            <w:vAlign w:val="center"/>
          </w:tcPr>
          <w:p w14:paraId="1D0D02F2">
            <w:pPr>
              <w:pStyle w:val="12"/>
              <w:wordWrap w:val="0"/>
              <w:spacing w:line="360" w:lineRule="auto"/>
              <w:jc w:val="center"/>
              <w:rPr>
                <w:rFonts w:hint="eastAsia" w:ascii="宋体" w:hAnsi="宋体" w:eastAsia="宋体" w:cs="宋体"/>
                <w:color w:val="auto"/>
                <w:sz w:val="24"/>
                <w:szCs w:val="24"/>
                <w:highlight w:val="none"/>
              </w:rPr>
            </w:pPr>
            <w:r>
              <w:rPr>
                <w:rFonts w:hint="eastAsia" w:ascii="宋体" w:hAnsi="宋体" w:eastAsia="宋体" w:cs="宋体"/>
                <w:b/>
                <w:bCs/>
                <w:color w:val="auto"/>
                <w:kern w:val="2"/>
                <w:sz w:val="24"/>
                <w:szCs w:val="24"/>
                <w:highlight w:val="none"/>
                <w:lang w:val="en-US" w:eastAsia="zh-CN" w:bidi="ar-SA"/>
              </w:rPr>
              <w:t>扣分标准</w:t>
            </w:r>
          </w:p>
        </w:tc>
      </w:tr>
      <w:tr w14:paraId="558FE165">
        <w:tblPrEx>
          <w:tblCellMar>
            <w:top w:w="15" w:type="dxa"/>
            <w:left w:w="15" w:type="dxa"/>
            <w:bottom w:w="15" w:type="dxa"/>
            <w:right w:w="15" w:type="dxa"/>
          </w:tblCellMar>
        </w:tblPrEx>
        <w:trPr>
          <w:trHeight w:val="542" w:hRule="atLeast"/>
        </w:trPr>
        <w:tc>
          <w:tcPr>
            <w:tcW w:w="750" w:type="dxa"/>
            <w:tcBorders>
              <w:top w:val="single" w:color="000000" w:sz="4" w:space="0"/>
              <w:left w:val="single" w:color="000000" w:sz="4" w:space="0"/>
              <w:bottom w:val="single" w:color="000000" w:sz="4" w:space="0"/>
              <w:right w:val="single" w:color="000000" w:sz="4" w:space="0"/>
            </w:tcBorders>
            <w:noWrap w:val="0"/>
            <w:vAlign w:val="center"/>
          </w:tcPr>
          <w:p w14:paraId="0EB37527">
            <w:pPr>
              <w:pStyle w:val="12"/>
              <w:wordWrap w:val="0"/>
              <w:spacing w:line="240" w:lineRule="auto"/>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w:t>
            </w:r>
          </w:p>
        </w:tc>
        <w:tc>
          <w:tcPr>
            <w:tcW w:w="2835" w:type="dxa"/>
            <w:tcBorders>
              <w:top w:val="single" w:color="000000" w:sz="4" w:space="0"/>
              <w:left w:val="single" w:color="000000" w:sz="4" w:space="0"/>
              <w:bottom w:val="single" w:color="000000" w:sz="4" w:space="0"/>
              <w:right w:val="single" w:color="000000" w:sz="4" w:space="0"/>
            </w:tcBorders>
            <w:noWrap w:val="0"/>
            <w:vAlign w:val="center"/>
          </w:tcPr>
          <w:p w14:paraId="2B10C1B2">
            <w:pPr>
              <w:pStyle w:val="12"/>
              <w:wordWrap w:val="0"/>
              <w:spacing w:line="240" w:lineRule="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每月检查喷淋头是否完好</w:t>
            </w:r>
          </w:p>
        </w:tc>
        <w:tc>
          <w:tcPr>
            <w:tcW w:w="3000" w:type="dxa"/>
            <w:tcBorders>
              <w:top w:val="single" w:color="000000" w:sz="4" w:space="0"/>
              <w:bottom w:val="single" w:color="000000" w:sz="4" w:space="0"/>
              <w:right w:val="single" w:color="000000" w:sz="4" w:space="0"/>
            </w:tcBorders>
            <w:noWrap w:val="0"/>
            <w:vAlign w:val="center"/>
          </w:tcPr>
          <w:p w14:paraId="21EA1901">
            <w:pPr>
              <w:pStyle w:val="12"/>
              <w:wordWrap w:val="0"/>
              <w:spacing w:line="240" w:lineRule="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喷淋头完好，无滴漏</w:t>
            </w:r>
          </w:p>
        </w:tc>
        <w:tc>
          <w:tcPr>
            <w:tcW w:w="3000" w:type="dxa"/>
            <w:tcBorders>
              <w:top w:val="single" w:color="000000" w:sz="4" w:space="0"/>
              <w:bottom w:val="single" w:color="000000" w:sz="4" w:space="0"/>
              <w:right w:val="single" w:color="000000" w:sz="4" w:space="0"/>
            </w:tcBorders>
            <w:noWrap w:val="0"/>
            <w:vAlign w:val="center"/>
          </w:tcPr>
          <w:p w14:paraId="554952B7">
            <w:pPr>
              <w:pStyle w:val="12"/>
              <w:wordWrap w:val="0"/>
              <w:spacing w:line="240" w:lineRule="auto"/>
              <w:rPr>
                <w:rFonts w:hint="eastAsia" w:ascii="宋体" w:hAnsi="宋体" w:eastAsia="宋体" w:cs="宋体"/>
                <w:color w:val="auto"/>
                <w:sz w:val="24"/>
                <w:szCs w:val="24"/>
                <w:highlight w:val="none"/>
              </w:rPr>
            </w:pPr>
            <w:r>
              <w:rPr>
                <w:rFonts w:hint="eastAsia" w:ascii="宋体" w:hAnsi="宋体" w:eastAsia="宋体" w:cs="宋体"/>
                <w:color w:val="auto"/>
                <w:kern w:val="2"/>
                <w:sz w:val="24"/>
                <w:szCs w:val="24"/>
                <w:highlight w:val="none"/>
                <w:lang w:val="en-US" w:eastAsia="zh-CN" w:bidi="ar-SA"/>
              </w:rPr>
              <w:t>任一处未达标准，扣考核评分0.5分，并扣除服务费100元。</w:t>
            </w:r>
          </w:p>
        </w:tc>
      </w:tr>
      <w:tr w14:paraId="7EFCCCFA">
        <w:tblPrEx>
          <w:tblCellMar>
            <w:top w:w="15" w:type="dxa"/>
            <w:left w:w="15" w:type="dxa"/>
            <w:bottom w:w="15" w:type="dxa"/>
            <w:right w:w="15" w:type="dxa"/>
          </w:tblCellMar>
        </w:tblPrEx>
        <w:trPr>
          <w:trHeight w:val="1278" w:hRule="atLeast"/>
        </w:trPr>
        <w:tc>
          <w:tcPr>
            <w:tcW w:w="750" w:type="dxa"/>
            <w:tcBorders>
              <w:top w:val="single" w:color="000000" w:sz="4" w:space="0"/>
              <w:left w:val="single" w:color="000000" w:sz="4" w:space="0"/>
              <w:bottom w:val="single" w:color="000000" w:sz="4" w:space="0"/>
              <w:right w:val="single" w:color="000000" w:sz="4" w:space="0"/>
            </w:tcBorders>
            <w:noWrap w:val="0"/>
            <w:vAlign w:val="center"/>
          </w:tcPr>
          <w:p w14:paraId="03056DD9">
            <w:pPr>
              <w:pStyle w:val="12"/>
              <w:wordWrap w:val="0"/>
              <w:spacing w:line="240" w:lineRule="auto"/>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w:t>
            </w:r>
          </w:p>
        </w:tc>
        <w:tc>
          <w:tcPr>
            <w:tcW w:w="2835" w:type="dxa"/>
            <w:tcBorders>
              <w:top w:val="single" w:color="000000" w:sz="4" w:space="0"/>
              <w:left w:val="single" w:color="000000" w:sz="4" w:space="0"/>
              <w:bottom w:val="single" w:color="000000" w:sz="4" w:space="0"/>
              <w:right w:val="single" w:color="000000" w:sz="4" w:space="0"/>
            </w:tcBorders>
            <w:noWrap w:val="0"/>
            <w:vAlign w:val="top"/>
          </w:tcPr>
          <w:p w14:paraId="7BDF6684">
            <w:pPr>
              <w:pStyle w:val="12"/>
              <w:wordWrap w:val="0"/>
              <w:spacing w:line="240" w:lineRule="auto"/>
              <w:jc w:val="both"/>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每月检查报警阀组外观，试验排水阀排水功能，检查压力开关、水力警铃、水流指示器报警功能</w:t>
            </w:r>
          </w:p>
        </w:tc>
        <w:tc>
          <w:tcPr>
            <w:tcW w:w="3000" w:type="dxa"/>
            <w:tcBorders>
              <w:top w:val="single" w:color="000000" w:sz="4" w:space="0"/>
              <w:left w:val="single" w:color="000000" w:sz="4" w:space="0"/>
              <w:bottom w:val="single" w:color="000000" w:sz="4" w:space="0"/>
              <w:right w:val="single" w:color="000000" w:sz="4" w:space="0"/>
            </w:tcBorders>
            <w:noWrap w:val="0"/>
            <w:vAlign w:val="top"/>
          </w:tcPr>
          <w:p w14:paraId="59A89561">
            <w:pPr>
              <w:pStyle w:val="12"/>
              <w:wordWrap w:val="0"/>
              <w:spacing w:line="240" w:lineRule="auto"/>
              <w:jc w:val="both"/>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 xml:space="preserve">报警阀组外观完好，排水功能正常，水力警铃、压力开关、水流指示器动作灵敏，消防控制室报警联动正常  </w:t>
            </w:r>
          </w:p>
        </w:tc>
        <w:tc>
          <w:tcPr>
            <w:tcW w:w="3000" w:type="dxa"/>
            <w:tcBorders>
              <w:top w:val="single" w:color="000000" w:sz="4" w:space="0"/>
              <w:left w:val="single" w:color="000000" w:sz="4" w:space="0"/>
              <w:bottom w:val="single" w:color="000000" w:sz="4" w:space="0"/>
              <w:right w:val="single" w:color="000000" w:sz="4" w:space="0"/>
            </w:tcBorders>
            <w:noWrap w:val="0"/>
            <w:vAlign w:val="center"/>
          </w:tcPr>
          <w:p w14:paraId="256F8B80">
            <w:pPr>
              <w:pStyle w:val="12"/>
              <w:wordWrap w:val="0"/>
              <w:spacing w:line="240" w:lineRule="auto"/>
              <w:rPr>
                <w:rFonts w:hint="eastAsia" w:ascii="宋体" w:hAnsi="宋体" w:eastAsia="宋体" w:cs="宋体"/>
                <w:color w:val="auto"/>
                <w:sz w:val="24"/>
                <w:szCs w:val="24"/>
                <w:highlight w:val="none"/>
              </w:rPr>
            </w:pPr>
            <w:r>
              <w:rPr>
                <w:rFonts w:hint="eastAsia" w:ascii="宋体" w:hAnsi="宋体" w:eastAsia="宋体" w:cs="宋体"/>
                <w:color w:val="auto"/>
                <w:kern w:val="2"/>
                <w:sz w:val="24"/>
                <w:szCs w:val="24"/>
                <w:highlight w:val="none"/>
                <w:lang w:val="en-US" w:eastAsia="zh-CN" w:bidi="ar-SA"/>
              </w:rPr>
              <w:t>任一处未达标准，扣考核评分0.5分，并扣除服务费100元。</w:t>
            </w:r>
          </w:p>
        </w:tc>
      </w:tr>
      <w:tr w14:paraId="727F45C4">
        <w:tblPrEx>
          <w:tblCellMar>
            <w:top w:w="15" w:type="dxa"/>
            <w:left w:w="15" w:type="dxa"/>
            <w:bottom w:w="15" w:type="dxa"/>
            <w:right w:w="15" w:type="dxa"/>
          </w:tblCellMar>
        </w:tblPrEx>
        <w:trPr>
          <w:trHeight w:val="972" w:hRule="atLeast"/>
        </w:trPr>
        <w:tc>
          <w:tcPr>
            <w:tcW w:w="750" w:type="dxa"/>
            <w:tcBorders>
              <w:top w:val="single" w:color="000000" w:sz="4" w:space="0"/>
              <w:left w:val="single" w:color="000000" w:sz="4" w:space="0"/>
              <w:bottom w:val="single" w:color="000000" w:sz="4" w:space="0"/>
              <w:right w:val="single" w:color="000000" w:sz="4" w:space="0"/>
            </w:tcBorders>
            <w:noWrap w:val="0"/>
            <w:vAlign w:val="center"/>
          </w:tcPr>
          <w:p w14:paraId="322C0FFF">
            <w:pPr>
              <w:pStyle w:val="12"/>
              <w:wordWrap w:val="0"/>
              <w:spacing w:line="240" w:lineRule="auto"/>
              <w:ind w:firstLine="480" w:firstLineChars="200"/>
              <w:jc w:val="center"/>
              <w:rPr>
                <w:rFonts w:hint="eastAsia" w:ascii="宋体" w:hAnsi="宋体" w:eastAsia="宋体" w:cs="宋体"/>
                <w:color w:val="auto"/>
                <w:sz w:val="24"/>
                <w:szCs w:val="24"/>
                <w:highlight w:val="none"/>
              </w:rPr>
            </w:pPr>
          </w:p>
          <w:p w14:paraId="7972D36C">
            <w:pPr>
              <w:pStyle w:val="12"/>
              <w:wordWrap w:val="0"/>
              <w:spacing w:line="240" w:lineRule="auto"/>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w:t>
            </w:r>
          </w:p>
        </w:tc>
        <w:tc>
          <w:tcPr>
            <w:tcW w:w="2835" w:type="dxa"/>
            <w:tcBorders>
              <w:top w:val="single" w:color="000000" w:sz="4" w:space="0"/>
              <w:left w:val="single" w:color="000000" w:sz="4" w:space="0"/>
              <w:bottom w:val="single" w:color="000000" w:sz="4" w:space="0"/>
              <w:right w:val="single" w:color="000000" w:sz="4" w:space="0"/>
            </w:tcBorders>
            <w:noWrap w:val="0"/>
            <w:vAlign w:val="center"/>
          </w:tcPr>
          <w:p w14:paraId="39F10FC9">
            <w:pPr>
              <w:pStyle w:val="12"/>
              <w:wordWrap w:val="0"/>
              <w:spacing w:line="240" w:lineRule="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每月</w:t>
            </w:r>
            <w:r>
              <w:rPr>
                <w:rFonts w:hint="eastAsia" w:ascii="宋体" w:hAnsi="宋体" w:eastAsia="宋体" w:cs="宋体"/>
                <w:color w:val="auto"/>
                <w:sz w:val="24"/>
                <w:szCs w:val="24"/>
                <w:highlight w:val="none"/>
                <w:lang w:eastAsia="zh-CN"/>
              </w:rPr>
              <w:t>抽检</w:t>
            </w:r>
            <w:r>
              <w:rPr>
                <w:rFonts w:hint="eastAsia" w:ascii="宋体" w:hAnsi="宋体" w:eastAsia="宋体" w:cs="宋体"/>
                <w:color w:val="auto"/>
                <w:sz w:val="24"/>
                <w:szCs w:val="24"/>
                <w:highlight w:val="none"/>
              </w:rPr>
              <w:t>喷淋管网各个阀门是否处于正常工作状态，阀体是否完好</w:t>
            </w:r>
          </w:p>
        </w:tc>
        <w:tc>
          <w:tcPr>
            <w:tcW w:w="3000" w:type="dxa"/>
            <w:tcBorders>
              <w:top w:val="single" w:color="000000" w:sz="4" w:space="0"/>
              <w:left w:val="single" w:color="000000" w:sz="4" w:space="0"/>
              <w:bottom w:val="single" w:color="000000" w:sz="4" w:space="0"/>
              <w:right w:val="single" w:color="000000" w:sz="4" w:space="0"/>
            </w:tcBorders>
            <w:noWrap w:val="0"/>
            <w:vAlign w:val="center"/>
          </w:tcPr>
          <w:p w14:paraId="18CC3520">
            <w:pPr>
              <w:pStyle w:val="12"/>
              <w:wordWrap w:val="0"/>
              <w:spacing w:line="240" w:lineRule="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各阀门在正常开关位置，阀体无损坏</w:t>
            </w:r>
          </w:p>
        </w:tc>
        <w:tc>
          <w:tcPr>
            <w:tcW w:w="3000" w:type="dxa"/>
            <w:tcBorders>
              <w:top w:val="single" w:color="000000" w:sz="4" w:space="0"/>
              <w:left w:val="single" w:color="000000" w:sz="4" w:space="0"/>
              <w:bottom w:val="single" w:color="000000" w:sz="4" w:space="0"/>
              <w:right w:val="single" w:color="000000" w:sz="4" w:space="0"/>
            </w:tcBorders>
            <w:noWrap w:val="0"/>
            <w:vAlign w:val="center"/>
          </w:tcPr>
          <w:p w14:paraId="6AD92B93">
            <w:pPr>
              <w:pStyle w:val="12"/>
              <w:wordWrap w:val="0"/>
              <w:spacing w:line="240" w:lineRule="auto"/>
              <w:rPr>
                <w:rFonts w:hint="eastAsia" w:ascii="宋体" w:hAnsi="宋体" w:eastAsia="宋体" w:cs="宋体"/>
                <w:color w:val="auto"/>
                <w:sz w:val="24"/>
                <w:szCs w:val="24"/>
                <w:highlight w:val="none"/>
              </w:rPr>
            </w:pPr>
            <w:r>
              <w:rPr>
                <w:rFonts w:hint="eastAsia" w:ascii="宋体" w:hAnsi="宋体" w:eastAsia="宋体" w:cs="宋体"/>
                <w:color w:val="auto"/>
                <w:kern w:val="2"/>
                <w:sz w:val="24"/>
                <w:szCs w:val="24"/>
                <w:highlight w:val="none"/>
                <w:lang w:val="en-US" w:eastAsia="zh-CN" w:bidi="ar-SA"/>
              </w:rPr>
              <w:t>任一处未达标准，扣考核评分0.5分，并扣除服务费100元。</w:t>
            </w:r>
          </w:p>
        </w:tc>
      </w:tr>
      <w:tr w14:paraId="2C24B308">
        <w:tblPrEx>
          <w:tblCellMar>
            <w:top w:w="15" w:type="dxa"/>
            <w:left w:w="15" w:type="dxa"/>
            <w:bottom w:w="15" w:type="dxa"/>
            <w:right w:w="15" w:type="dxa"/>
          </w:tblCellMar>
        </w:tblPrEx>
        <w:trPr>
          <w:trHeight w:val="894" w:hRule="atLeast"/>
        </w:trPr>
        <w:tc>
          <w:tcPr>
            <w:tcW w:w="750" w:type="dxa"/>
            <w:tcBorders>
              <w:top w:val="single" w:color="000000" w:sz="4" w:space="0"/>
              <w:left w:val="single" w:color="000000" w:sz="4" w:space="0"/>
              <w:bottom w:val="single" w:color="000000" w:sz="4" w:space="0"/>
              <w:right w:val="single" w:color="000000" w:sz="4" w:space="0"/>
            </w:tcBorders>
            <w:noWrap w:val="0"/>
            <w:vAlign w:val="center"/>
          </w:tcPr>
          <w:p w14:paraId="5A9B9477">
            <w:pPr>
              <w:pStyle w:val="12"/>
              <w:wordWrap w:val="0"/>
              <w:spacing w:line="240" w:lineRule="auto"/>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4</w:t>
            </w:r>
          </w:p>
        </w:tc>
        <w:tc>
          <w:tcPr>
            <w:tcW w:w="2835" w:type="dxa"/>
            <w:tcBorders>
              <w:top w:val="single" w:color="000000" w:sz="4" w:space="0"/>
              <w:left w:val="single" w:color="000000" w:sz="4" w:space="0"/>
              <w:bottom w:val="single" w:color="000000" w:sz="4" w:space="0"/>
              <w:right w:val="single" w:color="000000" w:sz="4" w:space="0"/>
            </w:tcBorders>
            <w:noWrap w:val="0"/>
            <w:vAlign w:val="center"/>
          </w:tcPr>
          <w:p w14:paraId="0FD650A4">
            <w:pPr>
              <w:pStyle w:val="12"/>
              <w:wordWrap w:val="0"/>
              <w:spacing w:line="240" w:lineRule="auto"/>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rPr>
              <w:t>每月对喷淋系统管网进行</w:t>
            </w:r>
            <w:r>
              <w:rPr>
                <w:rFonts w:hint="eastAsia" w:ascii="宋体" w:hAnsi="宋体" w:eastAsia="宋体" w:cs="宋体"/>
                <w:color w:val="auto"/>
                <w:sz w:val="24"/>
                <w:szCs w:val="24"/>
                <w:highlight w:val="none"/>
                <w:lang w:eastAsia="zh-CN"/>
              </w:rPr>
              <w:t>抽检</w:t>
            </w:r>
          </w:p>
        </w:tc>
        <w:tc>
          <w:tcPr>
            <w:tcW w:w="3000" w:type="dxa"/>
            <w:tcBorders>
              <w:top w:val="single" w:color="000000" w:sz="4" w:space="0"/>
              <w:left w:val="single" w:color="000000" w:sz="4" w:space="0"/>
              <w:bottom w:val="single" w:color="000000" w:sz="4" w:space="0"/>
              <w:right w:val="single" w:color="000000" w:sz="4" w:space="0"/>
            </w:tcBorders>
            <w:noWrap w:val="0"/>
            <w:vAlign w:val="center"/>
          </w:tcPr>
          <w:p w14:paraId="1B768BB1">
            <w:pPr>
              <w:pStyle w:val="12"/>
              <w:wordWrap w:val="0"/>
              <w:spacing w:line="240" w:lineRule="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喷淋管网外观完好，无变形、无锈蚀和渗透</w:t>
            </w:r>
          </w:p>
        </w:tc>
        <w:tc>
          <w:tcPr>
            <w:tcW w:w="3000" w:type="dxa"/>
            <w:tcBorders>
              <w:top w:val="single" w:color="000000" w:sz="4" w:space="0"/>
              <w:left w:val="single" w:color="000000" w:sz="4" w:space="0"/>
              <w:bottom w:val="single" w:color="000000" w:sz="4" w:space="0"/>
              <w:right w:val="single" w:color="000000" w:sz="4" w:space="0"/>
            </w:tcBorders>
            <w:noWrap w:val="0"/>
            <w:vAlign w:val="center"/>
          </w:tcPr>
          <w:p w14:paraId="5AC9C786">
            <w:pPr>
              <w:pStyle w:val="12"/>
              <w:wordWrap w:val="0"/>
              <w:spacing w:line="240" w:lineRule="auto"/>
              <w:rPr>
                <w:rFonts w:hint="eastAsia" w:ascii="宋体" w:hAnsi="宋体" w:eastAsia="宋体" w:cs="宋体"/>
                <w:color w:val="auto"/>
                <w:sz w:val="24"/>
                <w:szCs w:val="24"/>
                <w:highlight w:val="none"/>
              </w:rPr>
            </w:pPr>
            <w:r>
              <w:rPr>
                <w:rFonts w:hint="eastAsia" w:ascii="宋体" w:hAnsi="宋体" w:eastAsia="宋体" w:cs="宋体"/>
                <w:color w:val="auto"/>
                <w:kern w:val="2"/>
                <w:sz w:val="24"/>
                <w:szCs w:val="24"/>
                <w:highlight w:val="none"/>
                <w:lang w:val="en-US" w:eastAsia="zh-CN" w:bidi="ar-SA"/>
              </w:rPr>
              <w:t>任一处未达标准，扣考核评分0.5分，并扣除服务费100元。</w:t>
            </w:r>
          </w:p>
        </w:tc>
      </w:tr>
      <w:tr w14:paraId="48E6FC47">
        <w:tblPrEx>
          <w:tblCellMar>
            <w:top w:w="15" w:type="dxa"/>
            <w:left w:w="15" w:type="dxa"/>
            <w:bottom w:w="15" w:type="dxa"/>
            <w:right w:w="15" w:type="dxa"/>
          </w:tblCellMar>
        </w:tblPrEx>
        <w:trPr>
          <w:trHeight w:val="739" w:hRule="atLeast"/>
        </w:trPr>
        <w:tc>
          <w:tcPr>
            <w:tcW w:w="750" w:type="dxa"/>
            <w:tcBorders>
              <w:top w:val="single" w:color="000000" w:sz="4" w:space="0"/>
              <w:left w:val="single" w:color="000000" w:sz="4" w:space="0"/>
              <w:bottom w:val="single" w:color="000000" w:sz="4" w:space="0"/>
              <w:right w:val="single" w:color="000000" w:sz="4" w:space="0"/>
            </w:tcBorders>
            <w:noWrap w:val="0"/>
            <w:vAlign w:val="center"/>
          </w:tcPr>
          <w:p w14:paraId="39C1935A">
            <w:pPr>
              <w:pStyle w:val="12"/>
              <w:wordWrap w:val="0"/>
              <w:spacing w:line="240" w:lineRule="auto"/>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5</w:t>
            </w:r>
          </w:p>
        </w:tc>
        <w:tc>
          <w:tcPr>
            <w:tcW w:w="2835" w:type="dxa"/>
            <w:tcBorders>
              <w:top w:val="single" w:color="000000" w:sz="4" w:space="0"/>
              <w:left w:val="single" w:color="000000" w:sz="4" w:space="0"/>
              <w:bottom w:val="single" w:color="000000" w:sz="4" w:space="0"/>
              <w:right w:val="single" w:color="000000" w:sz="4" w:space="0"/>
            </w:tcBorders>
            <w:noWrap w:val="0"/>
            <w:vAlign w:val="center"/>
          </w:tcPr>
          <w:p w14:paraId="53513A42">
            <w:pPr>
              <w:pStyle w:val="12"/>
              <w:wordWrap w:val="0"/>
              <w:spacing w:line="240" w:lineRule="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每季对喷淋管网进行末端放水试验</w:t>
            </w:r>
          </w:p>
        </w:tc>
        <w:tc>
          <w:tcPr>
            <w:tcW w:w="3000" w:type="dxa"/>
            <w:tcBorders>
              <w:top w:val="single" w:color="000000" w:sz="4" w:space="0"/>
              <w:left w:val="single" w:color="000000" w:sz="4" w:space="0"/>
              <w:bottom w:val="single" w:color="000000" w:sz="4" w:space="0"/>
              <w:right w:val="single" w:color="000000" w:sz="4" w:space="0"/>
            </w:tcBorders>
            <w:noWrap w:val="0"/>
            <w:vAlign w:val="center"/>
          </w:tcPr>
          <w:p w14:paraId="2DB2A6D8">
            <w:pPr>
              <w:pStyle w:val="12"/>
              <w:wordWrap w:val="0"/>
              <w:spacing w:line="240" w:lineRule="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试验压力符合规范要求</w:t>
            </w:r>
          </w:p>
        </w:tc>
        <w:tc>
          <w:tcPr>
            <w:tcW w:w="3000" w:type="dxa"/>
            <w:tcBorders>
              <w:top w:val="single" w:color="000000" w:sz="4" w:space="0"/>
              <w:left w:val="single" w:color="000000" w:sz="4" w:space="0"/>
              <w:bottom w:val="single" w:color="000000" w:sz="4" w:space="0"/>
              <w:right w:val="single" w:color="000000" w:sz="4" w:space="0"/>
            </w:tcBorders>
            <w:noWrap w:val="0"/>
            <w:vAlign w:val="center"/>
          </w:tcPr>
          <w:p w14:paraId="68B59393">
            <w:pPr>
              <w:pStyle w:val="12"/>
              <w:wordWrap w:val="0"/>
              <w:spacing w:line="240" w:lineRule="auto"/>
              <w:rPr>
                <w:rFonts w:hint="eastAsia" w:ascii="宋体" w:hAnsi="宋体" w:eastAsia="宋体" w:cs="宋体"/>
                <w:color w:val="auto"/>
                <w:sz w:val="24"/>
                <w:szCs w:val="24"/>
                <w:highlight w:val="none"/>
              </w:rPr>
            </w:pPr>
            <w:r>
              <w:rPr>
                <w:rFonts w:hint="eastAsia" w:ascii="宋体" w:hAnsi="宋体" w:eastAsia="宋体" w:cs="宋体"/>
                <w:color w:val="auto"/>
                <w:kern w:val="2"/>
                <w:sz w:val="24"/>
                <w:szCs w:val="24"/>
                <w:highlight w:val="none"/>
                <w:lang w:val="en-US" w:eastAsia="zh-CN" w:bidi="ar-SA"/>
              </w:rPr>
              <w:t>未达标准，扣考核评分1分，并扣除服务费200元。</w:t>
            </w:r>
          </w:p>
        </w:tc>
      </w:tr>
    </w:tbl>
    <w:p w14:paraId="07FBECB1">
      <w:pPr>
        <w:pStyle w:val="12"/>
        <w:wordWrap w:val="0"/>
        <w:spacing w:line="360" w:lineRule="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w:t>
      </w:r>
      <w:r>
        <w:rPr>
          <w:rFonts w:hint="eastAsia" w:ascii="宋体" w:hAnsi="宋体" w:eastAsia="宋体" w:cs="宋体"/>
          <w:color w:val="auto"/>
          <w:sz w:val="24"/>
          <w:szCs w:val="24"/>
          <w:highlight w:val="none"/>
          <w:lang w:val="en-US" w:eastAsia="zh-CN"/>
        </w:rPr>
        <w:t>.</w:t>
      </w:r>
      <w:r>
        <w:rPr>
          <w:rFonts w:hint="eastAsia" w:ascii="宋体" w:hAnsi="宋体" w:eastAsia="宋体" w:cs="宋体"/>
          <w:color w:val="auto"/>
          <w:sz w:val="24"/>
          <w:szCs w:val="24"/>
          <w:highlight w:val="none"/>
        </w:rPr>
        <w:t>防火分隔系统</w:t>
      </w:r>
    </w:p>
    <w:tbl>
      <w:tblPr>
        <w:tblStyle w:val="20"/>
        <w:tblW w:w="9585" w:type="dxa"/>
        <w:tblInd w:w="-564" w:type="dxa"/>
        <w:tblLayout w:type="fixed"/>
        <w:tblCellMar>
          <w:top w:w="15" w:type="dxa"/>
          <w:left w:w="15" w:type="dxa"/>
          <w:bottom w:w="15" w:type="dxa"/>
          <w:right w:w="15" w:type="dxa"/>
        </w:tblCellMar>
      </w:tblPr>
      <w:tblGrid>
        <w:gridCol w:w="780"/>
        <w:gridCol w:w="2835"/>
        <w:gridCol w:w="2985"/>
        <w:gridCol w:w="2985"/>
      </w:tblGrid>
      <w:tr w14:paraId="304B223E">
        <w:tblPrEx>
          <w:tblCellMar>
            <w:top w:w="15" w:type="dxa"/>
            <w:left w:w="15" w:type="dxa"/>
            <w:bottom w:w="15" w:type="dxa"/>
            <w:right w:w="15" w:type="dxa"/>
          </w:tblCellMar>
        </w:tblPrEx>
        <w:trPr>
          <w:trHeight w:val="489" w:hRule="atLeast"/>
        </w:trPr>
        <w:tc>
          <w:tcPr>
            <w:tcW w:w="780" w:type="dxa"/>
            <w:tcBorders>
              <w:top w:val="single" w:color="000000" w:sz="4" w:space="0"/>
              <w:left w:val="single" w:color="000000" w:sz="4" w:space="0"/>
              <w:bottom w:val="single" w:color="000000" w:sz="4" w:space="0"/>
              <w:right w:val="single" w:color="000000" w:sz="4" w:space="0"/>
            </w:tcBorders>
            <w:noWrap w:val="0"/>
            <w:vAlign w:val="center"/>
          </w:tcPr>
          <w:p w14:paraId="7CA664C1">
            <w:pPr>
              <w:pStyle w:val="12"/>
              <w:wordWrap w:val="0"/>
              <w:spacing w:line="360" w:lineRule="auto"/>
              <w:jc w:val="center"/>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序号</w:t>
            </w:r>
          </w:p>
        </w:tc>
        <w:tc>
          <w:tcPr>
            <w:tcW w:w="2835" w:type="dxa"/>
            <w:tcBorders>
              <w:top w:val="single" w:color="000000" w:sz="4" w:space="0"/>
              <w:left w:val="single" w:color="000000" w:sz="4" w:space="0"/>
              <w:bottom w:val="single" w:color="000000" w:sz="4" w:space="0"/>
              <w:right w:val="single" w:color="000000" w:sz="4" w:space="0"/>
            </w:tcBorders>
            <w:noWrap w:val="0"/>
            <w:vAlign w:val="center"/>
          </w:tcPr>
          <w:p w14:paraId="3975B8F3">
            <w:pPr>
              <w:pStyle w:val="12"/>
              <w:wordWrap w:val="0"/>
              <w:spacing w:line="360" w:lineRule="auto"/>
              <w:jc w:val="center"/>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维护保养工作内容</w:t>
            </w:r>
          </w:p>
        </w:tc>
        <w:tc>
          <w:tcPr>
            <w:tcW w:w="2985" w:type="dxa"/>
            <w:tcBorders>
              <w:top w:val="single" w:color="000000" w:sz="4" w:space="0"/>
              <w:left w:val="single" w:color="000000" w:sz="4" w:space="0"/>
              <w:bottom w:val="single" w:color="000000" w:sz="4" w:space="0"/>
              <w:right w:val="single" w:color="000000" w:sz="4" w:space="0"/>
            </w:tcBorders>
            <w:noWrap w:val="0"/>
            <w:vAlign w:val="center"/>
          </w:tcPr>
          <w:p w14:paraId="4CFBE0DA">
            <w:pPr>
              <w:pStyle w:val="12"/>
              <w:wordWrap w:val="0"/>
              <w:spacing w:line="360" w:lineRule="auto"/>
              <w:jc w:val="center"/>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维护保养标准</w:t>
            </w:r>
          </w:p>
        </w:tc>
        <w:tc>
          <w:tcPr>
            <w:tcW w:w="2985" w:type="dxa"/>
            <w:tcBorders>
              <w:top w:val="single" w:color="000000" w:sz="4" w:space="0"/>
              <w:left w:val="single" w:color="000000" w:sz="4" w:space="0"/>
              <w:bottom w:val="single" w:color="000000" w:sz="4" w:space="0"/>
              <w:right w:val="single" w:color="000000" w:sz="4" w:space="0"/>
            </w:tcBorders>
            <w:noWrap w:val="0"/>
            <w:vAlign w:val="center"/>
          </w:tcPr>
          <w:p w14:paraId="28853B2C">
            <w:pPr>
              <w:pStyle w:val="12"/>
              <w:wordWrap w:val="0"/>
              <w:spacing w:line="360" w:lineRule="auto"/>
              <w:jc w:val="center"/>
              <w:rPr>
                <w:rFonts w:hint="eastAsia" w:ascii="宋体" w:hAnsi="宋体" w:eastAsia="宋体" w:cs="宋体"/>
                <w:b/>
                <w:bCs/>
                <w:color w:val="auto"/>
                <w:sz w:val="24"/>
                <w:szCs w:val="24"/>
                <w:highlight w:val="none"/>
              </w:rPr>
            </w:pPr>
            <w:r>
              <w:rPr>
                <w:rFonts w:hint="eastAsia" w:ascii="宋体" w:hAnsi="宋体" w:eastAsia="宋体" w:cs="宋体"/>
                <w:b/>
                <w:bCs/>
                <w:color w:val="auto"/>
                <w:kern w:val="2"/>
                <w:sz w:val="24"/>
                <w:szCs w:val="24"/>
                <w:highlight w:val="none"/>
                <w:lang w:val="en-US" w:eastAsia="zh-CN" w:bidi="ar-SA"/>
              </w:rPr>
              <w:t>扣分标准</w:t>
            </w:r>
          </w:p>
        </w:tc>
      </w:tr>
      <w:tr w14:paraId="375E2E8F">
        <w:tblPrEx>
          <w:tblCellMar>
            <w:top w:w="15" w:type="dxa"/>
            <w:left w:w="15" w:type="dxa"/>
            <w:bottom w:w="15" w:type="dxa"/>
            <w:right w:w="15" w:type="dxa"/>
          </w:tblCellMar>
        </w:tblPrEx>
        <w:trPr>
          <w:trHeight w:val="1020" w:hRule="atLeast"/>
        </w:trPr>
        <w:tc>
          <w:tcPr>
            <w:tcW w:w="780" w:type="dxa"/>
            <w:tcBorders>
              <w:top w:val="single" w:color="000000" w:sz="4" w:space="0"/>
              <w:left w:val="single" w:color="000000" w:sz="4" w:space="0"/>
              <w:bottom w:val="single" w:color="000000" w:sz="4" w:space="0"/>
              <w:right w:val="single" w:color="000000" w:sz="4" w:space="0"/>
            </w:tcBorders>
            <w:noWrap w:val="0"/>
            <w:vAlign w:val="center"/>
          </w:tcPr>
          <w:p w14:paraId="5D403469">
            <w:pPr>
              <w:pStyle w:val="12"/>
              <w:wordWrap w:val="0"/>
              <w:spacing w:line="360" w:lineRule="auto"/>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w:t>
            </w:r>
          </w:p>
        </w:tc>
        <w:tc>
          <w:tcPr>
            <w:tcW w:w="2835" w:type="dxa"/>
            <w:tcBorders>
              <w:top w:val="single" w:color="000000" w:sz="4" w:space="0"/>
              <w:left w:val="single" w:color="000000" w:sz="4" w:space="0"/>
              <w:bottom w:val="single" w:color="000000" w:sz="4" w:space="0"/>
              <w:right w:val="single" w:color="000000" w:sz="4" w:space="0"/>
            </w:tcBorders>
            <w:noWrap w:val="0"/>
            <w:vAlign w:val="center"/>
          </w:tcPr>
          <w:p w14:paraId="076F1DCB">
            <w:pPr>
              <w:pStyle w:val="12"/>
              <w:wordWrap w:val="0"/>
              <w:spacing w:line="240" w:lineRule="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每年测试所有防火卷帘门烟、温感报警器联动功能</w:t>
            </w:r>
          </w:p>
        </w:tc>
        <w:tc>
          <w:tcPr>
            <w:tcW w:w="2985" w:type="dxa"/>
            <w:tcBorders>
              <w:top w:val="single" w:color="000000" w:sz="4" w:space="0"/>
              <w:left w:val="single" w:color="000000" w:sz="4" w:space="0"/>
              <w:bottom w:val="single" w:color="000000" w:sz="4" w:space="0"/>
              <w:right w:val="single" w:color="000000" w:sz="4" w:space="0"/>
            </w:tcBorders>
            <w:noWrap w:val="0"/>
            <w:vAlign w:val="center"/>
          </w:tcPr>
          <w:p w14:paraId="2EEA68D6">
            <w:pPr>
              <w:pStyle w:val="12"/>
              <w:wordWrap w:val="0"/>
              <w:spacing w:line="240" w:lineRule="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防火卷帘门联动动作正常</w:t>
            </w:r>
          </w:p>
        </w:tc>
        <w:tc>
          <w:tcPr>
            <w:tcW w:w="2985" w:type="dxa"/>
            <w:tcBorders>
              <w:top w:val="single" w:color="000000" w:sz="4" w:space="0"/>
              <w:left w:val="single" w:color="000000" w:sz="4" w:space="0"/>
              <w:bottom w:val="single" w:color="000000" w:sz="4" w:space="0"/>
              <w:right w:val="single" w:color="000000" w:sz="4" w:space="0"/>
            </w:tcBorders>
            <w:noWrap w:val="0"/>
            <w:vAlign w:val="center"/>
          </w:tcPr>
          <w:p w14:paraId="770E2A98">
            <w:pPr>
              <w:pStyle w:val="12"/>
              <w:wordWrap w:val="0"/>
              <w:spacing w:line="240" w:lineRule="auto"/>
              <w:rPr>
                <w:rFonts w:hint="eastAsia" w:ascii="宋体" w:hAnsi="宋体" w:eastAsia="宋体" w:cs="宋体"/>
                <w:color w:val="auto"/>
                <w:sz w:val="24"/>
                <w:szCs w:val="24"/>
                <w:highlight w:val="none"/>
              </w:rPr>
            </w:pPr>
            <w:r>
              <w:rPr>
                <w:rFonts w:hint="eastAsia" w:ascii="宋体" w:hAnsi="宋体" w:eastAsia="宋体" w:cs="宋体"/>
                <w:color w:val="auto"/>
                <w:kern w:val="2"/>
                <w:sz w:val="24"/>
                <w:szCs w:val="24"/>
                <w:highlight w:val="none"/>
                <w:lang w:val="en-US" w:eastAsia="zh-CN" w:bidi="ar-SA"/>
              </w:rPr>
              <w:t>任一处未达标准，扣考核评分1分，并扣除服务费200元。</w:t>
            </w:r>
          </w:p>
        </w:tc>
      </w:tr>
      <w:tr w14:paraId="1BA9434A">
        <w:tblPrEx>
          <w:tblCellMar>
            <w:top w:w="15" w:type="dxa"/>
            <w:left w:w="15" w:type="dxa"/>
            <w:bottom w:w="15" w:type="dxa"/>
            <w:right w:w="15" w:type="dxa"/>
          </w:tblCellMar>
        </w:tblPrEx>
        <w:trPr>
          <w:trHeight w:val="1386" w:hRule="atLeast"/>
        </w:trPr>
        <w:tc>
          <w:tcPr>
            <w:tcW w:w="780" w:type="dxa"/>
            <w:tcBorders>
              <w:top w:val="single" w:color="000000" w:sz="4" w:space="0"/>
              <w:left w:val="single" w:color="000000" w:sz="4" w:space="0"/>
              <w:bottom w:val="single" w:color="000000" w:sz="4" w:space="0"/>
              <w:right w:val="single" w:color="000000" w:sz="4" w:space="0"/>
            </w:tcBorders>
            <w:noWrap w:val="0"/>
            <w:vAlign w:val="center"/>
          </w:tcPr>
          <w:p w14:paraId="753789C1">
            <w:pPr>
              <w:pStyle w:val="12"/>
              <w:wordWrap w:val="0"/>
              <w:spacing w:line="360" w:lineRule="auto"/>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w:t>
            </w:r>
          </w:p>
        </w:tc>
        <w:tc>
          <w:tcPr>
            <w:tcW w:w="2835" w:type="dxa"/>
            <w:tcBorders>
              <w:top w:val="single" w:color="000000" w:sz="4" w:space="0"/>
              <w:left w:val="single" w:color="000000" w:sz="4" w:space="0"/>
              <w:bottom w:val="single" w:color="000000" w:sz="4" w:space="0"/>
              <w:right w:val="single" w:color="000000" w:sz="4" w:space="0"/>
            </w:tcBorders>
            <w:noWrap w:val="0"/>
            <w:vAlign w:val="center"/>
          </w:tcPr>
          <w:p w14:paraId="0EE3A1EE">
            <w:pPr>
              <w:pStyle w:val="12"/>
              <w:wordWrap w:val="0"/>
              <w:spacing w:line="240" w:lineRule="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每</w:t>
            </w:r>
            <w:r>
              <w:rPr>
                <w:rFonts w:hint="eastAsia" w:ascii="宋体" w:hAnsi="宋体" w:eastAsia="宋体" w:cs="宋体"/>
                <w:color w:val="auto"/>
                <w:sz w:val="24"/>
                <w:szCs w:val="24"/>
                <w:highlight w:val="none"/>
                <w:lang w:eastAsia="zh-CN"/>
              </w:rPr>
              <w:t>季</w:t>
            </w:r>
            <w:r>
              <w:rPr>
                <w:rFonts w:hint="eastAsia" w:ascii="宋体" w:hAnsi="宋体" w:eastAsia="宋体" w:cs="宋体"/>
                <w:color w:val="auto"/>
                <w:sz w:val="24"/>
                <w:szCs w:val="24"/>
                <w:highlight w:val="none"/>
              </w:rPr>
              <w:t>检查所有防火卷帘门外观及配件完整性，测试所有防火卷帘门现场手动、远程起降功能是否正常</w:t>
            </w:r>
          </w:p>
        </w:tc>
        <w:tc>
          <w:tcPr>
            <w:tcW w:w="2985" w:type="dxa"/>
            <w:tcBorders>
              <w:top w:val="single" w:color="000000" w:sz="4" w:space="0"/>
              <w:left w:val="single" w:color="000000" w:sz="4" w:space="0"/>
              <w:bottom w:val="single" w:color="000000" w:sz="4" w:space="0"/>
              <w:right w:val="single" w:color="000000" w:sz="4" w:space="0"/>
            </w:tcBorders>
            <w:noWrap w:val="0"/>
            <w:vAlign w:val="center"/>
          </w:tcPr>
          <w:p w14:paraId="32BB3990">
            <w:pPr>
              <w:pStyle w:val="12"/>
              <w:wordWrap w:val="0"/>
              <w:spacing w:line="240" w:lineRule="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防火卷帘外观无破损，现场和远程控制卷帘起、降功能正常，升降平稳，无卡死、停顿现象</w:t>
            </w:r>
          </w:p>
        </w:tc>
        <w:tc>
          <w:tcPr>
            <w:tcW w:w="2985" w:type="dxa"/>
            <w:tcBorders>
              <w:top w:val="single" w:color="000000" w:sz="4" w:space="0"/>
              <w:left w:val="single" w:color="000000" w:sz="4" w:space="0"/>
              <w:bottom w:val="single" w:color="000000" w:sz="4" w:space="0"/>
              <w:right w:val="single" w:color="000000" w:sz="4" w:space="0"/>
            </w:tcBorders>
            <w:noWrap w:val="0"/>
            <w:vAlign w:val="center"/>
          </w:tcPr>
          <w:p w14:paraId="5AE53797">
            <w:pPr>
              <w:pStyle w:val="12"/>
              <w:wordWrap w:val="0"/>
              <w:spacing w:line="240" w:lineRule="auto"/>
              <w:rPr>
                <w:rFonts w:hint="eastAsia" w:ascii="宋体" w:hAnsi="宋体" w:eastAsia="宋体" w:cs="宋体"/>
                <w:color w:val="auto"/>
                <w:sz w:val="24"/>
                <w:szCs w:val="24"/>
                <w:highlight w:val="none"/>
              </w:rPr>
            </w:pPr>
            <w:r>
              <w:rPr>
                <w:rFonts w:hint="eastAsia" w:ascii="宋体" w:hAnsi="宋体" w:eastAsia="宋体" w:cs="宋体"/>
                <w:color w:val="auto"/>
                <w:kern w:val="2"/>
                <w:sz w:val="24"/>
                <w:szCs w:val="24"/>
                <w:highlight w:val="none"/>
                <w:lang w:val="en-US" w:eastAsia="zh-CN" w:bidi="ar-SA"/>
              </w:rPr>
              <w:t>任一处未达标准，扣考核评分1分，并扣除服务费200元。</w:t>
            </w:r>
          </w:p>
        </w:tc>
      </w:tr>
      <w:tr w14:paraId="7A9C1C15">
        <w:tblPrEx>
          <w:tblCellMar>
            <w:top w:w="15" w:type="dxa"/>
            <w:left w:w="15" w:type="dxa"/>
            <w:bottom w:w="15" w:type="dxa"/>
            <w:right w:w="15" w:type="dxa"/>
          </w:tblCellMar>
        </w:tblPrEx>
        <w:trPr>
          <w:trHeight w:val="1096" w:hRule="atLeast"/>
        </w:trPr>
        <w:tc>
          <w:tcPr>
            <w:tcW w:w="780" w:type="dxa"/>
            <w:tcBorders>
              <w:top w:val="single" w:color="000000" w:sz="4" w:space="0"/>
              <w:left w:val="single" w:color="000000" w:sz="4" w:space="0"/>
              <w:bottom w:val="single" w:color="000000" w:sz="4" w:space="0"/>
              <w:right w:val="single" w:color="000000" w:sz="4" w:space="0"/>
            </w:tcBorders>
            <w:noWrap w:val="0"/>
            <w:vAlign w:val="center"/>
          </w:tcPr>
          <w:p w14:paraId="08841DC5">
            <w:pPr>
              <w:pStyle w:val="12"/>
              <w:wordWrap w:val="0"/>
              <w:spacing w:line="360" w:lineRule="auto"/>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w:t>
            </w:r>
          </w:p>
        </w:tc>
        <w:tc>
          <w:tcPr>
            <w:tcW w:w="2835" w:type="dxa"/>
            <w:tcBorders>
              <w:top w:val="single" w:color="000000" w:sz="4" w:space="0"/>
              <w:left w:val="single" w:color="000000" w:sz="4" w:space="0"/>
              <w:bottom w:val="single" w:color="000000" w:sz="4" w:space="0"/>
              <w:right w:val="single" w:color="000000" w:sz="4" w:space="0"/>
            </w:tcBorders>
            <w:noWrap w:val="0"/>
            <w:vAlign w:val="center"/>
          </w:tcPr>
          <w:p w14:paraId="0C1F3F49">
            <w:pPr>
              <w:pStyle w:val="12"/>
              <w:wordWrap w:val="0"/>
              <w:spacing w:line="240" w:lineRule="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每月</w:t>
            </w:r>
            <w:r>
              <w:rPr>
                <w:rFonts w:hint="eastAsia" w:ascii="宋体" w:hAnsi="宋体" w:eastAsia="宋体" w:cs="宋体"/>
                <w:color w:val="auto"/>
                <w:sz w:val="24"/>
                <w:szCs w:val="24"/>
                <w:highlight w:val="none"/>
                <w:lang w:eastAsia="zh-CN"/>
              </w:rPr>
              <w:t>抽检</w:t>
            </w:r>
            <w:r>
              <w:rPr>
                <w:rFonts w:hint="eastAsia" w:ascii="宋体" w:hAnsi="宋体" w:eastAsia="宋体" w:cs="宋体"/>
                <w:color w:val="auto"/>
                <w:sz w:val="24"/>
                <w:szCs w:val="24"/>
                <w:highlight w:val="none"/>
              </w:rPr>
              <w:t>防火疏散门外观及配件完整性、启闭功能及密封性能</w:t>
            </w:r>
          </w:p>
        </w:tc>
        <w:tc>
          <w:tcPr>
            <w:tcW w:w="2985" w:type="dxa"/>
            <w:tcBorders>
              <w:top w:val="single" w:color="000000" w:sz="4" w:space="0"/>
              <w:left w:val="single" w:color="000000" w:sz="4" w:space="0"/>
              <w:bottom w:val="single" w:color="000000" w:sz="4" w:space="0"/>
              <w:right w:val="single" w:color="000000" w:sz="4" w:space="0"/>
            </w:tcBorders>
            <w:noWrap w:val="0"/>
            <w:vAlign w:val="center"/>
          </w:tcPr>
          <w:p w14:paraId="463F9655">
            <w:pPr>
              <w:pStyle w:val="12"/>
              <w:wordWrap w:val="0"/>
              <w:spacing w:line="240" w:lineRule="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外观无破损，开、关正常，密封性能符合要求</w:t>
            </w:r>
          </w:p>
        </w:tc>
        <w:tc>
          <w:tcPr>
            <w:tcW w:w="2985" w:type="dxa"/>
            <w:tcBorders>
              <w:top w:val="single" w:color="000000" w:sz="4" w:space="0"/>
              <w:left w:val="single" w:color="000000" w:sz="4" w:space="0"/>
              <w:bottom w:val="single" w:color="000000" w:sz="4" w:space="0"/>
              <w:right w:val="single" w:color="000000" w:sz="4" w:space="0"/>
            </w:tcBorders>
            <w:noWrap w:val="0"/>
            <w:vAlign w:val="center"/>
          </w:tcPr>
          <w:p w14:paraId="3DB7164E">
            <w:pPr>
              <w:pStyle w:val="12"/>
              <w:wordWrap w:val="0"/>
              <w:spacing w:line="240" w:lineRule="auto"/>
              <w:rPr>
                <w:rFonts w:hint="eastAsia" w:ascii="宋体" w:hAnsi="宋体" w:eastAsia="宋体" w:cs="宋体"/>
                <w:color w:val="auto"/>
                <w:sz w:val="24"/>
                <w:szCs w:val="24"/>
                <w:highlight w:val="none"/>
              </w:rPr>
            </w:pPr>
            <w:r>
              <w:rPr>
                <w:rFonts w:hint="eastAsia" w:ascii="宋体" w:hAnsi="宋体" w:eastAsia="宋体" w:cs="宋体"/>
                <w:color w:val="auto"/>
                <w:kern w:val="2"/>
                <w:sz w:val="24"/>
                <w:szCs w:val="24"/>
                <w:highlight w:val="none"/>
                <w:lang w:val="en-US" w:eastAsia="zh-CN" w:bidi="ar-SA"/>
              </w:rPr>
              <w:t>任一处未达标准，扣考核评分0.5分，并扣除服务费100元。</w:t>
            </w:r>
          </w:p>
        </w:tc>
      </w:tr>
      <w:tr w14:paraId="68B66128">
        <w:tblPrEx>
          <w:tblCellMar>
            <w:top w:w="15" w:type="dxa"/>
            <w:left w:w="15" w:type="dxa"/>
            <w:bottom w:w="15" w:type="dxa"/>
            <w:right w:w="15" w:type="dxa"/>
          </w:tblCellMar>
        </w:tblPrEx>
        <w:trPr>
          <w:trHeight w:val="815" w:hRule="atLeast"/>
        </w:trPr>
        <w:tc>
          <w:tcPr>
            <w:tcW w:w="780" w:type="dxa"/>
            <w:tcBorders>
              <w:top w:val="single" w:color="000000" w:sz="4" w:space="0"/>
              <w:left w:val="single" w:color="000000" w:sz="4" w:space="0"/>
              <w:bottom w:val="single" w:color="000000" w:sz="4" w:space="0"/>
              <w:right w:val="single" w:color="000000" w:sz="4" w:space="0"/>
            </w:tcBorders>
            <w:noWrap w:val="0"/>
            <w:vAlign w:val="center"/>
          </w:tcPr>
          <w:p w14:paraId="562CE59B">
            <w:pPr>
              <w:pStyle w:val="12"/>
              <w:wordWrap w:val="0"/>
              <w:spacing w:line="360" w:lineRule="auto"/>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4</w:t>
            </w:r>
          </w:p>
        </w:tc>
        <w:tc>
          <w:tcPr>
            <w:tcW w:w="2835" w:type="dxa"/>
            <w:tcBorders>
              <w:top w:val="single" w:color="000000" w:sz="4" w:space="0"/>
              <w:left w:val="single" w:color="000000" w:sz="4" w:space="0"/>
              <w:bottom w:val="single" w:color="000000" w:sz="4" w:space="0"/>
              <w:right w:val="single" w:color="000000" w:sz="4" w:space="0"/>
            </w:tcBorders>
            <w:noWrap w:val="0"/>
            <w:vAlign w:val="center"/>
          </w:tcPr>
          <w:p w14:paraId="49A15DAD">
            <w:pPr>
              <w:pStyle w:val="12"/>
              <w:wordWrap w:val="0"/>
              <w:spacing w:line="240" w:lineRule="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每月</w:t>
            </w:r>
            <w:r>
              <w:rPr>
                <w:rFonts w:hint="eastAsia" w:ascii="宋体" w:hAnsi="宋体" w:eastAsia="宋体" w:cs="宋体"/>
                <w:color w:val="auto"/>
                <w:sz w:val="24"/>
                <w:szCs w:val="24"/>
                <w:highlight w:val="none"/>
                <w:lang w:eastAsia="zh-CN"/>
              </w:rPr>
              <w:t>抽检</w:t>
            </w:r>
            <w:r>
              <w:rPr>
                <w:rFonts w:hint="eastAsia" w:ascii="宋体" w:hAnsi="宋体" w:eastAsia="宋体" w:cs="宋体"/>
                <w:color w:val="auto"/>
                <w:sz w:val="24"/>
                <w:szCs w:val="24"/>
                <w:highlight w:val="none"/>
              </w:rPr>
              <w:t>防火疏散门门吸联动功能</w:t>
            </w:r>
          </w:p>
        </w:tc>
        <w:tc>
          <w:tcPr>
            <w:tcW w:w="2985" w:type="dxa"/>
            <w:tcBorders>
              <w:top w:val="single" w:color="000000" w:sz="4" w:space="0"/>
              <w:left w:val="single" w:color="000000" w:sz="4" w:space="0"/>
              <w:bottom w:val="single" w:color="000000" w:sz="4" w:space="0"/>
              <w:right w:val="single" w:color="000000" w:sz="4" w:space="0"/>
            </w:tcBorders>
            <w:noWrap w:val="0"/>
            <w:vAlign w:val="center"/>
          </w:tcPr>
          <w:p w14:paraId="1E9DFDA4">
            <w:pPr>
              <w:pStyle w:val="12"/>
              <w:wordWrap w:val="0"/>
              <w:spacing w:line="240" w:lineRule="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门吸联动功能正常</w:t>
            </w:r>
          </w:p>
        </w:tc>
        <w:tc>
          <w:tcPr>
            <w:tcW w:w="2985" w:type="dxa"/>
            <w:tcBorders>
              <w:top w:val="single" w:color="000000" w:sz="4" w:space="0"/>
              <w:left w:val="single" w:color="000000" w:sz="4" w:space="0"/>
              <w:bottom w:val="single" w:color="000000" w:sz="4" w:space="0"/>
              <w:right w:val="single" w:color="000000" w:sz="4" w:space="0"/>
            </w:tcBorders>
            <w:noWrap w:val="0"/>
            <w:vAlign w:val="center"/>
          </w:tcPr>
          <w:p w14:paraId="0A1D1AD1">
            <w:pPr>
              <w:pStyle w:val="12"/>
              <w:wordWrap w:val="0"/>
              <w:spacing w:line="240" w:lineRule="auto"/>
              <w:rPr>
                <w:rFonts w:hint="eastAsia" w:ascii="宋体" w:hAnsi="宋体" w:eastAsia="宋体" w:cs="宋体"/>
                <w:color w:val="auto"/>
                <w:sz w:val="24"/>
                <w:szCs w:val="24"/>
                <w:highlight w:val="none"/>
              </w:rPr>
            </w:pPr>
            <w:r>
              <w:rPr>
                <w:rFonts w:hint="eastAsia" w:ascii="宋体" w:hAnsi="宋体" w:eastAsia="宋体" w:cs="宋体"/>
                <w:color w:val="auto"/>
                <w:kern w:val="2"/>
                <w:sz w:val="24"/>
                <w:szCs w:val="24"/>
                <w:highlight w:val="none"/>
                <w:lang w:val="en-US" w:eastAsia="zh-CN" w:bidi="ar-SA"/>
              </w:rPr>
              <w:t>任一处未达标准，扣考核评分0.5分，并扣除服务费100元。</w:t>
            </w:r>
          </w:p>
        </w:tc>
      </w:tr>
      <w:tr w14:paraId="06CEDE47">
        <w:tblPrEx>
          <w:tblCellMar>
            <w:top w:w="15" w:type="dxa"/>
            <w:left w:w="15" w:type="dxa"/>
            <w:bottom w:w="15" w:type="dxa"/>
            <w:right w:w="15" w:type="dxa"/>
          </w:tblCellMar>
        </w:tblPrEx>
        <w:trPr>
          <w:trHeight w:val="815" w:hRule="atLeast"/>
        </w:trPr>
        <w:tc>
          <w:tcPr>
            <w:tcW w:w="780" w:type="dxa"/>
            <w:tcBorders>
              <w:top w:val="single" w:color="000000" w:sz="4" w:space="0"/>
              <w:left w:val="single" w:color="000000" w:sz="4" w:space="0"/>
              <w:bottom w:val="single" w:color="000000" w:sz="4" w:space="0"/>
              <w:right w:val="single" w:color="000000" w:sz="4" w:space="0"/>
            </w:tcBorders>
            <w:noWrap w:val="0"/>
            <w:vAlign w:val="center"/>
          </w:tcPr>
          <w:p w14:paraId="1B0CFD6D">
            <w:pPr>
              <w:pStyle w:val="12"/>
              <w:wordWrap w:val="0"/>
              <w:spacing w:line="360" w:lineRule="auto"/>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5</w:t>
            </w:r>
          </w:p>
        </w:tc>
        <w:tc>
          <w:tcPr>
            <w:tcW w:w="2835" w:type="dxa"/>
            <w:tcBorders>
              <w:top w:val="single" w:color="000000" w:sz="4" w:space="0"/>
              <w:left w:val="single" w:color="000000" w:sz="4" w:space="0"/>
              <w:bottom w:val="single" w:color="000000" w:sz="4" w:space="0"/>
              <w:right w:val="single" w:color="000000" w:sz="4" w:space="0"/>
            </w:tcBorders>
            <w:noWrap w:val="0"/>
            <w:vAlign w:val="center"/>
          </w:tcPr>
          <w:p w14:paraId="2F254FE8">
            <w:pPr>
              <w:pStyle w:val="12"/>
              <w:wordWrap w:val="0"/>
              <w:spacing w:line="240" w:lineRule="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每</w:t>
            </w:r>
            <w:r>
              <w:rPr>
                <w:rFonts w:hint="eastAsia" w:ascii="宋体" w:hAnsi="宋体" w:eastAsia="宋体" w:cs="宋体"/>
                <w:color w:val="auto"/>
                <w:sz w:val="24"/>
                <w:szCs w:val="24"/>
                <w:highlight w:val="none"/>
                <w:lang w:eastAsia="zh-CN"/>
              </w:rPr>
              <w:t>季</w:t>
            </w:r>
            <w:r>
              <w:rPr>
                <w:rFonts w:hint="eastAsia" w:ascii="宋体" w:hAnsi="宋体" w:eastAsia="宋体" w:cs="宋体"/>
                <w:color w:val="auto"/>
                <w:sz w:val="24"/>
                <w:szCs w:val="24"/>
                <w:highlight w:val="none"/>
              </w:rPr>
              <w:t>检查防火墙外观、防火封堵外观</w:t>
            </w:r>
          </w:p>
        </w:tc>
        <w:tc>
          <w:tcPr>
            <w:tcW w:w="2985" w:type="dxa"/>
            <w:tcBorders>
              <w:top w:val="single" w:color="000000" w:sz="4" w:space="0"/>
              <w:left w:val="single" w:color="000000" w:sz="4" w:space="0"/>
              <w:bottom w:val="single" w:color="000000" w:sz="4" w:space="0"/>
              <w:right w:val="single" w:color="000000" w:sz="4" w:space="0"/>
            </w:tcBorders>
            <w:noWrap w:val="0"/>
            <w:vAlign w:val="center"/>
          </w:tcPr>
          <w:p w14:paraId="05A1418A">
            <w:pPr>
              <w:pStyle w:val="12"/>
              <w:wordWrap w:val="0"/>
              <w:spacing w:line="240" w:lineRule="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防火墙上无不符合规范的孔洞，防火封堵紧密填实</w:t>
            </w:r>
          </w:p>
        </w:tc>
        <w:tc>
          <w:tcPr>
            <w:tcW w:w="2985" w:type="dxa"/>
            <w:tcBorders>
              <w:top w:val="single" w:color="000000" w:sz="4" w:space="0"/>
              <w:left w:val="single" w:color="000000" w:sz="4" w:space="0"/>
              <w:bottom w:val="single" w:color="000000" w:sz="4" w:space="0"/>
              <w:right w:val="single" w:color="000000" w:sz="4" w:space="0"/>
            </w:tcBorders>
            <w:noWrap w:val="0"/>
            <w:vAlign w:val="center"/>
          </w:tcPr>
          <w:p w14:paraId="5689FD9E">
            <w:pPr>
              <w:pStyle w:val="12"/>
              <w:wordWrap w:val="0"/>
              <w:spacing w:line="240" w:lineRule="auto"/>
              <w:rPr>
                <w:rFonts w:hint="eastAsia" w:ascii="宋体" w:hAnsi="宋体" w:eastAsia="宋体" w:cs="宋体"/>
                <w:color w:val="auto"/>
                <w:sz w:val="24"/>
                <w:szCs w:val="24"/>
                <w:highlight w:val="none"/>
              </w:rPr>
            </w:pPr>
            <w:r>
              <w:rPr>
                <w:rFonts w:hint="eastAsia" w:ascii="宋体" w:hAnsi="宋体" w:eastAsia="宋体" w:cs="宋体"/>
                <w:color w:val="auto"/>
                <w:kern w:val="2"/>
                <w:sz w:val="24"/>
                <w:szCs w:val="24"/>
                <w:highlight w:val="none"/>
                <w:lang w:val="en-US" w:eastAsia="zh-CN" w:bidi="ar-SA"/>
              </w:rPr>
              <w:t>任一处未达标准，扣考核评分0.5分，并扣除服务费100元。</w:t>
            </w:r>
          </w:p>
        </w:tc>
      </w:tr>
    </w:tbl>
    <w:p w14:paraId="32D78568">
      <w:pPr>
        <w:pStyle w:val="12"/>
        <w:wordWrap w:val="0"/>
        <w:spacing w:line="360" w:lineRule="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4</w:t>
      </w:r>
      <w:r>
        <w:rPr>
          <w:rFonts w:hint="eastAsia" w:ascii="宋体" w:hAnsi="宋体" w:eastAsia="宋体" w:cs="宋体"/>
          <w:color w:val="auto"/>
          <w:sz w:val="24"/>
          <w:szCs w:val="24"/>
          <w:highlight w:val="none"/>
          <w:lang w:val="en-US" w:eastAsia="zh-CN"/>
        </w:rPr>
        <w:t>.</w:t>
      </w:r>
      <w:r>
        <w:rPr>
          <w:rFonts w:hint="eastAsia" w:ascii="宋体" w:hAnsi="宋体" w:eastAsia="宋体" w:cs="宋体"/>
          <w:color w:val="auto"/>
          <w:sz w:val="24"/>
          <w:szCs w:val="24"/>
          <w:highlight w:val="none"/>
        </w:rPr>
        <w:t>消防电话</w:t>
      </w:r>
    </w:p>
    <w:tbl>
      <w:tblPr>
        <w:tblStyle w:val="20"/>
        <w:tblpPr w:leftFromText="180" w:rightFromText="180" w:vertAnchor="text" w:horzAnchor="page" w:tblpX="1237" w:tblpY="132"/>
        <w:tblOverlap w:val="never"/>
        <w:tblW w:w="9585" w:type="dxa"/>
        <w:tblInd w:w="0" w:type="dxa"/>
        <w:tblLayout w:type="fixed"/>
        <w:tblCellMar>
          <w:top w:w="15" w:type="dxa"/>
          <w:left w:w="15" w:type="dxa"/>
          <w:bottom w:w="15" w:type="dxa"/>
          <w:right w:w="15" w:type="dxa"/>
        </w:tblCellMar>
      </w:tblPr>
      <w:tblGrid>
        <w:gridCol w:w="780"/>
        <w:gridCol w:w="2835"/>
        <w:gridCol w:w="2985"/>
        <w:gridCol w:w="2985"/>
      </w:tblGrid>
      <w:tr w14:paraId="3D33FA98">
        <w:tblPrEx>
          <w:tblCellMar>
            <w:top w:w="15" w:type="dxa"/>
            <w:left w:w="15" w:type="dxa"/>
            <w:bottom w:w="15" w:type="dxa"/>
            <w:right w:w="15" w:type="dxa"/>
          </w:tblCellMar>
        </w:tblPrEx>
        <w:trPr>
          <w:trHeight w:val="493" w:hRule="atLeast"/>
        </w:trPr>
        <w:tc>
          <w:tcPr>
            <w:tcW w:w="780" w:type="dxa"/>
            <w:tcBorders>
              <w:top w:val="single" w:color="000000" w:sz="4" w:space="0"/>
              <w:left w:val="single" w:color="000000" w:sz="4" w:space="0"/>
              <w:bottom w:val="single" w:color="000000" w:sz="4" w:space="0"/>
              <w:right w:val="single" w:color="000000" w:sz="4" w:space="0"/>
            </w:tcBorders>
            <w:noWrap w:val="0"/>
            <w:vAlign w:val="center"/>
          </w:tcPr>
          <w:p w14:paraId="603FCD5B">
            <w:pPr>
              <w:pStyle w:val="12"/>
              <w:wordWrap w:val="0"/>
              <w:spacing w:line="360" w:lineRule="auto"/>
              <w:jc w:val="center"/>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序号</w:t>
            </w:r>
          </w:p>
        </w:tc>
        <w:tc>
          <w:tcPr>
            <w:tcW w:w="2835" w:type="dxa"/>
            <w:tcBorders>
              <w:top w:val="single" w:color="000000" w:sz="4" w:space="0"/>
              <w:left w:val="single" w:color="000000" w:sz="4" w:space="0"/>
              <w:bottom w:val="single" w:color="000000" w:sz="4" w:space="0"/>
              <w:right w:val="single" w:color="000000" w:sz="4" w:space="0"/>
            </w:tcBorders>
            <w:noWrap w:val="0"/>
            <w:vAlign w:val="center"/>
          </w:tcPr>
          <w:p w14:paraId="44E5B8FF">
            <w:pPr>
              <w:pStyle w:val="12"/>
              <w:wordWrap w:val="0"/>
              <w:spacing w:line="360" w:lineRule="auto"/>
              <w:jc w:val="center"/>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维护保养工作内容</w:t>
            </w:r>
          </w:p>
        </w:tc>
        <w:tc>
          <w:tcPr>
            <w:tcW w:w="2985" w:type="dxa"/>
            <w:tcBorders>
              <w:top w:val="single" w:color="000000" w:sz="4" w:space="0"/>
              <w:left w:val="single" w:color="000000" w:sz="4" w:space="0"/>
              <w:bottom w:val="single" w:color="000000" w:sz="4" w:space="0"/>
              <w:right w:val="single" w:color="000000" w:sz="4" w:space="0"/>
            </w:tcBorders>
            <w:noWrap w:val="0"/>
            <w:vAlign w:val="center"/>
          </w:tcPr>
          <w:p w14:paraId="094E5EA3">
            <w:pPr>
              <w:pStyle w:val="12"/>
              <w:wordWrap w:val="0"/>
              <w:spacing w:line="360" w:lineRule="auto"/>
              <w:jc w:val="center"/>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维护保养标准</w:t>
            </w:r>
          </w:p>
        </w:tc>
        <w:tc>
          <w:tcPr>
            <w:tcW w:w="2985" w:type="dxa"/>
            <w:tcBorders>
              <w:top w:val="single" w:color="000000" w:sz="4" w:space="0"/>
              <w:left w:val="single" w:color="000000" w:sz="4" w:space="0"/>
              <w:bottom w:val="single" w:color="000000" w:sz="4" w:space="0"/>
              <w:right w:val="single" w:color="000000" w:sz="4" w:space="0"/>
            </w:tcBorders>
            <w:noWrap w:val="0"/>
            <w:vAlign w:val="center"/>
          </w:tcPr>
          <w:p w14:paraId="1367CCFD">
            <w:pPr>
              <w:pStyle w:val="12"/>
              <w:wordWrap w:val="0"/>
              <w:spacing w:line="360" w:lineRule="auto"/>
              <w:jc w:val="center"/>
              <w:rPr>
                <w:rFonts w:hint="eastAsia" w:ascii="宋体" w:hAnsi="宋体" w:eastAsia="宋体" w:cs="宋体"/>
                <w:b/>
                <w:bCs/>
                <w:color w:val="auto"/>
                <w:sz w:val="24"/>
                <w:szCs w:val="24"/>
                <w:highlight w:val="none"/>
              </w:rPr>
            </w:pPr>
            <w:r>
              <w:rPr>
                <w:rFonts w:hint="eastAsia" w:ascii="宋体" w:hAnsi="宋体" w:eastAsia="宋体" w:cs="宋体"/>
                <w:b/>
                <w:bCs/>
                <w:color w:val="auto"/>
                <w:kern w:val="2"/>
                <w:sz w:val="24"/>
                <w:szCs w:val="24"/>
                <w:highlight w:val="none"/>
                <w:lang w:val="en-US" w:eastAsia="zh-CN" w:bidi="ar-SA"/>
              </w:rPr>
              <w:t>扣分标准</w:t>
            </w:r>
          </w:p>
        </w:tc>
      </w:tr>
      <w:tr w14:paraId="59CA0DD0">
        <w:tblPrEx>
          <w:tblCellMar>
            <w:top w:w="15" w:type="dxa"/>
            <w:left w:w="15" w:type="dxa"/>
            <w:bottom w:w="15" w:type="dxa"/>
            <w:right w:w="15" w:type="dxa"/>
          </w:tblCellMar>
        </w:tblPrEx>
        <w:trPr>
          <w:trHeight w:val="573" w:hRule="atLeast"/>
        </w:trPr>
        <w:tc>
          <w:tcPr>
            <w:tcW w:w="780" w:type="dxa"/>
            <w:tcBorders>
              <w:top w:val="single" w:color="000000" w:sz="4" w:space="0"/>
              <w:left w:val="single" w:color="000000" w:sz="4" w:space="0"/>
              <w:bottom w:val="single" w:color="000000" w:sz="4" w:space="0"/>
              <w:right w:val="single" w:color="000000" w:sz="4" w:space="0"/>
            </w:tcBorders>
            <w:noWrap w:val="0"/>
            <w:vAlign w:val="center"/>
          </w:tcPr>
          <w:p w14:paraId="4082AB2D">
            <w:pPr>
              <w:pStyle w:val="12"/>
              <w:wordWrap w:val="0"/>
              <w:spacing w:line="240" w:lineRule="auto"/>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w:t>
            </w:r>
          </w:p>
        </w:tc>
        <w:tc>
          <w:tcPr>
            <w:tcW w:w="2835" w:type="dxa"/>
            <w:tcBorders>
              <w:top w:val="single" w:color="000000" w:sz="4" w:space="0"/>
              <w:left w:val="single" w:color="000000" w:sz="4" w:space="0"/>
              <w:bottom w:val="single" w:color="000000" w:sz="4" w:space="0"/>
              <w:right w:val="single" w:color="000000" w:sz="4" w:space="0"/>
            </w:tcBorders>
            <w:noWrap w:val="0"/>
            <w:vAlign w:val="center"/>
          </w:tcPr>
          <w:p w14:paraId="15EB01EE">
            <w:pPr>
              <w:pStyle w:val="12"/>
              <w:wordWrap w:val="0"/>
              <w:spacing w:line="240" w:lineRule="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每月检查消防专用电话、插孔是否完好</w:t>
            </w:r>
          </w:p>
        </w:tc>
        <w:tc>
          <w:tcPr>
            <w:tcW w:w="2985" w:type="dxa"/>
            <w:tcBorders>
              <w:top w:val="single" w:color="000000" w:sz="4" w:space="0"/>
              <w:left w:val="single" w:color="000000" w:sz="4" w:space="0"/>
              <w:bottom w:val="single" w:color="000000" w:sz="4" w:space="0"/>
              <w:right w:val="single" w:color="000000" w:sz="4" w:space="0"/>
            </w:tcBorders>
            <w:noWrap w:val="0"/>
            <w:vAlign w:val="center"/>
          </w:tcPr>
          <w:p w14:paraId="535815C7">
            <w:pPr>
              <w:pStyle w:val="12"/>
              <w:wordWrap w:val="0"/>
              <w:spacing w:line="240" w:lineRule="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外观完好、清洁</w:t>
            </w:r>
          </w:p>
        </w:tc>
        <w:tc>
          <w:tcPr>
            <w:tcW w:w="2985" w:type="dxa"/>
            <w:tcBorders>
              <w:top w:val="single" w:color="000000" w:sz="4" w:space="0"/>
              <w:left w:val="single" w:color="000000" w:sz="4" w:space="0"/>
              <w:bottom w:val="single" w:color="000000" w:sz="4" w:space="0"/>
              <w:right w:val="single" w:color="000000" w:sz="4" w:space="0"/>
            </w:tcBorders>
            <w:noWrap w:val="0"/>
            <w:vAlign w:val="center"/>
          </w:tcPr>
          <w:p w14:paraId="578DAE36">
            <w:pPr>
              <w:pStyle w:val="12"/>
              <w:wordWrap w:val="0"/>
              <w:spacing w:line="240" w:lineRule="auto"/>
              <w:rPr>
                <w:rFonts w:hint="eastAsia" w:ascii="宋体" w:hAnsi="宋体" w:eastAsia="宋体" w:cs="宋体"/>
                <w:color w:val="auto"/>
                <w:sz w:val="24"/>
                <w:szCs w:val="24"/>
                <w:highlight w:val="none"/>
              </w:rPr>
            </w:pPr>
            <w:r>
              <w:rPr>
                <w:rFonts w:hint="eastAsia" w:ascii="宋体" w:hAnsi="宋体" w:eastAsia="宋体" w:cs="宋体"/>
                <w:color w:val="auto"/>
                <w:kern w:val="2"/>
                <w:sz w:val="24"/>
                <w:szCs w:val="24"/>
                <w:highlight w:val="none"/>
                <w:lang w:val="en-US" w:eastAsia="zh-CN" w:bidi="ar-SA"/>
              </w:rPr>
              <w:t>任一处未达标准，扣考核评分0.5分，并扣除服务费100元。</w:t>
            </w:r>
          </w:p>
        </w:tc>
      </w:tr>
      <w:tr w14:paraId="15AE09FB">
        <w:tblPrEx>
          <w:tblCellMar>
            <w:top w:w="15" w:type="dxa"/>
            <w:left w:w="15" w:type="dxa"/>
            <w:bottom w:w="15" w:type="dxa"/>
            <w:right w:w="15" w:type="dxa"/>
          </w:tblCellMar>
        </w:tblPrEx>
        <w:trPr>
          <w:trHeight w:val="894" w:hRule="atLeast"/>
        </w:trPr>
        <w:tc>
          <w:tcPr>
            <w:tcW w:w="780" w:type="dxa"/>
            <w:tcBorders>
              <w:top w:val="single" w:color="000000" w:sz="4" w:space="0"/>
              <w:left w:val="single" w:color="000000" w:sz="4" w:space="0"/>
              <w:bottom w:val="single" w:color="000000" w:sz="4" w:space="0"/>
              <w:right w:val="single" w:color="000000" w:sz="4" w:space="0"/>
            </w:tcBorders>
            <w:noWrap w:val="0"/>
            <w:vAlign w:val="center"/>
          </w:tcPr>
          <w:p w14:paraId="3274AA6D">
            <w:pPr>
              <w:pStyle w:val="12"/>
              <w:wordWrap w:val="0"/>
              <w:spacing w:line="240" w:lineRule="auto"/>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w:t>
            </w:r>
          </w:p>
        </w:tc>
        <w:tc>
          <w:tcPr>
            <w:tcW w:w="2835" w:type="dxa"/>
            <w:tcBorders>
              <w:top w:val="single" w:color="000000" w:sz="4" w:space="0"/>
              <w:left w:val="single" w:color="000000" w:sz="4" w:space="0"/>
              <w:bottom w:val="single" w:color="000000" w:sz="4" w:space="0"/>
              <w:right w:val="single" w:color="000000" w:sz="4" w:space="0"/>
            </w:tcBorders>
            <w:noWrap w:val="0"/>
            <w:vAlign w:val="center"/>
          </w:tcPr>
          <w:p w14:paraId="790760DF">
            <w:pPr>
              <w:pStyle w:val="12"/>
              <w:wordWrap w:val="0"/>
              <w:spacing w:line="240" w:lineRule="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每月</w:t>
            </w:r>
            <w:r>
              <w:rPr>
                <w:rFonts w:hint="eastAsia" w:ascii="宋体" w:hAnsi="宋体" w:eastAsia="宋体" w:cs="宋体"/>
                <w:color w:val="auto"/>
                <w:sz w:val="24"/>
                <w:szCs w:val="24"/>
                <w:highlight w:val="none"/>
                <w:lang w:eastAsia="zh-CN"/>
              </w:rPr>
              <w:t>抽检</w:t>
            </w:r>
            <w:r>
              <w:rPr>
                <w:rFonts w:hint="eastAsia" w:ascii="宋体" w:hAnsi="宋体" w:eastAsia="宋体" w:cs="宋体"/>
                <w:color w:val="auto"/>
                <w:sz w:val="24"/>
                <w:szCs w:val="24"/>
                <w:highlight w:val="none"/>
              </w:rPr>
              <w:t>消防专用电话、插孔的通讯是否畅通，语音是否清晰、响亮</w:t>
            </w:r>
          </w:p>
        </w:tc>
        <w:tc>
          <w:tcPr>
            <w:tcW w:w="2985" w:type="dxa"/>
            <w:tcBorders>
              <w:top w:val="single" w:color="000000" w:sz="4" w:space="0"/>
              <w:left w:val="single" w:color="000000" w:sz="4" w:space="0"/>
              <w:bottom w:val="single" w:color="000000" w:sz="4" w:space="0"/>
              <w:right w:val="single" w:color="000000" w:sz="4" w:space="0"/>
            </w:tcBorders>
            <w:noWrap w:val="0"/>
            <w:vAlign w:val="center"/>
          </w:tcPr>
          <w:p w14:paraId="5D5A3D5A">
            <w:pPr>
              <w:pStyle w:val="12"/>
              <w:wordWrap w:val="0"/>
              <w:spacing w:line="240" w:lineRule="auto"/>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rPr>
              <w:t>通讯畅通，语音清晰、响亮</w:t>
            </w:r>
            <w:r>
              <w:rPr>
                <w:rFonts w:hint="eastAsia" w:ascii="宋体" w:hAnsi="宋体" w:eastAsia="宋体" w:cs="宋体"/>
                <w:color w:val="auto"/>
                <w:sz w:val="24"/>
                <w:szCs w:val="24"/>
                <w:highlight w:val="none"/>
                <w:lang w:eastAsia="zh-CN"/>
              </w:rPr>
              <w:t>，全年覆盖</w:t>
            </w:r>
          </w:p>
        </w:tc>
        <w:tc>
          <w:tcPr>
            <w:tcW w:w="2985" w:type="dxa"/>
            <w:tcBorders>
              <w:top w:val="single" w:color="000000" w:sz="4" w:space="0"/>
              <w:left w:val="single" w:color="000000" w:sz="4" w:space="0"/>
              <w:bottom w:val="single" w:color="000000" w:sz="4" w:space="0"/>
              <w:right w:val="single" w:color="000000" w:sz="4" w:space="0"/>
            </w:tcBorders>
            <w:noWrap w:val="0"/>
            <w:vAlign w:val="center"/>
          </w:tcPr>
          <w:p w14:paraId="5597BA02">
            <w:pPr>
              <w:pStyle w:val="12"/>
              <w:wordWrap w:val="0"/>
              <w:spacing w:line="240" w:lineRule="auto"/>
              <w:rPr>
                <w:rFonts w:hint="eastAsia" w:ascii="宋体" w:hAnsi="宋体" w:eastAsia="宋体" w:cs="宋体"/>
                <w:color w:val="auto"/>
                <w:sz w:val="24"/>
                <w:szCs w:val="24"/>
                <w:highlight w:val="none"/>
              </w:rPr>
            </w:pPr>
            <w:r>
              <w:rPr>
                <w:rFonts w:hint="eastAsia" w:ascii="宋体" w:hAnsi="宋体" w:eastAsia="宋体" w:cs="宋体"/>
                <w:color w:val="auto"/>
                <w:kern w:val="2"/>
                <w:sz w:val="24"/>
                <w:szCs w:val="24"/>
                <w:highlight w:val="none"/>
                <w:lang w:val="en-US" w:eastAsia="zh-CN" w:bidi="ar-SA"/>
              </w:rPr>
              <w:t>任一处未达标准，扣考核评分0.5分，并扣除服务费100元。</w:t>
            </w:r>
          </w:p>
        </w:tc>
      </w:tr>
      <w:tr w14:paraId="7DFBA074">
        <w:tblPrEx>
          <w:tblCellMar>
            <w:top w:w="15" w:type="dxa"/>
            <w:left w:w="15" w:type="dxa"/>
            <w:bottom w:w="15" w:type="dxa"/>
            <w:right w:w="15" w:type="dxa"/>
          </w:tblCellMar>
        </w:tblPrEx>
        <w:trPr>
          <w:trHeight w:val="780" w:hRule="atLeast"/>
        </w:trPr>
        <w:tc>
          <w:tcPr>
            <w:tcW w:w="780" w:type="dxa"/>
            <w:tcBorders>
              <w:top w:val="single" w:color="000000" w:sz="4" w:space="0"/>
              <w:left w:val="single" w:color="000000" w:sz="4" w:space="0"/>
              <w:bottom w:val="single" w:color="000000" w:sz="4" w:space="0"/>
              <w:right w:val="single" w:color="000000" w:sz="4" w:space="0"/>
            </w:tcBorders>
            <w:noWrap w:val="0"/>
            <w:vAlign w:val="center"/>
          </w:tcPr>
          <w:p w14:paraId="26C8BE8D">
            <w:pPr>
              <w:pStyle w:val="12"/>
              <w:wordWrap w:val="0"/>
              <w:spacing w:line="240" w:lineRule="auto"/>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w:t>
            </w:r>
          </w:p>
        </w:tc>
        <w:tc>
          <w:tcPr>
            <w:tcW w:w="2835" w:type="dxa"/>
            <w:tcBorders>
              <w:top w:val="single" w:color="000000" w:sz="4" w:space="0"/>
              <w:left w:val="single" w:color="000000" w:sz="4" w:space="0"/>
              <w:bottom w:val="single" w:color="000000" w:sz="4" w:space="0"/>
              <w:right w:val="single" w:color="000000" w:sz="4" w:space="0"/>
            </w:tcBorders>
            <w:noWrap w:val="0"/>
            <w:vAlign w:val="center"/>
          </w:tcPr>
          <w:p w14:paraId="72843C6F">
            <w:pPr>
              <w:pStyle w:val="12"/>
              <w:wordWrap w:val="0"/>
              <w:spacing w:line="240" w:lineRule="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每月</w:t>
            </w:r>
            <w:r>
              <w:rPr>
                <w:rFonts w:hint="eastAsia" w:ascii="宋体" w:hAnsi="宋体" w:eastAsia="宋体" w:cs="宋体"/>
                <w:color w:val="auto"/>
                <w:sz w:val="24"/>
                <w:szCs w:val="24"/>
                <w:highlight w:val="none"/>
                <w:lang w:eastAsia="zh-CN"/>
              </w:rPr>
              <w:t>测试</w:t>
            </w:r>
            <w:r>
              <w:rPr>
                <w:rFonts w:hint="eastAsia" w:ascii="宋体" w:hAnsi="宋体" w:eastAsia="宋体" w:cs="宋体"/>
                <w:color w:val="auto"/>
                <w:sz w:val="24"/>
                <w:szCs w:val="24"/>
                <w:highlight w:val="none"/>
              </w:rPr>
              <w:t>消防控制室外线电话的拨打功能</w:t>
            </w:r>
          </w:p>
        </w:tc>
        <w:tc>
          <w:tcPr>
            <w:tcW w:w="2985" w:type="dxa"/>
            <w:tcBorders>
              <w:top w:val="single" w:color="000000" w:sz="4" w:space="0"/>
              <w:bottom w:val="single" w:color="000000" w:sz="4" w:space="0"/>
              <w:right w:val="single" w:color="000000" w:sz="4" w:space="0"/>
            </w:tcBorders>
            <w:noWrap w:val="0"/>
            <w:vAlign w:val="center"/>
          </w:tcPr>
          <w:p w14:paraId="7E394165">
            <w:pPr>
              <w:pStyle w:val="12"/>
              <w:wordWrap w:val="0"/>
              <w:spacing w:line="240" w:lineRule="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通讯畅通，语音清晰、响亮</w:t>
            </w:r>
          </w:p>
        </w:tc>
        <w:tc>
          <w:tcPr>
            <w:tcW w:w="2985" w:type="dxa"/>
            <w:tcBorders>
              <w:top w:val="single" w:color="000000" w:sz="4" w:space="0"/>
              <w:bottom w:val="single" w:color="000000" w:sz="4" w:space="0"/>
              <w:right w:val="single" w:color="000000" w:sz="4" w:space="0"/>
            </w:tcBorders>
            <w:noWrap w:val="0"/>
            <w:vAlign w:val="center"/>
          </w:tcPr>
          <w:p w14:paraId="78B5DCA6">
            <w:pPr>
              <w:pStyle w:val="12"/>
              <w:wordWrap w:val="0"/>
              <w:spacing w:line="240" w:lineRule="auto"/>
              <w:rPr>
                <w:rFonts w:hint="eastAsia" w:ascii="宋体" w:hAnsi="宋体" w:eastAsia="宋体" w:cs="宋体"/>
                <w:color w:val="auto"/>
                <w:sz w:val="24"/>
                <w:szCs w:val="24"/>
                <w:highlight w:val="none"/>
              </w:rPr>
            </w:pPr>
            <w:r>
              <w:rPr>
                <w:rFonts w:hint="eastAsia" w:ascii="宋体" w:hAnsi="宋体" w:eastAsia="宋体" w:cs="宋体"/>
                <w:color w:val="auto"/>
                <w:kern w:val="2"/>
                <w:sz w:val="24"/>
                <w:szCs w:val="24"/>
                <w:highlight w:val="none"/>
                <w:lang w:val="en-US" w:eastAsia="zh-CN" w:bidi="ar-SA"/>
              </w:rPr>
              <w:t>任一处未达标准，扣考核评分0.5分，并扣除服务费100元。</w:t>
            </w:r>
          </w:p>
        </w:tc>
      </w:tr>
    </w:tbl>
    <w:p w14:paraId="2DF12202">
      <w:pPr>
        <w:pStyle w:val="12"/>
        <w:wordWrap w:val="0"/>
        <w:spacing w:line="360" w:lineRule="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5</w:t>
      </w:r>
      <w:r>
        <w:rPr>
          <w:rFonts w:hint="eastAsia" w:ascii="宋体" w:hAnsi="宋体" w:eastAsia="宋体" w:cs="宋体"/>
          <w:color w:val="auto"/>
          <w:sz w:val="24"/>
          <w:szCs w:val="24"/>
          <w:highlight w:val="none"/>
          <w:lang w:val="en-US" w:eastAsia="zh-CN"/>
        </w:rPr>
        <w:t>.</w:t>
      </w:r>
      <w:r>
        <w:rPr>
          <w:rFonts w:hint="eastAsia" w:ascii="宋体" w:hAnsi="宋体" w:eastAsia="宋体" w:cs="宋体"/>
          <w:color w:val="auto"/>
          <w:sz w:val="24"/>
          <w:szCs w:val="24"/>
          <w:highlight w:val="none"/>
        </w:rPr>
        <w:t>消防广播</w:t>
      </w:r>
    </w:p>
    <w:tbl>
      <w:tblPr>
        <w:tblStyle w:val="20"/>
        <w:tblW w:w="9570" w:type="dxa"/>
        <w:tblInd w:w="-549" w:type="dxa"/>
        <w:tblLayout w:type="fixed"/>
        <w:tblCellMar>
          <w:top w:w="15" w:type="dxa"/>
          <w:left w:w="15" w:type="dxa"/>
          <w:bottom w:w="15" w:type="dxa"/>
          <w:right w:w="15" w:type="dxa"/>
        </w:tblCellMar>
      </w:tblPr>
      <w:tblGrid>
        <w:gridCol w:w="750"/>
        <w:gridCol w:w="2850"/>
        <w:gridCol w:w="2985"/>
        <w:gridCol w:w="2985"/>
      </w:tblGrid>
      <w:tr w14:paraId="44C524D9">
        <w:tblPrEx>
          <w:tblCellMar>
            <w:top w:w="15" w:type="dxa"/>
            <w:left w:w="15" w:type="dxa"/>
            <w:bottom w:w="15" w:type="dxa"/>
            <w:right w:w="15" w:type="dxa"/>
          </w:tblCellMar>
        </w:tblPrEx>
        <w:trPr>
          <w:trHeight w:val="228" w:hRule="atLeast"/>
        </w:trPr>
        <w:tc>
          <w:tcPr>
            <w:tcW w:w="750" w:type="dxa"/>
            <w:tcBorders>
              <w:top w:val="single" w:color="000000" w:sz="4" w:space="0"/>
              <w:left w:val="single" w:color="000000" w:sz="4" w:space="0"/>
              <w:bottom w:val="single" w:color="000000" w:sz="4" w:space="0"/>
              <w:right w:val="single" w:color="000000" w:sz="4" w:space="0"/>
            </w:tcBorders>
            <w:noWrap w:val="0"/>
            <w:vAlign w:val="center"/>
          </w:tcPr>
          <w:p w14:paraId="5596474F">
            <w:pPr>
              <w:pStyle w:val="12"/>
              <w:wordWrap w:val="0"/>
              <w:spacing w:line="360" w:lineRule="auto"/>
              <w:jc w:val="center"/>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序号</w:t>
            </w:r>
          </w:p>
        </w:tc>
        <w:tc>
          <w:tcPr>
            <w:tcW w:w="2850" w:type="dxa"/>
            <w:tcBorders>
              <w:top w:val="single" w:color="000000" w:sz="4" w:space="0"/>
              <w:left w:val="single" w:color="000000" w:sz="4" w:space="0"/>
              <w:bottom w:val="single" w:color="000000" w:sz="4" w:space="0"/>
              <w:right w:val="single" w:color="000000" w:sz="4" w:space="0"/>
            </w:tcBorders>
            <w:noWrap w:val="0"/>
            <w:vAlign w:val="center"/>
          </w:tcPr>
          <w:p w14:paraId="4AC5220A">
            <w:pPr>
              <w:pStyle w:val="12"/>
              <w:wordWrap w:val="0"/>
              <w:spacing w:line="360" w:lineRule="auto"/>
              <w:jc w:val="center"/>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维护保养工作内容</w:t>
            </w:r>
          </w:p>
        </w:tc>
        <w:tc>
          <w:tcPr>
            <w:tcW w:w="2985" w:type="dxa"/>
            <w:tcBorders>
              <w:top w:val="single" w:color="000000" w:sz="4" w:space="0"/>
              <w:left w:val="single" w:color="000000" w:sz="4" w:space="0"/>
              <w:bottom w:val="single" w:color="000000" w:sz="4" w:space="0"/>
              <w:right w:val="single" w:color="000000" w:sz="4" w:space="0"/>
            </w:tcBorders>
            <w:noWrap w:val="0"/>
            <w:vAlign w:val="center"/>
          </w:tcPr>
          <w:p w14:paraId="15E7644C">
            <w:pPr>
              <w:pStyle w:val="12"/>
              <w:wordWrap w:val="0"/>
              <w:spacing w:line="360" w:lineRule="auto"/>
              <w:jc w:val="center"/>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维护保养标准</w:t>
            </w:r>
          </w:p>
        </w:tc>
        <w:tc>
          <w:tcPr>
            <w:tcW w:w="2985" w:type="dxa"/>
            <w:tcBorders>
              <w:top w:val="single" w:color="000000" w:sz="4" w:space="0"/>
              <w:left w:val="single" w:color="000000" w:sz="4" w:space="0"/>
              <w:bottom w:val="single" w:color="000000" w:sz="4" w:space="0"/>
              <w:right w:val="single" w:color="000000" w:sz="4" w:space="0"/>
            </w:tcBorders>
            <w:noWrap w:val="0"/>
            <w:vAlign w:val="center"/>
          </w:tcPr>
          <w:p w14:paraId="5B8994E8">
            <w:pPr>
              <w:pStyle w:val="12"/>
              <w:wordWrap w:val="0"/>
              <w:spacing w:line="360" w:lineRule="auto"/>
              <w:jc w:val="center"/>
              <w:rPr>
                <w:rFonts w:hint="eastAsia" w:ascii="宋体" w:hAnsi="宋体" w:eastAsia="宋体" w:cs="宋体"/>
                <w:b/>
                <w:bCs/>
                <w:color w:val="auto"/>
                <w:sz w:val="24"/>
                <w:szCs w:val="24"/>
                <w:highlight w:val="none"/>
              </w:rPr>
            </w:pPr>
            <w:r>
              <w:rPr>
                <w:rFonts w:hint="eastAsia" w:ascii="宋体" w:hAnsi="宋体" w:eastAsia="宋体" w:cs="宋体"/>
                <w:b/>
                <w:bCs/>
                <w:color w:val="auto"/>
                <w:kern w:val="2"/>
                <w:sz w:val="24"/>
                <w:szCs w:val="24"/>
                <w:highlight w:val="none"/>
                <w:lang w:val="en-US" w:eastAsia="zh-CN" w:bidi="ar-SA"/>
              </w:rPr>
              <w:t>扣分标准</w:t>
            </w:r>
          </w:p>
        </w:tc>
      </w:tr>
      <w:tr w14:paraId="59397ED9">
        <w:tblPrEx>
          <w:tblCellMar>
            <w:top w:w="15" w:type="dxa"/>
            <w:left w:w="15" w:type="dxa"/>
            <w:bottom w:w="15" w:type="dxa"/>
            <w:right w:w="15" w:type="dxa"/>
          </w:tblCellMar>
        </w:tblPrEx>
        <w:trPr>
          <w:trHeight w:val="948" w:hRule="atLeast"/>
        </w:trPr>
        <w:tc>
          <w:tcPr>
            <w:tcW w:w="750" w:type="dxa"/>
            <w:tcBorders>
              <w:top w:val="single" w:color="000000" w:sz="4" w:space="0"/>
              <w:left w:val="single" w:color="000000" w:sz="4" w:space="0"/>
              <w:bottom w:val="single" w:color="000000" w:sz="4" w:space="0"/>
              <w:right w:val="single" w:color="000000" w:sz="4" w:space="0"/>
            </w:tcBorders>
            <w:noWrap w:val="0"/>
            <w:vAlign w:val="center"/>
          </w:tcPr>
          <w:p w14:paraId="4F4445FB">
            <w:pPr>
              <w:pStyle w:val="12"/>
              <w:wordWrap w:val="0"/>
              <w:spacing w:line="240" w:lineRule="auto"/>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w:t>
            </w:r>
          </w:p>
        </w:tc>
        <w:tc>
          <w:tcPr>
            <w:tcW w:w="2850" w:type="dxa"/>
            <w:tcBorders>
              <w:top w:val="single" w:color="000000" w:sz="4" w:space="0"/>
              <w:left w:val="single" w:color="000000" w:sz="4" w:space="0"/>
              <w:bottom w:val="single" w:color="000000" w:sz="4" w:space="0"/>
              <w:right w:val="single" w:color="000000" w:sz="4" w:space="0"/>
            </w:tcBorders>
            <w:noWrap w:val="0"/>
            <w:vAlign w:val="center"/>
          </w:tcPr>
          <w:p w14:paraId="4AC43A76">
            <w:pPr>
              <w:pStyle w:val="12"/>
              <w:wordWrap w:val="0"/>
              <w:spacing w:line="240" w:lineRule="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每月测试消防广播主机的功能是否正常</w:t>
            </w:r>
          </w:p>
        </w:tc>
        <w:tc>
          <w:tcPr>
            <w:tcW w:w="2985" w:type="dxa"/>
            <w:tcBorders>
              <w:top w:val="single" w:color="000000" w:sz="4" w:space="0"/>
              <w:left w:val="single" w:color="000000" w:sz="4" w:space="0"/>
              <w:bottom w:val="single" w:color="000000" w:sz="4" w:space="0"/>
              <w:right w:val="single" w:color="000000" w:sz="4" w:space="0"/>
            </w:tcBorders>
            <w:noWrap w:val="0"/>
            <w:vAlign w:val="center"/>
          </w:tcPr>
          <w:p w14:paraId="71ABC830">
            <w:pPr>
              <w:pStyle w:val="12"/>
              <w:wordWrap w:val="0"/>
              <w:spacing w:line="240" w:lineRule="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主机功能正常，紧急切换功能正常</w:t>
            </w:r>
          </w:p>
        </w:tc>
        <w:tc>
          <w:tcPr>
            <w:tcW w:w="2985" w:type="dxa"/>
            <w:tcBorders>
              <w:top w:val="single" w:color="000000" w:sz="4" w:space="0"/>
              <w:left w:val="single" w:color="000000" w:sz="4" w:space="0"/>
              <w:bottom w:val="single" w:color="000000" w:sz="4" w:space="0"/>
              <w:right w:val="single" w:color="000000" w:sz="4" w:space="0"/>
            </w:tcBorders>
            <w:noWrap w:val="0"/>
            <w:vAlign w:val="center"/>
          </w:tcPr>
          <w:p w14:paraId="0A56CEDF">
            <w:pPr>
              <w:pStyle w:val="12"/>
              <w:wordWrap w:val="0"/>
              <w:spacing w:line="240" w:lineRule="auto"/>
              <w:rPr>
                <w:rFonts w:hint="eastAsia" w:ascii="宋体" w:hAnsi="宋体" w:eastAsia="宋体" w:cs="宋体"/>
                <w:color w:val="auto"/>
                <w:sz w:val="24"/>
                <w:szCs w:val="24"/>
                <w:highlight w:val="none"/>
              </w:rPr>
            </w:pPr>
            <w:r>
              <w:rPr>
                <w:rFonts w:hint="eastAsia" w:ascii="宋体" w:hAnsi="宋体" w:eastAsia="宋体" w:cs="宋体"/>
                <w:color w:val="auto"/>
                <w:kern w:val="2"/>
                <w:sz w:val="24"/>
                <w:szCs w:val="24"/>
                <w:highlight w:val="none"/>
                <w:lang w:val="en-US" w:eastAsia="zh-CN" w:bidi="ar-SA"/>
              </w:rPr>
              <w:t>任一处未达标准，扣考核评分0.5分，并扣除服务费100元。</w:t>
            </w:r>
          </w:p>
        </w:tc>
      </w:tr>
      <w:tr w14:paraId="6D0541D1">
        <w:tblPrEx>
          <w:tblCellMar>
            <w:top w:w="15" w:type="dxa"/>
            <w:left w:w="15" w:type="dxa"/>
            <w:bottom w:w="15" w:type="dxa"/>
            <w:right w:w="15" w:type="dxa"/>
          </w:tblCellMar>
        </w:tblPrEx>
        <w:trPr>
          <w:trHeight w:val="780" w:hRule="atLeast"/>
        </w:trPr>
        <w:tc>
          <w:tcPr>
            <w:tcW w:w="750" w:type="dxa"/>
            <w:tcBorders>
              <w:top w:val="single" w:color="000000" w:sz="4" w:space="0"/>
              <w:left w:val="single" w:color="000000" w:sz="4" w:space="0"/>
              <w:bottom w:val="single" w:color="000000" w:sz="4" w:space="0"/>
              <w:right w:val="single" w:color="000000" w:sz="4" w:space="0"/>
            </w:tcBorders>
            <w:noWrap w:val="0"/>
            <w:vAlign w:val="center"/>
          </w:tcPr>
          <w:p w14:paraId="57C78696">
            <w:pPr>
              <w:pStyle w:val="12"/>
              <w:wordWrap w:val="0"/>
              <w:spacing w:line="240" w:lineRule="auto"/>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w:t>
            </w:r>
          </w:p>
        </w:tc>
        <w:tc>
          <w:tcPr>
            <w:tcW w:w="2850" w:type="dxa"/>
            <w:tcBorders>
              <w:top w:val="single" w:color="000000" w:sz="4" w:space="0"/>
              <w:left w:val="single" w:color="000000" w:sz="4" w:space="0"/>
              <w:bottom w:val="single" w:color="000000" w:sz="4" w:space="0"/>
              <w:right w:val="single" w:color="000000" w:sz="4" w:space="0"/>
            </w:tcBorders>
            <w:noWrap w:val="0"/>
            <w:vAlign w:val="center"/>
          </w:tcPr>
          <w:p w14:paraId="683A34F6">
            <w:pPr>
              <w:pStyle w:val="12"/>
              <w:wordWrap w:val="0"/>
              <w:spacing w:line="240" w:lineRule="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每月</w:t>
            </w:r>
            <w:r>
              <w:rPr>
                <w:rFonts w:hint="eastAsia" w:ascii="宋体" w:hAnsi="宋体" w:eastAsia="宋体" w:cs="宋体"/>
                <w:color w:val="auto"/>
                <w:sz w:val="24"/>
                <w:szCs w:val="24"/>
                <w:highlight w:val="none"/>
                <w:lang w:eastAsia="zh-CN"/>
              </w:rPr>
              <w:t>抽检</w:t>
            </w:r>
            <w:r>
              <w:rPr>
                <w:rFonts w:hint="eastAsia" w:ascii="宋体" w:hAnsi="宋体" w:eastAsia="宋体" w:cs="宋体"/>
                <w:color w:val="auto"/>
                <w:sz w:val="24"/>
                <w:szCs w:val="24"/>
                <w:highlight w:val="none"/>
              </w:rPr>
              <w:t>扬声器外观，测试扬声器音量、音质</w:t>
            </w:r>
          </w:p>
        </w:tc>
        <w:tc>
          <w:tcPr>
            <w:tcW w:w="2985" w:type="dxa"/>
            <w:tcBorders>
              <w:top w:val="single" w:color="000000" w:sz="4" w:space="0"/>
              <w:left w:val="single" w:color="000000" w:sz="4" w:space="0"/>
              <w:bottom w:val="single" w:color="000000" w:sz="4" w:space="0"/>
              <w:right w:val="single" w:color="000000" w:sz="4" w:space="0"/>
            </w:tcBorders>
            <w:noWrap w:val="0"/>
            <w:vAlign w:val="center"/>
          </w:tcPr>
          <w:p w14:paraId="368E1760">
            <w:pPr>
              <w:pStyle w:val="12"/>
              <w:wordWrap w:val="0"/>
              <w:spacing w:line="240" w:lineRule="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扬声器外观完好，声音响亮、清晰</w:t>
            </w:r>
          </w:p>
        </w:tc>
        <w:tc>
          <w:tcPr>
            <w:tcW w:w="2985" w:type="dxa"/>
            <w:tcBorders>
              <w:top w:val="single" w:color="000000" w:sz="4" w:space="0"/>
              <w:left w:val="single" w:color="000000" w:sz="4" w:space="0"/>
              <w:bottom w:val="single" w:color="000000" w:sz="4" w:space="0"/>
              <w:right w:val="single" w:color="000000" w:sz="4" w:space="0"/>
            </w:tcBorders>
            <w:noWrap w:val="0"/>
            <w:vAlign w:val="center"/>
          </w:tcPr>
          <w:p w14:paraId="1D97B400">
            <w:pPr>
              <w:pStyle w:val="12"/>
              <w:wordWrap w:val="0"/>
              <w:spacing w:line="240" w:lineRule="auto"/>
              <w:rPr>
                <w:rFonts w:hint="eastAsia" w:ascii="宋体" w:hAnsi="宋体" w:eastAsia="宋体" w:cs="宋体"/>
                <w:color w:val="auto"/>
                <w:sz w:val="24"/>
                <w:szCs w:val="24"/>
                <w:highlight w:val="none"/>
              </w:rPr>
            </w:pPr>
            <w:r>
              <w:rPr>
                <w:rFonts w:hint="eastAsia" w:ascii="宋体" w:hAnsi="宋体" w:eastAsia="宋体" w:cs="宋体"/>
                <w:color w:val="auto"/>
                <w:kern w:val="2"/>
                <w:sz w:val="24"/>
                <w:szCs w:val="24"/>
                <w:highlight w:val="none"/>
                <w:lang w:val="en-US" w:eastAsia="zh-CN" w:bidi="ar-SA"/>
              </w:rPr>
              <w:t>任一处未达标准，扣考核评分0.5分，并扣除服务费100元。</w:t>
            </w:r>
          </w:p>
        </w:tc>
      </w:tr>
    </w:tbl>
    <w:p w14:paraId="7B420775">
      <w:pPr>
        <w:pStyle w:val="12"/>
        <w:wordWrap w:val="0"/>
        <w:spacing w:line="360" w:lineRule="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6</w:t>
      </w:r>
      <w:r>
        <w:rPr>
          <w:rFonts w:hint="eastAsia" w:ascii="宋体" w:hAnsi="宋体" w:eastAsia="宋体" w:cs="宋体"/>
          <w:color w:val="auto"/>
          <w:sz w:val="24"/>
          <w:szCs w:val="24"/>
          <w:highlight w:val="none"/>
          <w:lang w:val="en-US" w:eastAsia="zh-CN"/>
        </w:rPr>
        <w:t>.</w:t>
      </w:r>
      <w:r>
        <w:rPr>
          <w:rFonts w:hint="eastAsia" w:ascii="宋体" w:hAnsi="宋体" w:eastAsia="宋体" w:cs="宋体"/>
          <w:color w:val="auto"/>
          <w:sz w:val="24"/>
          <w:szCs w:val="24"/>
          <w:highlight w:val="none"/>
        </w:rPr>
        <w:t>应急照明及疏散指示标识系统</w:t>
      </w:r>
    </w:p>
    <w:tbl>
      <w:tblPr>
        <w:tblStyle w:val="20"/>
        <w:tblW w:w="9570" w:type="dxa"/>
        <w:tblInd w:w="-549" w:type="dxa"/>
        <w:tblLayout w:type="fixed"/>
        <w:tblCellMar>
          <w:top w:w="15" w:type="dxa"/>
          <w:left w:w="15" w:type="dxa"/>
          <w:bottom w:w="15" w:type="dxa"/>
          <w:right w:w="15" w:type="dxa"/>
        </w:tblCellMar>
      </w:tblPr>
      <w:tblGrid>
        <w:gridCol w:w="750"/>
        <w:gridCol w:w="2850"/>
        <w:gridCol w:w="2985"/>
        <w:gridCol w:w="2985"/>
      </w:tblGrid>
      <w:tr w14:paraId="5FF20EB5">
        <w:tblPrEx>
          <w:tblCellMar>
            <w:top w:w="15" w:type="dxa"/>
            <w:left w:w="15" w:type="dxa"/>
            <w:bottom w:w="15" w:type="dxa"/>
            <w:right w:w="15" w:type="dxa"/>
          </w:tblCellMar>
        </w:tblPrEx>
        <w:trPr>
          <w:trHeight w:val="228" w:hRule="atLeast"/>
        </w:trPr>
        <w:tc>
          <w:tcPr>
            <w:tcW w:w="750" w:type="dxa"/>
            <w:tcBorders>
              <w:top w:val="single" w:color="000000" w:sz="4" w:space="0"/>
              <w:left w:val="single" w:color="000000" w:sz="4" w:space="0"/>
              <w:bottom w:val="single" w:color="000000" w:sz="4" w:space="0"/>
              <w:right w:val="single" w:color="000000" w:sz="4" w:space="0"/>
            </w:tcBorders>
            <w:noWrap w:val="0"/>
            <w:vAlign w:val="center"/>
          </w:tcPr>
          <w:p w14:paraId="1BDAD675">
            <w:pPr>
              <w:pStyle w:val="12"/>
              <w:wordWrap w:val="0"/>
              <w:spacing w:line="360" w:lineRule="auto"/>
              <w:jc w:val="center"/>
              <w:rPr>
                <w:rFonts w:hint="eastAsia" w:ascii="宋体" w:hAnsi="宋体" w:eastAsia="宋体" w:cs="宋体"/>
                <w:color w:val="auto"/>
                <w:sz w:val="24"/>
                <w:szCs w:val="24"/>
                <w:highlight w:val="none"/>
              </w:rPr>
            </w:pPr>
            <w:r>
              <w:rPr>
                <w:rFonts w:hint="eastAsia" w:ascii="宋体" w:hAnsi="宋体" w:eastAsia="宋体" w:cs="宋体"/>
                <w:b/>
                <w:bCs/>
                <w:color w:val="auto"/>
                <w:sz w:val="24"/>
                <w:szCs w:val="24"/>
                <w:highlight w:val="none"/>
              </w:rPr>
              <w:t>序号</w:t>
            </w:r>
          </w:p>
        </w:tc>
        <w:tc>
          <w:tcPr>
            <w:tcW w:w="2850" w:type="dxa"/>
            <w:tcBorders>
              <w:top w:val="single" w:color="000000" w:sz="4" w:space="0"/>
              <w:left w:val="single" w:color="000000" w:sz="4" w:space="0"/>
              <w:bottom w:val="single" w:color="000000" w:sz="4" w:space="0"/>
              <w:right w:val="single" w:color="000000" w:sz="4" w:space="0"/>
            </w:tcBorders>
            <w:noWrap w:val="0"/>
            <w:vAlign w:val="center"/>
          </w:tcPr>
          <w:p w14:paraId="148E4968">
            <w:pPr>
              <w:pStyle w:val="12"/>
              <w:wordWrap w:val="0"/>
              <w:spacing w:line="360" w:lineRule="auto"/>
              <w:jc w:val="center"/>
              <w:rPr>
                <w:rFonts w:hint="eastAsia" w:ascii="宋体" w:hAnsi="宋体" w:eastAsia="宋体" w:cs="宋体"/>
                <w:color w:val="auto"/>
                <w:sz w:val="24"/>
                <w:szCs w:val="24"/>
                <w:highlight w:val="none"/>
              </w:rPr>
            </w:pPr>
            <w:r>
              <w:rPr>
                <w:rFonts w:hint="eastAsia" w:ascii="宋体" w:hAnsi="宋体" w:eastAsia="宋体" w:cs="宋体"/>
                <w:b/>
                <w:bCs/>
                <w:color w:val="auto"/>
                <w:sz w:val="24"/>
                <w:szCs w:val="24"/>
                <w:highlight w:val="none"/>
              </w:rPr>
              <w:t>维护保养工作内容</w:t>
            </w:r>
          </w:p>
        </w:tc>
        <w:tc>
          <w:tcPr>
            <w:tcW w:w="2985" w:type="dxa"/>
            <w:tcBorders>
              <w:top w:val="single" w:color="000000" w:sz="4" w:space="0"/>
              <w:left w:val="single" w:color="000000" w:sz="4" w:space="0"/>
              <w:bottom w:val="single" w:color="000000" w:sz="4" w:space="0"/>
              <w:right w:val="single" w:color="000000" w:sz="4" w:space="0"/>
            </w:tcBorders>
            <w:noWrap w:val="0"/>
            <w:vAlign w:val="center"/>
          </w:tcPr>
          <w:p w14:paraId="0018BE4B">
            <w:pPr>
              <w:pStyle w:val="12"/>
              <w:wordWrap w:val="0"/>
              <w:spacing w:line="360" w:lineRule="auto"/>
              <w:jc w:val="center"/>
              <w:rPr>
                <w:rFonts w:hint="eastAsia" w:ascii="宋体" w:hAnsi="宋体" w:eastAsia="宋体" w:cs="宋体"/>
                <w:color w:val="auto"/>
                <w:sz w:val="24"/>
                <w:szCs w:val="24"/>
                <w:highlight w:val="none"/>
              </w:rPr>
            </w:pPr>
            <w:r>
              <w:rPr>
                <w:rFonts w:hint="eastAsia" w:ascii="宋体" w:hAnsi="宋体" w:eastAsia="宋体" w:cs="宋体"/>
                <w:b/>
                <w:bCs/>
                <w:color w:val="auto"/>
                <w:sz w:val="24"/>
                <w:szCs w:val="24"/>
                <w:highlight w:val="none"/>
              </w:rPr>
              <w:t>维护保养标准</w:t>
            </w:r>
          </w:p>
        </w:tc>
        <w:tc>
          <w:tcPr>
            <w:tcW w:w="2985" w:type="dxa"/>
            <w:tcBorders>
              <w:top w:val="single" w:color="000000" w:sz="4" w:space="0"/>
              <w:left w:val="single" w:color="000000" w:sz="4" w:space="0"/>
              <w:bottom w:val="single" w:color="000000" w:sz="4" w:space="0"/>
              <w:right w:val="single" w:color="000000" w:sz="4" w:space="0"/>
            </w:tcBorders>
            <w:noWrap w:val="0"/>
            <w:vAlign w:val="center"/>
          </w:tcPr>
          <w:p w14:paraId="3BC6B76C">
            <w:pPr>
              <w:pStyle w:val="12"/>
              <w:wordWrap w:val="0"/>
              <w:spacing w:line="360" w:lineRule="auto"/>
              <w:jc w:val="center"/>
              <w:rPr>
                <w:rFonts w:hint="eastAsia" w:ascii="宋体" w:hAnsi="宋体" w:eastAsia="宋体" w:cs="宋体"/>
                <w:color w:val="auto"/>
                <w:sz w:val="24"/>
                <w:szCs w:val="24"/>
                <w:highlight w:val="none"/>
              </w:rPr>
            </w:pPr>
            <w:r>
              <w:rPr>
                <w:rFonts w:hint="eastAsia" w:ascii="宋体" w:hAnsi="宋体" w:eastAsia="宋体" w:cs="宋体"/>
                <w:b/>
                <w:bCs/>
                <w:color w:val="auto"/>
                <w:kern w:val="2"/>
                <w:sz w:val="24"/>
                <w:szCs w:val="24"/>
                <w:highlight w:val="none"/>
                <w:lang w:val="en-US" w:eastAsia="zh-CN" w:bidi="ar-SA"/>
              </w:rPr>
              <w:t>扣分标准</w:t>
            </w:r>
          </w:p>
        </w:tc>
      </w:tr>
      <w:tr w14:paraId="5B8CB0EA">
        <w:tblPrEx>
          <w:tblCellMar>
            <w:top w:w="15" w:type="dxa"/>
            <w:left w:w="15" w:type="dxa"/>
            <w:bottom w:w="15" w:type="dxa"/>
            <w:right w:w="15" w:type="dxa"/>
          </w:tblCellMar>
        </w:tblPrEx>
        <w:trPr>
          <w:trHeight w:val="937" w:hRule="atLeast"/>
        </w:trPr>
        <w:tc>
          <w:tcPr>
            <w:tcW w:w="750" w:type="dxa"/>
            <w:tcBorders>
              <w:top w:val="single" w:color="000000" w:sz="4" w:space="0"/>
              <w:left w:val="single" w:color="000000" w:sz="4" w:space="0"/>
              <w:bottom w:val="single" w:color="000000" w:sz="4" w:space="0"/>
              <w:right w:val="single" w:color="000000" w:sz="4" w:space="0"/>
            </w:tcBorders>
            <w:noWrap w:val="0"/>
            <w:vAlign w:val="center"/>
          </w:tcPr>
          <w:p w14:paraId="72587A45">
            <w:pPr>
              <w:pStyle w:val="12"/>
              <w:wordWrap w:val="0"/>
              <w:spacing w:line="240" w:lineRule="auto"/>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w:t>
            </w:r>
          </w:p>
        </w:tc>
        <w:tc>
          <w:tcPr>
            <w:tcW w:w="2850" w:type="dxa"/>
            <w:tcBorders>
              <w:top w:val="single" w:color="000000" w:sz="4" w:space="0"/>
              <w:left w:val="single" w:color="000000" w:sz="4" w:space="0"/>
              <w:bottom w:val="single" w:color="000000" w:sz="4" w:space="0"/>
              <w:right w:val="single" w:color="000000" w:sz="4" w:space="0"/>
            </w:tcBorders>
            <w:noWrap w:val="0"/>
            <w:vAlign w:val="center"/>
          </w:tcPr>
          <w:p w14:paraId="40F68C67">
            <w:pPr>
              <w:pStyle w:val="12"/>
              <w:wordWrap w:val="0"/>
              <w:spacing w:line="240" w:lineRule="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每月</w:t>
            </w:r>
            <w:r>
              <w:rPr>
                <w:rFonts w:hint="eastAsia" w:ascii="宋体" w:hAnsi="宋体" w:eastAsia="宋体" w:cs="宋体"/>
                <w:color w:val="auto"/>
                <w:sz w:val="24"/>
                <w:szCs w:val="24"/>
                <w:highlight w:val="none"/>
                <w:lang w:eastAsia="zh-CN"/>
              </w:rPr>
              <w:t>抽检</w:t>
            </w:r>
            <w:r>
              <w:rPr>
                <w:rFonts w:hint="eastAsia" w:ascii="宋体" w:hAnsi="宋体" w:eastAsia="宋体" w:cs="宋体"/>
                <w:color w:val="auto"/>
                <w:sz w:val="24"/>
                <w:szCs w:val="24"/>
                <w:highlight w:val="none"/>
              </w:rPr>
              <w:t>应急照明灯及疏散指示标识</w:t>
            </w:r>
          </w:p>
        </w:tc>
        <w:tc>
          <w:tcPr>
            <w:tcW w:w="2985" w:type="dxa"/>
            <w:tcBorders>
              <w:top w:val="single" w:color="000000" w:sz="4" w:space="0"/>
              <w:left w:val="single" w:color="000000" w:sz="4" w:space="0"/>
              <w:bottom w:val="single" w:color="000000" w:sz="4" w:space="0"/>
              <w:right w:val="single" w:color="000000" w:sz="4" w:space="0"/>
            </w:tcBorders>
            <w:noWrap w:val="0"/>
            <w:vAlign w:val="center"/>
          </w:tcPr>
          <w:p w14:paraId="6F5CD50B">
            <w:pPr>
              <w:pStyle w:val="12"/>
              <w:wordWrap w:val="0"/>
              <w:spacing w:line="240" w:lineRule="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应急照明灯、疏散指示标识外观无破损、工作状态正常</w:t>
            </w:r>
          </w:p>
        </w:tc>
        <w:tc>
          <w:tcPr>
            <w:tcW w:w="2985" w:type="dxa"/>
            <w:tcBorders>
              <w:top w:val="single" w:color="000000" w:sz="4" w:space="0"/>
              <w:left w:val="single" w:color="000000" w:sz="4" w:space="0"/>
              <w:bottom w:val="single" w:color="000000" w:sz="4" w:space="0"/>
              <w:right w:val="single" w:color="000000" w:sz="4" w:space="0"/>
            </w:tcBorders>
            <w:noWrap w:val="0"/>
            <w:vAlign w:val="center"/>
          </w:tcPr>
          <w:p w14:paraId="5D576068">
            <w:pPr>
              <w:pStyle w:val="12"/>
              <w:wordWrap w:val="0"/>
              <w:spacing w:line="240" w:lineRule="auto"/>
              <w:rPr>
                <w:rFonts w:hint="eastAsia" w:ascii="宋体" w:hAnsi="宋体" w:eastAsia="宋体" w:cs="宋体"/>
                <w:color w:val="auto"/>
                <w:sz w:val="24"/>
                <w:szCs w:val="24"/>
                <w:highlight w:val="none"/>
              </w:rPr>
            </w:pPr>
            <w:r>
              <w:rPr>
                <w:rFonts w:hint="eastAsia" w:ascii="宋体" w:hAnsi="宋体" w:eastAsia="宋体" w:cs="宋体"/>
                <w:color w:val="auto"/>
                <w:kern w:val="2"/>
                <w:sz w:val="24"/>
                <w:szCs w:val="24"/>
                <w:highlight w:val="none"/>
                <w:lang w:val="en-US" w:eastAsia="zh-CN" w:bidi="ar-SA"/>
              </w:rPr>
              <w:t>任一处未达标准，扣考核评分0.5分，并扣除服务费100元。</w:t>
            </w:r>
          </w:p>
        </w:tc>
      </w:tr>
      <w:tr w14:paraId="61FCD29A">
        <w:tblPrEx>
          <w:tblCellMar>
            <w:top w:w="15" w:type="dxa"/>
            <w:left w:w="15" w:type="dxa"/>
            <w:bottom w:w="15" w:type="dxa"/>
            <w:right w:w="15" w:type="dxa"/>
          </w:tblCellMar>
        </w:tblPrEx>
        <w:trPr>
          <w:trHeight w:val="937" w:hRule="atLeast"/>
        </w:trPr>
        <w:tc>
          <w:tcPr>
            <w:tcW w:w="750" w:type="dxa"/>
            <w:tcBorders>
              <w:top w:val="single" w:color="000000" w:sz="4" w:space="0"/>
              <w:left w:val="single" w:color="000000" w:sz="4" w:space="0"/>
              <w:bottom w:val="single" w:color="000000" w:sz="4" w:space="0"/>
              <w:right w:val="single" w:color="000000" w:sz="4" w:space="0"/>
            </w:tcBorders>
            <w:noWrap w:val="0"/>
            <w:vAlign w:val="center"/>
          </w:tcPr>
          <w:p w14:paraId="6EAB0114">
            <w:pPr>
              <w:pStyle w:val="12"/>
              <w:wordWrap w:val="0"/>
              <w:spacing w:line="240" w:lineRule="auto"/>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w:t>
            </w:r>
          </w:p>
        </w:tc>
        <w:tc>
          <w:tcPr>
            <w:tcW w:w="2850" w:type="dxa"/>
            <w:tcBorders>
              <w:top w:val="single" w:color="000000" w:sz="4" w:space="0"/>
              <w:left w:val="single" w:color="000000" w:sz="4" w:space="0"/>
              <w:bottom w:val="single" w:color="000000" w:sz="4" w:space="0"/>
              <w:right w:val="single" w:color="000000" w:sz="4" w:space="0"/>
            </w:tcBorders>
            <w:noWrap w:val="0"/>
            <w:vAlign w:val="center"/>
          </w:tcPr>
          <w:p w14:paraId="76D1FA62">
            <w:pPr>
              <w:pStyle w:val="12"/>
              <w:wordWrap w:val="0"/>
              <w:spacing w:line="240" w:lineRule="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每季对应急照明及疏散指示标识进行主备电切换测试，查看应急灯照度和持续照度时间是否符合要求</w:t>
            </w:r>
          </w:p>
        </w:tc>
        <w:tc>
          <w:tcPr>
            <w:tcW w:w="2985" w:type="dxa"/>
            <w:tcBorders>
              <w:top w:val="single" w:color="000000" w:sz="4" w:space="0"/>
              <w:left w:val="single" w:color="000000" w:sz="4" w:space="0"/>
              <w:bottom w:val="single" w:color="000000" w:sz="4" w:space="0"/>
              <w:right w:val="single" w:color="000000" w:sz="4" w:space="0"/>
            </w:tcBorders>
            <w:noWrap w:val="0"/>
            <w:vAlign w:val="center"/>
          </w:tcPr>
          <w:p w14:paraId="79103A9A">
            <w:pPr>
              <w:pStyle w:val="12"/>
              <w:wordWrap w:val="0"/>
              <w:spacing w:line="240" w:lineRule="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主备电切换功能正常，切换备电后，应急灯照度和持续照亮时间符合规范要求</w:t>
            </w:r>
          </w:p>
        </w:tc>
        <w:tc>
          <w:tcPr>
            <w:tcW w:w="2985" w:type="dxa"/>
            <w:tcBorders>
              <w:top w:val="single" w:color="000000" w:sz="4" w:space="0"/>
              <w:left w:val="single" w:color="000000" w:sz="4" w:space="0"/>
              <w:bottom w:val="single" w:color="000000" w:sz="4" w:space="0"/>
              <w:right w:val="single" w:color="000000" w:sz="4" w:space="0"/>
            </w:tcBorders>
            <w:noWrap w:val="0"/>
            <w:vAlign w:val="center"/>
          </w:tcPr>
          <w:p w14:paraId="5624805D">
            <w:pPr>
              <w:pStyle w:val="12"/>
              <w:wordWrap w:val="0"/>
              <w:spacing w:line="240" w:lineRule="auto"/>
              <w:rPr>
                <w:rFonts w:hint="eastAsia" w:ascii="宋体" w:hAnsi="宋体" w:eastAsia="宋体" w:cs="宋体"/>
                <w:color w:val="auto"/>
                <w:sz w:val="24"/>
                <w:szCs w:val="24"/>
                <w:highlight w:val="none"/>
              </w:rPr>
            </w:pPr>
            <w:r>
              <w:rPr>
                <w:rFonts w:hint="eastAsia" w:ascii="宋体" w:hAnsi="宋体" w:eastAsia="宋体" w:cs="宋体"/>
                <w:color w:val="auto"/>
                <w:kern w:val="2"/>
                <w:sz w:val="24"/>
                <w:szCs w:val="24"/>
                <w:highlight w:val="none"/>
                <w:lang w:val="en-US" w:eastAsia="zh-CN" w:bidi="ar-SA"/>
              </w:rPr>
              <w:t>任一处未达标准，扣考核评分1分，并扣除服务费200元。</w:t>
            </w:r>
          </w:p>
        </w:tc>
      </w:tr>
    </w:tbl>
    <w:p w14:paraId="1F7F5A11">
      <w:pPr>
        <w:pStyle w:val="12"/>
        <w:wordWrap w:val="0"/>
        <w:spacing w:line="360" w:lineRule="auto"/>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rPr>
        <w:t>7</w:t>
      </w:r>
      <w:r>
        <w:rPr>
          <w:rFonts w:hint="eastAsia" w:ascii="宋体" w:hAnsi="宋体" w:eastAsia="宋体" w:cs="宋体"/>
          <w:color w:val="auto"/>
          <w:sz w:val="24"/>
          <w:szCs w:val="24"/>
          <w:highlight w:val="none"/>
          <w:lang w:val="en-US" w:eastAsia="zh-CN"/>
        </w:rPr>
        <w:t>.</w:t>
      </w:r>
      <w:r>
        <w:rPr>
          <w:rFonts w:hint="eastAsia" w:ascii="宋体" w:hAnsi="宋体" w:eastAsia="宋体" w:cs="宋体"/>
          <w:color w:val="auto"/>
          <w:sz w:val="24"/>
          <w:szCs w:val="24"/>
          <w:highlight w:val="none"/>
        </w:rPr>
        <w:t>消火栓</w:t>
      </w:r>
      <w:r>
        <w:rPr>
          <w:rFonts w:hint="eastAsia" w:ascii="宋体" w:hAnsi="宋体" w:eastAsia="宋体" w:cs="宋体"/>
          <w:color w:val="auto"/>
          <w:sz w:val="24"/>
          <w:szCs w:val="24"/>
          <w:highlight w:val="none"/>
          <w:lang w:eastAsia="zh-CN"/>
        </w:rPr>
        <w:t>系统</w:t>
      </w:r>
    </w:p>
    <w:tbl>
      <w:tblPr>
        <w:tblStyle w:val="20"/>
        <w:tblW w:w="9570" w:type="dxa"/>
        <w:tblInd w:w="-549" w:type="dxa"/>
        <w:tblLayout w:type="fixed"/>
        <w:tblCellMar>
          <w:top w:w="15" w:type="dxa"/>
          <w:left w:w="15" w:type="dxa"/>
          <w:bottom w:w="15" w:type="dxa"/>
          <w:right w:w="15" w:type="dxa"/>
        </w:tblCellMar>
      </w:tblPr>
      <w:tblGrid>
        <w:gridCol w:w="750"/>
        <w:gridCol w:w="2850"/>
        <w:gridCol w:w="2985"/>
        <w:gridCol w:w="2985"/>
      </w:tblGrid>
      <w:tr w14:paraId="42E140C0">
        <w:tblPrEx>
          <w:tblCellMar>
            <w:top w:w="15" w:type="dxa"/>
            <w:left w:w="15" w:type="dxa"/>
            <w:bottom w:w="15" w:type="dxa"/>
            <w:right w:w="15" w:type="dxa"/>
          </w:tblCellMar>
        </w:tblPrEx>
        <w:trPr>
          <w:trHeight w:val="625" w:hRule="atLeast"/>
        </w:trPr>
        <w:tc>
          <w:tcPr>
            <w:tcW w:w="750" w:type="dxa"/>
            <w:tcBorders>
              <w:top w:val="single" w:color="000000" w:sz="4" w:space="0"/>
              <w:left w:val="single" w:color="000000" w:sz="4" w:space="0"/>
              <w:bottom w:val="single" w:color="000000" w:sz="4" w:space="0"/>
              <w:right w:val="single" w:color="000000" w:sz="4" w:space="0"/>
            </w:tcBorders>
            <w:noWrap w:val="0"/>
            <w:vAlign w:val="center"/>
          </w:tcPr>
          <w:p w14:paraId="439381C5">
            <w:pPr>
              <w:pStyle w:val="12"/>
              <w:wordWrap w:val="0"/>
              <w:spacing w:line="360" w:lineRule="auto"/>
              <w:jc w:val="center"/>
              <w:rPr>
                <w:rFonts w:hint="eastAsia" w:ascii="宋体" w:hAnsi="宋体" w:eastAsia="宋体" w:cs="宋体"/>
                <w:color w:val="auto"/>
                <w:sz w:val="24"/>
                <w:szCs w:val="24"/>
                <w:highlight w:val="none"/>
              </w:rPr>
            </w:pPr>
            <w:r>
              <w:rPr>
                <w:rFonts w:hint="eastAsia" w:ascii="宋体" w:hAnsi="宋体" w:eastAsia="宋体" w:cs="宋体"/>
                <w:b/>
                <w:bCs/>
                <w:color w:val="auto"/>
                <w:sz w:val="24"/>
                <w:szCs w:val="24"/>
                <w:highlight w:val="none"/>
              </w:rPr>
              <w:t>序号</w:t>
            </w:r>
          </w:p>
        </w:tc>
        <w:tc>
          <w:tcPr>
            <w:tcW w:w="2850" w:type="dxa"/>
            <w:tcBorders>
              <w:top w:val="single" w:color="000000" w:sz="4" w:space="0"/>
              <w:left w:val="single" w:color="000000" w:sz="4" w:space="0"/>
              <w:bottom w:val="single" w:color="000000" w:sz="4" w:space="0"/>
              <w:right w:val="single" w:color="000000" w:sz="4" w:space="0"/>
            </w:tcBorders>
            <w:noWrap w:val="0"/>
            <w:vAlign w:val="center"/>
          </w:tcPr>
          <w:p w14:paraId="2850EC7C">
            <w:pPr>
              <w:pStyle w:val="12"/>
              <w:wordWrap w:val="0"/>
              <w:spacing w:line="360" w:lineRule="auto"/>
              <w:jc w:val="center"/>
              <w:rPr>
                <w:rFonts w:hint="eastAsia" w:ascii="宋体" w:hAnsi="宋体" w:eastAsia="宋体" w:cs="宋体"/>
                <w:color w:val="auto"/>
                <w:sz w:val="24"/>
                <w:szCs w:val="24"/>
                <w:highlight w:val="none"/>
              </w:rPr>
            </w:pPr>
            <w:r>
              <w:rPr>
                <w:rFonts w:hint="eastAsia" w:ascii="宋体" w:hAnsi="宋体" w:eastAsia="宋体" w:cs="宋体"/>
                <w:b/>
                <w:bCs/>
                <w:color w:val="auto"/>
                <w:sz w:val="24"/>
                <w:szCs w:val="24"/>
                <w:highlight w:val="none"/>
              </w:rPr>
              <w:t>维护保养工作内容</w:t>
            </w:r>
          </w:p>
        </w:tc>
        <w:tc>
          <w:tcPr>
            <w:tcW w:w="2985" w:type="dxa"/>
            <w:tcBorders>
              <w:top w:val="single" w:color="000000" w:sz="4" w:space="0"/>
              <w:left w:val="single" w:color="000000" w:sz="4" w:space="0"/>
              <w:bottom w:val="single" w:color="000000" w:sz="4" w:space="0"/>
              <w:right w:val="single" w:color="000000" w:sz="4" w:space="0"/>
            </w:tcBorders>
            <w:noWrap w:val="0"/>
            <w:vAlign w:val="center"/>
          </w:tcPr>
          <w:p w14:paraId="459D37A2">
            <w:pPr>
              <w:pStyle w:val="12"/>
              <w:wordWrap w:val="0"/>
              <w:spacing w:line="360" w:lineRule="auto"/>
              <w:jc w:val="center"/>
              <w:rPr>
                <w:rFonts w:hint="eastAsia" w:ascii="宋体" w:hAnsi="宋体" w:eastAsia="宋体" w:cs="宋体"/>
                <w:color w:val="auto"/>
                <w:sz w:val="24"/>
                <w:szCs w:val="24"/>
                <w:highlight w:val="none"/>
              </w:rPr>
            </w:pPr>
            <w:r>
              <w:rPr>
                <w:rFonts w:hint="eastAsia" w:ascii="宋体" w:hAnsi="宋体" w:eastAsia="宋体" w:cs="宋体"/>
                <w:b/>
                <w:bCs/>
                <w:color w:val="auto"/>
                <w:sz w:val="24"/>
                <w:szCs w:val="24"/>
                <w:highlight w:val="none"/>
              </w:rPr>
              <w:t>维护保养标准</w:t>
            </w:r>
          </w:p>
        </w:tc>
        <w:tc>
          <w:tcPr>
            <w:tcW w:w="2985" w:type="dxa"/>
            <w:tcBorders>
              <w:top w:val="single" w:color="000000" w:sz="4" w:space="0"/>
              <w:left w:val="single" w:color="000000" w:sz="4" w:space="0"/>
              <w:bottom w:val="single" w:color="000000" w:sz="4" w:space="0"/>
              <w:right w:val="single" w:color="000000" w:sz="4" w:space="0"/>
            </w:tcBorders>
            <w:noWrap w:val="0"/>
            <w:vAlign w:val="center"/>
          </w:tcPr>
          <w:p w14:paraId="7E37B5C6">
            <w:pPr>
              <w:pStyle w:val="12"/>
              <w:wordWrap w:val="0"/>
              <w:spacing w:line="360" w:lineRule="auto"/>
              <w:jc w:val="center"/>
              <w:rPr>
                <w:rFonts w:hint="eastAsia" w:ascii="宋体" w:hAnsi="宋体" w:eastAsia="宋体" w:cs="宋体"/>
                <w:color w:val="auto"/>
                <w:sz w:val="24"/>
                <w:szCs w:val="24"/>
                <w:highlight w:val="none"/>
              </w:rPr>
            </w:pPr>
            <w:r>
              <w:rPr>
                <w:rFonts w:hint="eastAsia" w:ascii="宋体" w:hAnsi="宋体" w:eastAsia="宋体" w:cs="宋体"/>
                <w:b/>
                <w:bCs/>
                <w:color w:val="auto"/>
                <w:kern w:val="2"/>
                <w:sz w:val="24"/>
                <w:szCs w:val="24"/>
                <w:highlight w:val="none"/>
                <w:lang w:val="en-US" w:eastAsia="zh-CN" w:bidi="ar-SA"/>
              </w:rPr>
              <w:t>扣分标准</w:t>
            </w:r>
          </w:p>
        </w:tc>
      </w:tr>
      <w:tr w14:paraId="532100E9">
        <w:tblPrEx>
          <w:tblCellMar>
            <w:top w:w="15" w:type="dxa"/>
            <w:left w:w="15" w:type="dxa"/>
            <w:bottom w:w="15" w:type="dxa"/>
            <w:right w:w="15" w:type="dxa"/>
          </w:tblCellMar>
        </w:tblPrEx>
        <w:trPr>
          <w:trHeight w:val="665" w:hRule="atLeast"/>
        </w:trPr>
        <w:tc>
          <w:tcPr>
            <w:tcW w:w="750" w:type="dxa"/>
            <w:tcBorders>
              <w:top w:val="single" w:color="000000" w:sz="4" w:space="0"/>
              <w:left w:val="single" w:color="000000" w:sz="4" w:space="0"/>
              <w:bottom w:val="single" w:color="000000" w:sz="4" w:space="0"/>
              <w:right w:val="single" w:color="000000" w:sz="4" w:space="0"/>
            </w:tcBorders>
            <w:noWrap w:val="0"/>
            <w:vAlign w:val="center"/>
          </w:tcPr>
          <w:p w14:paraId="1F6B9C9F">
            <w:pPr>
              <w:pStyle w:val="12"/>
              <w:wordWrap w:val="0"/>
              <w:spacing w:line="240" w:lineRule="auto"/>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w:t>
            </w:r>
          </w:p>
        </w:tc>
        <w:tc>
          <w:tcPr>
            <w:tcW w:w="2850" w:type="dxa"/>
            <w:tcBorders>
              <w:top w:val="single" w:color="000000" w:sz="4" w:space="0"/>
              <w:left w:val="single" w:color="000000" w:sz="4" w:space="0"/>
              <w:bottom w:val="single" w:color="000000" w:sz="4" w:space="0"/>
              <w:right w:val="single" w:color="000000" w:sz="4" w:space="0"/>
            </w:tcBorders>
            <w:noWrap w:val="0"/>
            <w:vAlign w:val="center"/>
          </w:tcPr>
          <w:p w14:paraId="6D22A4EB">
            <w:pPr>
              <w:pStyle w:val="12"/>
              <w:wordWrap w:val="0"/>
              <w:spacing w:line="240" w:lineRule="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每月抽检消防栓外观及配件完整情况</w:t>
            </w:r>
          </w:p>
        </w:tc>
        <w:tc>
          <w:tcPr>
            <w:tcW w:w="2985" w:type="dxa"/>
            <w:tcBorders>
              <w:top w:val="single" w:color="000000" w:sz="4" w:space="0"/>
              <w:left w:val="single" w:color="000000" w:sz="4" w:space="0"/>
              <w:bottom w:val="single" w:color="000000" w:sz="4" w:space="0"/>
              <w:right w:val="single" w:color="000000" w:sz="4" w:space="0"/>
            </w:tcBorders>
            <w:noWrap w:val="0"/>
            <w:vAlign w:val="center"/>
          </w:tcPr>
          <w:p w14:paraId="72EA8ED1">
            <w:pPr>
              <w:pStyle w:val="12"/>
              <w:wordWrap w:val="0"/>
              <w:spacing w:line="240" w:lineRule="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 xml:space="preserve">消防栓外观无损坏、配件完整 </w:t>
            </w:r>
          </w:p>
        </w:tc>
        <w:tc>
          <w:tcPr>
            <w:tcW w:w="2985" w:type="dxa"/>
            <w:tcBorders>
              <w:top w:val="single" w:color="000000" w:sz="4" w:space="0"/>
              <w:left w:val="single" w:color="000000" w:sz="4" w:space="0"/>
              <w:bottom w:val="single" w:color="000000" w:sz="4" w:space="0"/>
              <w:right w:val="single" w:color="000000" w:sz="4" w:space="0"/>
            </w:tcBorders>
            <w:noWrap w:val="0"/>
            <w:vAlign w:val="center"/>
          </w:tcPr>
          <w:p w14:paraId="495C9D4A">
            <w:pPr>
              <w:pStyle w:val="12"/>
              <w:wordWrap w:val="0"/>
              <w:spacing w:line="240" w:lineRule="auto"/>
              <w:rPr>
                <w:rFonts w:hint="eastAsia" w:ascii="宋体" w:hAnsi="宋体" w:eastAsia="宋体" w:cs="宋体"/>
                <w:color w:val="auto"/>
                <w:sz w:val="24"/>
                <w:szCs w:val="24"/>
                <w:highlight w:val="none"/>
              </w:rPr>
            </w:pPr>
            <w:r>
              <w:rPr>
                <w:rFonts w:hint="eastAsia" w:ascii="宋体" w:hAnsi="宋体" w:eastAsia="宋体" w:cs="宋体"/>
                <w:color w:val="auto"/>
                <w:kern w:val="2"/>
                <w:sz w:val="24"/>
                <w:szCs w:val="24"/>
                <w:highlight w:val="none"/>
                <w:lang w:val="en-US" w:eastAsia="zh-CN" w:bidi="ar-SA"/>
              </w:rPr>
              <w:t>任一处未达标准，扣考核评分0.5分，并扣除服务费100元。</w:t>
            </w:r>
          </w:p>
        </w:tc>
      </w:tr>
      <w:tr w14:paraId="64EFEF14">
        <w:tblPrEx>
          <w:tblCellMar>
            <w:top w:w="15" w:type="dxa"/>
            <w:left w:w="15" w:type="dxa"/>
            <w:bottom w:w="15" w:type="dxa"/>
            <w:right w:w="15" w:type="dxa"/>
          </w:tblCellMar>
        </w:tblPrEx>
        <w:trPr>
          <w:trHeight w:val="771" w:hRule="atLeast"/>
        </w:trPr>
        <w:tc>
          <w:tcPr>
            <w:tcW w:w="750" w:type="dxa"/>
            <w:tcBorders>
              <w:top w:val="single" w:color="000000" w:sz="4" w:space="0"/>
              <w:left w:val="single" w:color="000000" w:sz="4" w:space="0"/>
              <w:bottom w:val="single" w:color="000000" w:sz="4" w:space="0"/>
              <w:right w:val="single" w:color="000000" w:sz="4" w:space="0"/>
            </w:tcBorders>
            <w:noWrap w:val="0"/>
            <w:vAlign w:val="center"/>
          </w:tcPr>
          <w:p w14:paraId="3A4DA12D">
            <w:pPr>
              <w:pStyle w:val="12"/>
              <w:wordWrap w:val="0"/>
              <w:spacing w:line="240" w:lineRule="auto"/>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w:t>
            </w:r>
          </w:p>
        </w:tc>
        <w:tc>
          <w:tcPr>
            <w:tcW w:w="2850" w:type="dxa"/>
            <w:tcBorders>
              <w:top w:val="single" w:color="000000" w:sz="4" w:space="0"/>
              <w:left w:val="single" w:color="000000" w:sz="4" w:space="0"/>
              <w:bottom w:val="single" w:color="000000" w:sz="4" w:space="0"/>
              <w:right w:val="single" w:color="000000" w:sz="4" w:space="0"/>
            </w:tcBorders>
            <w:noWrap w:val="0"/>
            <w:vAlign w:val="center"/>
          </w:tcPr>
          <w:p w14:paraId="37D307DE">
            <w:pPr>
              <w:pStyle w:val="12"/>
              <w:wordWrap w:val="0"/>
              <w:spacing w:line="240" w:lineRule="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每半年测试全部消防栓静压</w:t>
            </w:r>
          </w:p>
        </w:tc>
        <w:tc>
          <w:tcPr>
            <w:tcW w:w="2985" w:type="dxa"/>
            <w:tcBorders>
              <w:top w:val="single" w:color="000000" w:sz="4" w:space="0"/>
              <w:left w:val="single" w:color="000000" w:sz="4" w:space="0"/>
              <w:bottom w:val="single" w:color="000000" w:sz="4" w:space="0"/>
              <w:right w:val="single" w:color="000000" w:sz="4" w:space="0"/>
            </w:tcBorders>
            <w:noWrap w:val="0"/>
            <w:vAlign w:val="center"/>
          </w:tcPr>
          <w:p w14:paraId="110E20B4">
            <w:pPr>
              <w:pStyle w:val="12"/>
              <w:wordWrap w:val="0"/>
              <w:spacing w:line="240" w:lineRule="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测试的消防栓压力符合规范要求</w:t>
            </w:r>
          </w:p>
        </w:tc>
        <w:tc>
          <w:tcPr>
            <w:tcW w:w="2985" w:type="dxa"/>
            <w:tcBorders>
              <w:top w:val="single" w:color="000000" w:sz="4" w:space="0"/>
              <w:left w:val="single" w:color="000000" w:sz="4" w:space="0"/>
              <w:bottom w:val="single" w:color="000000" w:sz="4" w:space="0"/>
              <w:right w:val="single" w:color="000000" w:sz="4" w:space="0"/>
            </w:tcBorders>
            <w:noWrap w:val="0"/>
            <w:vAlign w:val="center"/>
          </w:tcPr>
          <w:p w14:paraId="24CFDFFB">
            <w:pPr>
              <w:pStyle w:val="12"/>
              <w:wordWrap w:val="0"/>
              <w:spacing w:line="240" w:lineRule="auto"/>
              <w:rPr>
                <w:rFonts w:hint="eastAsia" w:ascii="宋体" w:hAnsi="宋体" w:eastAsia="宋体" w:cs="宋体"/>
                <w:color w:val="auto"/>
                <w:sz w:val="24"/>
                <w:szCs w:val="24"/>
                <w:highlight w:val="none"/>
              </w:rPr>
            </w:pPr>
            <w:r>
              <w:rPr>
                <w:rFonts w:hint="eastAsia" w:ascii="宋体" w:hAnsi="宋体" w:eastAsia="宋体" w:cs="宋体"/>
                <w:color w:val="auto"/>
                <w:kern w:val="2"/>
                <w:sz w:val="24"/>
                <w:szCs w:val="24"/>
                <w:highlight w:val="none"/>
                <w:lang w:val="en-US" w:eastAsia="zh-CN" w:bidi="ar-SA"/>
              </w:rPr>
              <w:t>任一处未达标准，扣考核评分1分，并扣除服务费200元。</w:t>
            </w:r>
          </w:p>
        </w:tc>
      </w:tr>
      <w:tr w14:paraId="723B2BC6">
        <w:tblPrEx>
          <w:tblCellMar>
            <w:top w:w="15" w:type="dxa"/>
            <w:left w:w="15" w:type="dxa"/>
            <w:bottom w:w="15" w:type="dxa"/>
            <w:right w:w="15" w:type="dxa"/>
          </w:tblCellMar>
        </w:tblPrEx>
        <w:trPr>
          <w:trHeight w:val="625" w:hRule="atLeast"/>
        </w:trPr>
        <w:tc>
          <w:tcPr>
            <w:tcW w:w="750" w:type="dxa"/>
            <w:tcBorders>
              <w:top w:val="single" w:color="000000" w:sz="4" w:space="0"/>
              <w:left w:val="single" w:color="000000" w:sz="4" w:space="0"/>
              <w:bottom w:val="single" w:color="000000" w:sz="4" w:space="0"/>
              <w:right w:val="single" w:color="000000" w:sz="4" w:space="0"/>
            </w:tcBorders>
            <w:noWrap w:val="0"/>
            <w:vAlign w:val="center"/>
          </w:tcPr>
          <w:p w14:paraId="3EC72897">
            <w:pPr>
              <w:pStyle w:val="12"/>
              <w:wordWrap w:val="0"/>
              <w:spacing w:line="240" w:lineRule="auto"/>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w:t>
            </w:r>
          </w:p>
        </w:tc>
        <w:tc>
          <w:tcPr>
            <w:tcW w:w="2850" w:type="dxa"/>
            <w:tcBorders>
              <w:top w:val="single" w:color="000000" w:sz="4" w:space="0"/>
              <w:left w:val="single" w:color="000000" w:sz="4" w:space="0"/>
              <w:bottom w:val="single" w:color="000000" w:sz="4" w:space="0"/>
              <w:right w:val="single" w:color="000000" w:sz="4" w:space="0"/>
            </w:tcBorders>
            <w:noWrap w:val="0"/>
            <w:vAlign w:val="center"/>
          </w:tcPr>
          <w:p w14:paraId="309DEC74">
            <w:pPr>
              <w:pStyle w:val="12"/>
              <w:wordWrap w:val="0"/>
              <w:spacing w:line="240" w:lineRule="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每月至少试射一次消火栓（防区最不利点）</w:t>
            </w:r>
          </w:p>
        </w:tc>
        <w:tc>
          <w:tcPr>
            <w:tcW w:w="2985" w:type="dxa"/>
            <w:tcBorders>
              <w:top w:val="single" w:color="000000" w:sz="4" w:space="0"/>
              <w:left w:val="single" w:color="000000" w:sz="4" w:space="0"/>
              <w:bottom w:val="single" w:color="000000" w:sz="4" w:space="0"/>
              <w:right w:val="single" w:color="000000" w:sz="4" w:space="0"/>
            </w:tcBorders>
            <w:noWrap w:val="0"/>
            <w:vAlign w:val="center"/>
          </w:tcPr>
          <w:p w14:paraId="74A91A91">
            <w:pPr>
              <w:pStyle w:val="12"/>
              <w:wordWrap w:val="0"/>
              <w:spacing w:line="240" w:lineRule="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消防栓喷射时充实水柱符合规范要求、测试动压符合规范要求</w:t>
            </w:r>
          </w:p>
        </w:tc>
        <w:tc>
          <w:tcPr>
            <w:tcW w:w="2985" w:type="dxa"/>
            <w:tcBorders>
              <w:top w:val="single" w:color="000000" w:sz="4" w:space="0"/>
              <w:left w:val="single" w:color="000000" w:sz="4" w:space="0"/>
              <w:bottom w:val="single" w:color="000000" w:sz="4" w:space="0"/>
              <w:right w:val="single" w:color="000000" w:sz="4" w:space="0"/>
            </w:tcBorders>
            <w:noWrap w:val="0"/>
            <w:vAlign w:val="center"/>
          </w:tcPr>
          <w:p w14:paraId="0AB69E0B">
            <w:pPr>
              <w:pStyle w:val="12"/>
              <w:wordWrap w:val="0"/>
              <w:spacing w:line="240" w:lineRule="auto"/>
              <w:rPr>
                <w:rFonts w:hint="eastAsia" w:ascii="宋体" w:hAnsi="宋体" w:eastAsia="宋体" w:cs="宋体"/>
                <w:color w:val="auto"/>
                <w:sz w:val="24"/>
                <w:szCs w:val="24"/>
                <w:highlight w:val="none"/>
              </w:rPr>
            </w:pPr>
            <w:r>
              <w:rPr>
                <w:rFonts w:hint="eastAsia" w:ascii="宋体" w:hAnsi="宋体" w:eastAsia="宋体" w:cs="宋体"/>
                <w:color w:val="auto"/>
                <w:kern w:val="2"/>
                <w:sz w:val="24"/>
                <w:szCs w:val="24"/>
                <w:highlight w:val="none"/>
                <w:lang w:val="en-US" w:eastAsia="zh-CN" w:bidi="ar-SA"/>
              </w:rPr>
              <w:t>任一处未达标准，扣考核评分0.5分，并扣除服务费100元。</w:t>
            </w:r>
          </w:p>
        </w:tc>
      </w:tr>
      <w:tr w14:paraId="22CC35C5">
        <w:tblPrEx>
          <w:tblCellMar>
            <w:top w:w="15" w:type="dxa"/>
            <w:left w:w="15" w:type="dxa"/>
            <w:bottom w:w="15" w:type="dxa"/>
            <w:right w:w="15" w:type="dxa"/>
          </w:tblCellMar>
        </w:tblPrEx>
        <w:trPr>
          <w:trHeight w:val="1255" w:hRule="atLeast"/>
        </w:trPr>
        <w:tc>
          <w:tcPr>
            <w:tcW w:w="750" w:type="dxa"/>
            <w:tcBorders>
              <w:top w:val="single" w:color="000000" w:sz="4" w:space="0"/>
              <w:left w:val="single" w:color="000000" w:sz="4" w:space="0"/>
              <w:bottom w:val="single" w:color="000000" w:sz="4" w:space="0"/>
              <w:right w:val="single" w:color="000000" w:sz="4" w:space="0"/>
            </w:tcBorders>
            <w:noWrap w:val="0"/>
            <w:vAlign w:val="center"/>
          </w:tcPr>
          <w:p w14:paraId="778882E5">
            <w:pPr>
              <w:pStyle w:val="12"/>
              <w:wordWrap w:val="0"/>
              <w:spacing w:line="240" w:lineRule="auto"/>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4</w:t>
            </w:r>
          </w:p>
        </w:tc>
        <w:tc>
          <w:tcPr>
            <w:tcW w:w="2850" w:type="dxa"/>
            <w:tcBorders>
              <w:top w:val="single" w:color="000000" w:sz="4" w:space="0"/>
              <w:left w:val="single" w:color="000000" w:sz="4" w:space="0"/>
              <w:bottom w:val="single" w:color="000000" w:sz="4" w:space="0"/>
              <w:right w:val="single" w:color="000000" w:sz="4" w:space="0"/>
            </w:tcBorders>
            <w:noWrap w:val="0"/>
            <w:vAlign w:val="center"/>
          </w:tcPr>
          <w:p w14:paraId="054E8B83">
            <w:pPr>
              <w:pStyle w:val="12"/>
              <w:wordWrap w:val="0"/>
              <w:spacing w:line="240" w:lineRule="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每月测试消防栓报警联动功能是否正常</w:t>
            </w:r>
          </w:p>
        </w:tc>
        <w:tc>
          <w:tcPr>
            <w:tcW w:w="2985" w:type="dxa"/>
            <w:tcBorders>
              <w:top w:val="single" w:color="000000" w:sz="4" w:space="0"/>
              <w:bottom w:val="single" w:color="000000" w:sz="4" w:space="0"/>
              <w:right w:val="single" w:color="000000" w:sz="4" w:space="0"/>
            </w:tcBorders>
            <w:noWrap w:val="0"/>
            <w:vAlign w:val="center"/>
          </w:tcPr>
          <w:p w14:paraId="3C99DD3C">
            <w:pPr>
              <w:pStyle w:val="12"/>
              <w:wordWrap w:val="0"/>
              <w:spacing w:line="240" w:lineRule="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试验消防栓报警按钮，各项联动设施动作，消防控制室有报警信号显示</w:t>
            </w:r>
          </w:p>
        </w:tc>
        <w:tc>
          <w:tcPr>
            <w:tcW w:w="2985" w:type="dxa"/>
            <w:tcBorders>
              <w:top w:val="single" w:color="000000" w:sz="4" w:space="0"/>
              <w:bottom w:val="single" w:color="000000" w:sz="4" w:space="0"/>
              <w:right w:val="single" w:color="000000" w:sz="4" w:space="0"/>
            </w:tcBorders>
            <w:noWrap w:val="0"/>
            <w:vAlign w:val="center"/>
          </w:tcPr>
          <w:p w14:paraId="338EDF6B">
            <w:pPr>
              <w:pStyle w:val="12"/>
              <w:wordWrap w:val="0"/>
              <w:spacing w:line="240" w:lineRule="auto"/>
              <w:rPr>
                <w:rFonts w:hint="eastAsia" w:ascii="宋体" w:hAnsi="宋体" w:eastAsia="宋体" w:cs="宋体"/>
                <w:color w:val="auto"/>
                <w:sz w:val="24"/>
                <w:szCs w:val="24"/>
                <w:highlight w:val="none"/>
              </w:rPr>
            </w:pPr>
            <w:r>
              <w:rPr>
                <w:rFonts w:hint="eastAsia" w:ascii="宋体" w:hAnsi="宋体" w:eastAsia="宋体" w:cs="宋体"/>
                <w:color w:val="auto"/>
                <w:kern w:val="2"/>
                <w:sz w:val="24"/>
                <w:szCs w:val="24"/>
                <w:highlight w:val="none"/>
                <w:lang w:val="en-US" w:eastAsia="zh-CN" w:bidi="ar-SA"/>
              </w:rPr>
              <w:t>任一处未达标准，扣考核评分0.5分，并扣除服务费100元。</w:t>
            </w:r>
          </w:p>
        </w:tc>
      </w:tr>
      <w:tr w14:paraId="69EED9B8">
        <w:tblPrEx>
          <w:tblCellMar>
            <w:top w:w="15" w:type="dxa"/>
            <w:left w:w="15" w:type="dxa"/>
            <w:bottom w:w="15" w:type="dxa"/>
            <w:right w:w="15" w:type="dxa"/>
          </w:tblCellMar>
        </w:tblPrEx>
        <w:trPr>
          <w:trHeight w:val="625" w:hRule="atLeast"/>
        </w:trPr>
        <w:tc>
          <w:tcPr>
            <w:tcW w:w="750" w:type="dxa"/>
            <w:tcBorders>
              <w:top w:val="single" w:color="000000" w:sz="4" w:space="0"/>
              <w:left w:val="single" w:color="000000" w:sz="4" w:space="0"/>
              <w:bottom w:val="single" w:color="000000" w:sz="4" w:space="0"/>
              <w:right w:val="single" w:color="000000" w:sz="4" w:space="0"/>
            </w:tcBorders>
            <w:noWrap w:val="0"/>
            <w:vAlign w:val="center"/>
          </w:tcPr>
          <w:p w14:paraId="1EABA89D">
            <w:pPr>
              <w:pStyle w:val="12"/>
              <w:wordWrap w:val="0"/>
              <w:spacing w:line="240" w:lineRule="auto"/>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5</w:t>
            </w:r>
          </w:p>
        </w:tc>
        <w:tc>
          <w:tcPr>
            <w:tcW w:w="2850" w:type="dxa"/>
            <w:tcBorders>
              <w:top w:val="single" w:color="000000" w:sz="4" w:space="0"/>
              <w:left w:val="single" w:color="000000" w:sz="4" w:space="0"/>
              <w:bottom w:val="single" w:color="000000" w:sz="4" w:space="0"/>
              <w:right w:val="single" w:color="000000" w:sz="4" w:space="0"/>
            </w:tcBorders>
            <w:noWrap w:val="0"/>
            <w:vAlign w:val="center"/>
          </w:tcPr>
          <w:p w14:paraId="44AB0A71">
            <w:pPr>
              <w:pStyle w:val="12"/>
              <w:wordWrap w:val="0"/>
              <w:spacing w:line="240" w:lineRule="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每月</w:t>
            </w:r>
            <w:r>
              <w:rPr>
                <w:rFonts w:hint="eastAsia" w:ascii="宋体" w:hAnsi="宋体" w:eastAsia="宋体" w:cs="宋体"/>
                <w:color w:val="auto"/>
                <w:sz w:val="24"/>
                <w:szCs w:val="24"/>
                <w:highlight w:val="none"/>
                <w:lang w:eastAsia="zh-CN"/>
              </w:rPr>
              <w:t>抽检</w:t>
            </w:r>
            <w:r>
              <w:rPr>
                <w:rFonts w:hint="eastAsia" w:ascii="宋体" w:hAnsi="宋体" w:eastAsia="宋体" w:cs="宋体"/>
                <w:color w:val="auto"/>
                <w:sz w:val="24"/>
                <w:szCs w:val="24"/>
                <w:highlight w:val="none"/>
              </w:rPr>
              <w:t>各阀门是否处于正常工作状态，阀体是否完好</w:t>
            </w:r>
          </w:p>
        </w:tc>
        <w:tc>
          <w:tcPr>
            <w:tcW w:w="2985" w:type="dxa"/>
            <w:tcBorders>
              <w:top w:val="single" w:color="000000" w:sz="4" w:space="0"/>
              <w:left w:val="single" w:color="000000" w:sz="4" w:space="0"/>
              <w:bottom w:val="single" w:color="000000" w:sz="4" w:space="0"/>
              <w:right w:val="single" w:color="000000" w:sz="4" w:space="0"/>
            </w:tcBorders>
            <w:noWrap w:val="0"/>
            <w:vAlign w:val="center"/>
          </w:tcPr>
          <w:p w14:paraId="2E8B43D2">
            <w:pPr>
              <w:pStyle w:val="12"/>
              <w:wordWrap w:val="0"/>
              <w:spacing w:line="240" w:lineRule="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各阀门在正常开关状态，阀体无破损、漏水</w:t>
            </w:r>
          </w:p>
        </w:tc>
        <w:tc>
          <w:tcPr>
            <w:tcW w:w="2985" w:type="dxa"/>
            <w:tcBorders>
              <w:top w:val="single" w:color="000000" w:sz="4" w:space="0"/>
              <w:left w:val="single" w:color="000000" w:sz="4" w:space="0"/>
              <w:bottom w:val="single" w:color="000000" w:sz="4" w:space="0"/>
              <w:right w:val="single" w:color="000000" w:sz="4" w:space="0"/>
            </w:tcBorders>
            <w:noWrap w:val="0"/>
            <w:vAlign w:val="center"/>
          </w:tcPr>
          <w:p w14:paraId="204CA8EE">
            <w:pPr>
              <w:pStyle w:val="12"/>
              <w:wordWrap w:val="0"/>
              <w:spacing w:line="240" w:lineRule="auto"/>
              <w:rPr>
                <w:rFonts w:hint="eastAsia" w:ascii="宋体" w:hAnsi="宋体" w:eastAsia="宋体" w:cs="宋体"/>
                <w:color w:val="auto"/>
                <w:sz w:val="24"/>
                <w:szCs w:val="24"/>
                <w:highlight w:val="none"/>
              </w:rPr>
            </w:pPr>
            <w:r>
              <w:rPr>
                <w:rFonts w:hint="eastAsia" w:ascii="宋体" w:hAnsi="宋体" w:eastAsia="宋体" w:cs="宋体"/>
                <w:color w:val="auto"/>
                <w:kern w:val="2"/>
                <w:sz w:val="24"/>
                <w:szCs w:val="24"/>
                <w:highlight w:val="none"/>
                <w:lang w:val="en-US" w:eastAsia="zh-CN" w:bidi="ar-SA"/>
              </w:rPr>
              <w:t>任一处未达标准，扣考核评分0.5分，并扣除服务费100元。</w:t>
            </w:r>
          </w:p>
        </w:tc>
      </w:tr>
      <w:tr w14:paraId="04E25C3A">
        <w:tblPrEx>
          <w:tblCellMar>
            <w:top w:w="15" w:type="dxa"/>
            <w:left w:w="15" w:type="dxa"/>
            <w:bottom w:w="15" w:type="dxa"/>
            <w:right w:w="15" w:type="dxa"/>
          </w:tblCellMar>
        </w:tblPrEx>
        <w:trPr>
          <w:trHeight w:val="959" w:hRule="atLeast"/>
        </w:trPr>
        <w:tc>
          <w:tcPr>
            <w:tcW w:w="750" w:type="dxa"/>
            <w:tcBorders>
              <w:top w:val="single" w:color="000000" w:sz="4" w:space="0"/>
              <w:left w:val="single" w:color="000000" w:sz="4" w:space="0"/>
              <w:bottom w:val="single" w:color="000000" w:sz="4" w:space="0"/>
              <w:right w:val="single" w:color="000000" w:sz="4" w:space="0"/>
            </w:tcBorders>
            <w:noWrap w:val="0"/>
            <w:vAlign w:val="center"/>
          </w:tcPr>
          <w:p w14:paraId="74EDF08A">
            <w:pPr>
              <w:pStyle w:val="12"/>
              <w:wordWrap w:val="0"/>
              <w:spacing w:line="240" w:lineRule="auto"/>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6</w:t>
            </w:r>
          </w:p>
        </w:tc>
        <w:tc>
          <w:tcPr>
            <w:tcW w:w="2850" w:type="dxa"/>
            <w:tcBorders>
              <w:top w:val="single" w:color="000000" w:sz="4" w:space="0"/>
              <w:left w:val="single" w:color="000000" w:sz="4" w:space="0"/>
              <w:bottom w:val="single" w:color="000000" w:sz="4" w:space="0"/>
              <w:right w:val="single" w:color="000000" w:sz="4" w:space="0"/>
            </w:tcBorders>
            <w:noWrap w:val="0"/>
            <w:vAlign w:val="center"/>
          </w:tcPr>
          <w:p w14:paraId="22FABD32">
            <w:pPr>
              <w:pStyle w:val="12"/>
              <w:wordWrap w:val="0"/>
              <w:spacing w:line="240" w:lineRule="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每月对消防栓系统管网进行</w:t>
            </w:r>
            <w:r>
              <w:rPr>
                <w:rFonts w:hint="eastAsia" w:ascii="宋体" w:hAnsi="宋体" w:eastAsia="宋体" w:cs="宋体"/>
                <w:color w:val="auto"/>
                <w:sz w:val="24"/>
                <w:szCs w:val="24"/>
                <w:highlight w:val="none"/>
                <w:lang w:eastAsia="zh-CN"/>
              </w:rPr>
              <w:t>外观</w:t>
            </w:r>
            <w:r>
              <w:rPr>
                <w:rFonts w:hint="eastAsia" w:ascii="宋体" w:hAnsi="宋体" w:eastAsia="宋体" w:cs="宋体"/>
                <w:color w:val="auto"/>
                <w:sz w:val="24"/>
                <w:szCs w:val="24"/>
                <w:highlight w:val="none"/>
              </w:rPr>
              <w:t>检查</w:t>
            </w:r>
          </w:p>
        </w:tc>
        <w:tc>
          <w:tcPr>
            <w:tcW w:w="2985" w:type="dxa"/>
            <w:tcBorders>
              <w:top w:val="single" w:color="000000" w:sz="4" w:space="0"/>
              <w:left w:val="single" w:color="000000" w:sz="4" w:space="0"/>
              <w:bottom w:val="single" w:color="000000" w:sz="4" w:space="0"/>
              <w:right w:val="single" w:color="000000" w:sz="4" w:space="0"/>
            </w:tcBorders>
            <w:noWrap w:val="0"/>
            <w:vAlign w:val="center"/>
          </w:tcPr>
          <w:p w14:paraId="406B2F2C">
            <w:pPr>
              <w:pStyle w:val="12"/>
              <w:wordWrap w:val="0"/>
              <w:spacing w:line="240" w:lineRule="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消防栓系统管网完好，无变形、锈蚀和渗漏</w:t>
            </w:r>
          </w:p>
        </w:tc>
        <w:tc>
          <w:tcPr>
            <w:tcW w:w="2985" w:type="dxa"/>
            <w:tcBorders>
              <w:top w:val="single" w:color="000000" w:sz="4" w:space="0"/>
              <w:left w:val="single" w:color="000000" w:sz="4" w:space="0"/>
              <w:bottom w:val="single" w:color="000000" w:sz="4" w:space="0"/>
              <w:right w:val="single" w:color="000000" w:sz="4" w:space="0"/>
            </w:tcBorders>
            <w:noWrap w:val="0"/>
            <w:vAlign w:val="center"/>
          </w:tcPr>
          <w:p w14:paraId="115DC854">
            <w:pPr>
              <w:pStyle w:val="12"/>
              <w:wordWrap w:val="0"/>
              <w:spacing w:line="240" w:lineRule="auto"/>
              <w:rPr>
                <w:rFonts w:hint="eastAsia" w:ascii="宋体" w:hAnsi="宋体" w:eastAsia="宋体" w:cs="宋体"/>
                <w:color w:val="auto"/>
                <w:sz w:val="24"/>
                <w:szCs w:val="24"/>
                <w:highlight w:val="none"/>
              </w:rPr>
            </w:pPr>
            <w:r>
              <w:rPr>
                <w:rFonts w:hint="eastAsia" w:ascii="宋体" w:hAnsi="宋体" w:eastAsia="宋体" w:cs="宋体"/>
                <w:color w:val="auto"/>
                <w:kern w:val="2"/>
                <w:sz w:val="24"/>
                <w:szCs w:val="24"/>
                <w:highlight w:val="none"/>
                <w:lang w:val="en-US" w:eastAsia="zh-CN" w:bidi="ar-SA"/>
              </w:rPr>
              <w:t>任一处未达标准，扣考核评分0.5分，并扣除服务费100元。</w:t>
            </w:r>
          </w:p>
        </w:tc>
      </w:tr>
      <w:tr w14:paraId="52E0F4D1">
        <w:tblPrEx>
          <w:tblCellMar>
            <w:top w:w="15" w:type="dxa"/>
            <w:left w:w="15" w:type="dxa"/>
            <w:bottom w:w="15" w:type="dxa"/>
            <w:right w:w="15" w:type="dxa"/>
          </w:tblCellMar>
        </w:tblPrEx>
        <w:trPr>
          <w:trHeight w:val="564" w:hRule="atLeast"/>
        </w:trPr>
        <w:tc>
          <w:tcPr>
            <w:tcW w:w="750" w:type="dxa"/>
            <w:tcBorders>
              <w:top w:val="single" w:color="000000" w:sz="4" w:space="0"/>
              <w:left w:val="single" w:color="000000" w:sz="4" w:space="0"/>
              <w:bottom w:val="single" w:color="000000" w:sz="4" w:space="0"/>
              <w:right w:val="single" w:color="000000" w:sz="4" w:space="0"/>
            </w:tcBorders>
            <w:noWrap w:val="0"/>
            <w:vAlign w:val="center"/>
          </w:tcPr>
          <w:p w14:paraId="64E58A66">
            <w:pPr>
              <w:pStyle w:val="12"/>
              <w:wordWrap w:val="0"/>
              <w:spacing w:line="240" w:lineRule="auto"/>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7</w:t>
            </w:r>
          </w:p>
        </w:tc>
        <w:tc>
          <w:tcPr>
            <w:tcW w:w="2850" w:type="dxa"/>
            <w:tcBorders>
              <w:top w:val="single" w:color="000000" w:sz="4" w:space="0"/>
              <w:left w:val="single" w:color="000000" w:sz="4" w:space="0"/>
              <w:bottom w:val="single" w:color="000000" w:sz="4" w:space="0"/>
              <w:right w:val="single" w:color="000000" w:sz="4" w:space="0"/>
            </w:tcBorders>
            <w:noWrap w:val="0"/>
            <w:vAlign w:val="center"/>
          </w:tcPr>
          <w:p w14:paraId="4E1C2629">
            <w:pPr>
              <w:pStyle w:val="12"/>
              <w:wordWrap w:val="0"/>
              <w:spacing w:line="240" w:lineRule="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每月检查水泵接合器</w:t>
            </w:r>
          </w:p>
        </w:tc>
        <w:tc>
          <w:tcPr>
            <w:tcW w:w="2985" w:type="dxa"/>
            <w:tcBorders>
              <w:top w:val="single" w:color="000000" w:sz="4" w:space="0"/>
              <w:left w:val="single" w:color="000000" w:sz="4" w:space="0"/>
              <w:bottom w:val="single" w:color="000000" w:sz="4" w:space="0"/>
              <w:right w:val="single" w:color="000000" w:sz="4" w:space="0"/>
            </w:tcBorders>
            <w:noWrap w:val="0"/>
            <w:vAlign w:val="center"/>
          </w:tcPr>
          <w:p w14:paraId="7506B534">
            <w:pPr>
              <w:pStyle w:val="12"/>
              <w:wordWrap w:val="0"/>
              <w:spacing w:line="240" w:lineRule="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水泵接合器外观完好，配置齐全，无变形、渗漏、缺损</w:t>
            </w:r>
          </w:p>
        </w:tc>
        <w:tc>
          <w:tcPr>
            <w:tcW w:w="2985" w:type="dxa"/>
            <w:tcBorders>
              <w:top w:val="single" w:color="000000" w:sz="4" w:space="0"/>
              <w:left w:val="single" w:color="000000" w:sz="4" w:space="0"/>
              <w:bottom w:val="single" w:color="000000" w:sz="4" w:space="0"/>
              <w:right w:val="single" w:color="000000" w:sz="4" w:space="0"/>
            </w:tcBorders>
            <w:noWrap w:val="0"/>
            <w:vAlign w:val="center"/>
          </w:tcPr>
          <w:p w14:paraId="75CCB444">
            <w:pPr>
              <w:pStyle w:val="12"/>
              <w:wordWrap w:val="0"/>
              <w:spacing w:line="240" w:lineRule="auto"/>
              <w:rPr>
                <w:rFonts w:hint="eastAsia" w:ascii="宋体" w:hAnsi="宋体" w:eastAsia="宋体" w:cs="宋体"/>
                <w:color w:val="auto"/>
                <w:sz w:val="24"/>
                <w:szCs w:val="24"/>
                <w:highlight w:val="none"/>
              </w:rPr>
            </w:pPr>
            <w:r>
              <w:rPr>
                <w:rFonts w:hint="eastAsia" w:ascii="宋体" w:hAnsi="宋体" w:eastAsia="宋体" w:cs="宋体"/>
                <w:color w:val="auto"/>
                <w:kern w:val="2"/>
                <w:sz w:val="24"/>
                <w:szCs w:val="24"/>
                <w:highlight w:val="none"/>
                <w:lang w:val="en-US" w:eastAsia="zh-CN" w:bidi="ar-SA"/>
              </w:rPr>
              <w:t>任一处未达标准，扣考核评分0.5分，并扣除服务费100元。</w:t>
            </w:r>
          </w:p>
        </w:tc>
      </w:tr>
    </w:tbl>
    <w:p w14:paraId="2F2C072F">
      <w:pPr>
        <w:pStyle w:val="12"/>
        <w:wordWrap w:val="0"/>
        <w:spacing w:line="360" w:lineRule="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8</w:t>
      </w:r>
      <w:r>
        <w:rPr>
          <w:rFonts w:hint="eastAsia" w:ascii="宋体" w:hAnsi="宋体" w:eastAsia="宋体" w:cs="宋体"/>
          <w:color w:val="auto"/>
          <w:sz w:val="24"/>
          <w:szCs w:val="24"/>
          <w:highlight w:val="none"/>
          <w:lang w:val="en-US" w:eastAsia="zh-CN"/>
        </w:rPr>
        <w:t>.机械</w:t>
      </w:r>
      <w:r>
        <w:rPr>
          <w:rFonts w:hint="eastAsia" w:ascii="宋体" w:hAnsi="宋体" w:eastAsia="宋体" w:cs="宋体"/>
          <w:color w:val="auto"/>
          <w:sz w:val="24"/>
          <w:szCs w:val="24"/>
          <w:highlight w:val="none"/>
        </w:rPr>
        <w:t>防排烟系统</w:t>
      </w:r>
    </w:p>
    <w:tbl>
      <w:tblPr>
        <w:tblStyle w:val="20"/>
        <w:tblW w:w="9600" w:type="dxa"/>
        <w:tblInd w:w="-549" w:type="dxa"/>
        <w:tblLayout w:type="fixed"/>
        <w:tblCellMar>
          <w:top w:w="15" w:type="dxa"/>
          <w:left w:w="15" w:type="dxa"/>
          <w:bottom w:w="15" w:type="dxa"/>
          <w:right w:w="15" w:type="dxa"/>
        </w:tblCellMar>
      </w:tblPr>
      <w:tblGrid>
        <w:gridCol w:w="750"/>
        <w:gridCol w:w="2850"/>
        <w:gridCol w:w="3000"/>
        <w:gridCol w:w="3000"/>
      </w:tblGrid>
      <w:tr w14:paraId="605615D1">
        <w:tblPrEx>
          <w:tblCellMar>
            <w:top w:w="15" w:type="dxa"/>
            <w:left w:w="15" w:type="dxa"/>
            <w:bottom w:w="15" w:type="dxa"/>
            <w:right w:w="15" w:type="dxa"/>
          </w:tblCellMar>
        </w:tblPrEx>
        <w:trPr>
          <w:trHeight w:val="625" w:hRule="atLeast"/>
        </w:trPr>
        <w:tc>
          <w:tcPr>
            <w:tcW w:w="750" w:type="dxa"/>
            <w:tcBorders>
              <w:top w:val="single" w:color="000000" w:sz="4" w:space="0"/>
              <w:left w:val="single" w:color="000000" w:sz="4" w:space="0"/>
              <w:bottom w:val="single" w:color="000000" w:sz="4" w:space="0"/>
              <w:right w:val="single" w:color="000000" w:sz="4" w:space="0"/>
            </w:tcBorders>
            <w:noWrap w:val="0"/>
            <w:vAlign w:val="center"/>
          </w:tcPr>
          <w:p w14:paraId="026748AD">
            <w:pPr>
              <w:pStyle w:val="12"/>
              <w:wordWrap w:val="0"/>
              <w:spacing w:line="360" w:lineRule="auto"/>
              <w:jc w:val="center"/>
              <w:rPr>
                <w:rFonts w:hint="eastAsia" w:ascii="宋体" w:hAnsi="宋体" w:eastAsia="宋体" w:cs="宋体"/>
                <w:color w:val="auto"/>
                <w:sz w:val="24"/>
                <w:szCs w:val="24"/>
                <w:highlight w:val="none"/>
              </w:rPr>
            </w:pPr>
            <w:r>
              <w:rPr>
                <w:rFonts w:hint="eastAsia" w:ascii="宋体" w:hAnsi="宋体" w:eastAsia="宋体" w:cs="宋体"/>
                <w:b/>
                <w:bCs/>
                <w:color w:val="auto"/>
                <w:sz w:val="24"/>
                <w:szCs w:val="24"/>
                <w:highlight w:val="none"/>
              </w:rPr>
              <w:t>序号</w:t>
            </w:r>
          </w:p>
        </w:tc>
        <w:tc>
          <w:tcPr>
            <w:tcW w:w="2850" w:type="dxa"/>
            <w:tcBorders>
              <w:top w:val="single" w:color="000000" w:sz="4" w:space="0"/>
              <w:left w:val="single" w:color="000000" w:sz="4" w:space="0"/>
              <w:bottom w:val="single" w:color="000000" w:sz="4" w:space="0"/>
              <w:right w:val="single" w:color="000000" w:sz="4" w:space="0"/>
            </w:tcBorders>
            <w:noWrap w:val="0"/>
            <w:vAlign w:val="center"/>
          </w:tcPr>
          <w:p w14:paraId="2CEA672A">
            <w:pPr>
              <w:pStyle w:val="12"/>
              <w:wordWrap w:val="0"/>
              <w:spacing w:line="360" w:lineRule="auto"/>
              <w:jc w:val="center"/>
              <w:rPr>
                <w:rFonts w:hint="eastAsia" w:ascii="宋体" w:hAnsi="宋体" w:eastAsia="宋体" w:cs="宋体"/>
                <w:color w:val="auto"/>
                <w:sz w:val="24"/>
                <w:szCs w:val="24"/>
                <w:highlight w:val="none"/>
              </w:rPr>
            </w:pPr>
            <w:r>
              <w:rPr>
                <w:rFonts w:hint="eastAsia" w:ascii="宋体" w:hAnsi="宋体" w:eastAsia="宋体" w:cs="宋体"/>
                <w:b/>
                <w:bCs/>
                <w:color w:val="auto"/>
                <w:sz w:val="24"/>
                <w:szCs w:val="24"/>
                <w:highlight w:val="none"/>
              </w:rPr>
              <w:t>维护保养工作内容</w:t>
            </w:r>
          </w:p>
        </w:tc>
        <w:tc>
          <w:tcPr>
            <w:tcW w:w="3000" w:type="dxa"/>
            <w:tcBorders>
              <w:top w:val="single" w:color="000000" w:sz="4" w:space="0"/>
              <w:left w:val="single" w:color="000000" w:sz="4" w:space="0"/>
              <w:bottom w:val="single" w:color="000000" w:sz="4" w:space="0"/>
              <w:right w:val="single" w:color="000000" w:sz="4" w:space="0"/>
            </w:tcBorders>
            <w:noWrap w:val="0"/>
            <w:vAlign w:val="center"/>
          </w:tcPr>
          <w:p w14:paraId="4FADC33A">
            <w:pPr>
              <w:pStyle w:val="12"/>
              <w:wordWrap w:val="0"/>
              <w:spacing w:line="360" w:lineRule="auto"/>
              <w:jc w:val="center"/>
              <w:rPr>
                <w:rFonts w:hint="eastAsia" w:ascii="宋体" w:hAnsi="宋体" w:eastAsia="宋体" w:cs="宋体"/>
                <w:color w:val="auto"/>
                <w:sz w:val="24"/>
                <w:szCs w:val="24"/>
                <w:highlight w:val="none"/>
              </w:rPr>
            </w:pPr>
            <w:r>
              <w:rPr>
                <w:rFonts w:hint="eastAsia" w:ascii="宋体" w:hAnsi="宋体" w:eastAsia="宋体" w:cs="宋体"/>
                <w:b/>
                <w:bCs/>
                <w:color w:val="auto"/>
                <w:sz w:val="24"/>
                <w:szCs w:val="24"/>
                <w:highlight w:val="none"/>
              </w:rPr>
              <w:t>维护保养标准</w:t>
            </w:r>
          </w:p>
        </w:tc>
        <w:tc>
          <w:tcPr>
            <w:tcW w:w="3000" w:type="dxa"/>
            <w:tcBorders>
              <w:top w:val="single" w:color="000000" w:sz="4" w:space="0"/>
              <w:left w:val="single" w:color="000000" w:sz="4" w:space="0"/>
              <w:bottom w:val="single" w:color="000000" w:sz="4" w:space="0"/>
              <w:right w:val="single" w:color="000000" w:sz="4" w:space="0"/>
            </w:tcBorders>
            <w:noWrap w:val="0"/>
            <w:vAlign w:val="center"/>
          </w:tcPr>
          <w:p w14:paraId="00038360">
            <w:pPr>
              <w:pStyle w:val="12"/>
              <w:wordWrap w:val="0"/>
              <w:spacing w:line="360" w:lineRule="auto"/>
              <w:jc w:val="center"/>
              <w:rPr>
                <w:rFonts w:hint="eastAsia" w:ascii="宋体" w:hAnsi="宋体" w:eastAsia="宋体" w:cs="宋体"/>
                <w:color w:val="auto"/>
                <w:sz w:val="24"/>
                <w:szCs w:val="24"/>
                <w:highlight w:val="none"/>
              </w:rPr>
            </w:pPr>
            <w:r>
              <w:rPr>
                <w:rFonts w:hint="eastAsia" w:ascii="宋体" w:hAnsi="宋体" w:eastAsia="宋体" w:cs="宋体"/>
                <w:b/>
                <w:bCs/>
                <w:color w:val="auto"/>
                <w:kern w:val="2"/>
                <w:sz w:val="24"/>
                <w:szCs w:val="24"/>
                <w:highlight w:val="none"/>
                <w:lang w:val="en-US" w:eastAsia="zh-CN" w:bidi="ar-SA"/>
              </w:rPr>
              <w:t>扣分标准</w:t>
            </w:r>
          </w:p>
        </w:tc>
      </w:tr>
      <w:tr w14:paraId="001C434D">
        <w:tblPrEx>
          <w:tblCellMar>
            <w:top w:w="15" w:type="dxa"/>
            <w:left w:w="15" w:type="dxa"/>
            <w:bottom w:w="15" w:type="dxa"/>
            <w:right w:w="15" w:type="dxa"/>
          </w:tblCellMar>
        </w:tblPrEx>
        <w:trPr>
          <w:trHeight w:val="937" w:hRule="atLeast"/>
        </w:trPr>
        <w:tc>
          <w:tcPr>
            <w:tcW w:w="750" w:type="dxa"/>
            <w:tcBorders>
              <w:top w:val="single" w:color="000000" w:sz="4" w:space="0"/>
              <w:left w:val="single" w:color="000000" w:sz="4" w:space="0"/>
              <w:bottom w:val="single" w:color="000000" w:sz="4" w:space="0"/>
              <w:right w:val="single" w:color="000000" w:sz="4" w:space="0"/>
            </w:tcBorders>
            <w:noWrap w:val="0"/>
            <w:vAlign w:val="center"/>
          </w:tcPr>
          <w:p w14:paraId="62B77981">
            <w:pPr>
              <w:pStyle w:val="12"/>
              <w:wordWrap w:val="0"/>
              <w:spacing w:line="240" w:lineRule="auto"/>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w:t>
            </w:r>
          </w:p>
        </w:tc>
        <w:tc>
          <w:tcPr>
            <w:tcW w:w="2850" w:type="dxa"/>
            <w:tcBorders>
              <w:top w:val="single" w:color="000000" w:sz="4" w:space="0"/>
              <w:left w:val="single" w:color="000000" w:sz="4" w:space="0"/>
              <w:bottom w:val="single" w:color="000000" w:sz="4" w:space="0"/>
              <w:right w:val="single" w:color="000000" w:sz="4" w:space="0"/>
            </w:tcBorders>
            <w:noWrap w:val="0"/>
            <w:vAlign w:val="center"/>
          </w:tcPr>
          <w:p w14:paraId="35F477F3">
            <w:pPr>
              <w:pStyle w:val="12"/>
              <w:wordWrap w:val="0"/>
              <w:spacing w:line="240" w:lineRule="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每月检查排烟风机、排烟阀及控制柜运行状态</w:t>
            </w:r>
          </w:p>
        </w:tc>
        <w:tc>
          <w:tcPr>
            <w:tcW w:w="3000" w:type="dxa"/>
            <w:tcBorders>
              <w:top w:val="single" w:color="000000" w:sz="4" w:space="0"/>
              <w:left w:val="single" w:color="000000" w:sz="4" w:space="0"/>
              <w:bottom w:val="single" w:color="000000" w:sz="4" w:space="0"/>
              <w:right w:val="single" w:color="000000" w:sz="4" w:space="0"/>
            </w:tcBorders>
            <w:noWrap w:val="0"/>
            <w:vAlign w:val="center"/>
          </w:tcPr>
          <w:p w14:paraId="2D33ED97">
            <w:pPr>
              <w:pStyle w:val="12"/>
              <w:wordWrap w:val="0"/>
              <w:spacing w:line="240" w:lineRule="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风机运行稳定，无异常</w:t>
            </w:r>
            <w:r>
              <w:rPr>
                <w:rFonts w:hint="eastAsia" w:ascii="宋体" w:hAnsi="宋体" w:eastAsia="宋体" w:cs="宋体"/>
                <w:color w:val="auto"/>
                <w:sz w:val="24"/>
                <w:szCs w:val="24"/>
                <w:highlight w:val="none"/>
                <w:lang w:eastAsia="zh-CN"/>
              </w:rPr>
              <w:t>振动</w:t>
            </w:r>
            <w:r>
              <w:rPr>
                <w:rFonts w:hint="eastAsia" w:ascii="宋体" w:hAnsi="宋体" w:eastAsia="宋体" w:cs="宋体"/>
                <w:color w:val="auto"/>
                <w:sz w:val="24"/>
                <w:szCs w:val="24"/>
                <w:highlight w:val="none"/>
              </w:rPr>
              <w:t>、噪声，风量、风压满足要求，排烟阀开关灵活，密闭性好</w:t>
            </w:r>
          </w:p>
        </w:tc>
        <w:tc>
          <w:tcPr>
            <w:tcW w:w="3000" w:type="dxa"/>
            <w:tcBorders>
              <w:top w:val="single" w:color="000000" w:sz="4" w:space="0"/>
              <w:left w:val="single" w:color="000000" w:sz="4" w:space="0"/>
              <w:bottom w:val="single" w:color="000000" w:sz="4" w:space="0"/>
              <w:right w:val="single" w:color="000000" w:sz="4" w:space="0"/>
            </w:tcBorders>
            <w:noWrap w:val="0"/>
            <w:vAlign w:val="center"/>
          </w:tcPr>
          <w:p w14:paraId="5CE11048">
            <w:pPr>
              <w:pStyle w:val="12"/>
              <w:wordWrap w:val="0"/>
              <w:spacing w:line="240" w:lineRule="auto"/>
              <w:rPr>
                <w:rFonts w:hint="eastAsia" w:ascii="宋体" w:hAnsi="宋体" w:eastAsia="宋体" w:cs="宋体"/>
                <w:color w:val="auto"/>
                <w:sz w:val="24"/>
                <w:szCs w:val="24"/>
                <w:highlight w:val="none"/>
              </w:rPr>
            </w:pPr>
            <w:r>
              <w:rPr>
                <w:rFonts w:hint="eastAsia" w:ascii="宋体" w:hAnsi="宋体" w:eastAsia="宋体" w:cs="宋体"/>
                <w:color w:val="auto"/>
                <w:kern w:val="2"/>
                <w:sz w:val="24"/>
                <w:szCs w:val="24"/>
                <w:highlight w:val="none"/>
                <w:lang w:val="en-US" w:eastAsia="zh-CN" w:bidi="ar-SA"/>
              </w:rPr>
              <w:t>任一处未达标准，扣考核评分0.5分，并扣除服务费100元。</w:t>
            </w:r>
          </w:p>
        </w:tc>
      </w:tr>
      <w:tr w14:paraId="43E5DDD8">
        <w:tblPrEx>
          <w:tblCellMar>
            <w:top w:w="15" w:type="dxa"/>
            <w:left w:w="15" w:type="dxa"/>
            <w:bottom w:w="15" w:type="dxa"/>
            <w:right w:w="15" w:type="dxa"/>
          </w:tblCellMar>
        </w:tblPrEx>
        <w:trPr>
          <w:trHeight w:val="731" w:hRule="atLeast"/>
        </w:trPr>
        <w:tc>
          <w:tcPr>
            <w:tcW w:w="750" w:type="dxa"/>
            <w:tcBorders>
              <w:top w:val="single" w:color="000000" w:sz="4" w:space="0"/>
              <w:left w:val="single" w:color="000000" w:sz="4" w:space="0"/>
              <w:bottom w:val="single" w:color="000000" w:sz="4" w:space="0"/>
              <w:right w:val="single" w:color="000000" w:sz="4" w:space="0"/>
            </w:tcBorders>
            <w:noWrap w:val="0"/>
            <w:vAlign w:val="center"/>
          </w:tcPr>
          <w:p w14:paraId="74FA9CFE">
            <w:pPr>
              <w:pStyle w:val="12"/>
              <w:wordWrap w:val="0"/>
              <w:spacing w:line="240" w:lineRule="auto"/>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w:t>
            </w:r>
          </w:p>
        </w:tc>
        <w:tc>
          <w:tcPr>
            <w:tcW w:w="2850" w:type="dxa"/>
            <w:tcBorders>
              <w:top w:val="single" w:color="000000" w:sz="4" w:space="0"/>
              <w:left w:val="single" w:color="000000" w:sz="4" w:space="0"/>
              <w:bottom w:val="single" w:color="000000" w:sz="4" w:space="0"/>
              <w:right w:val="single" w:color="000000" w:sz="4" w:space="0"/>
            </w:tcBorders>
            <w:noWrap w:val="0"/>
            <w:vAlign w:val="center"/>
          </w:tcPr>
          <w:p w14:paraId="6790CC9E">
            <w:pPr>
              <w:pStyle w:val="12"/>
              <w:wordWrap w:val="0"/>
              <w:spacing w:line="240" w:lineRule="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每月测试排烟风机手动/自动启停动作</w:t>
            </w:r>
          </w:p>
        </w:tc>
        <w:tc>
          <w:tcPr>
            <w:tcW w:w="3000" w:type="dxa"/>
            <w:tcBorders>
              <w:top w:val="single" w:color="000000" w:sz="4" w:space="0"/>
              <w:left w:val="single" w:color="000000" w:sz="4" w:space="0"/>
              <w:bottom w:val="single" w:color="000000" w:sz="4" w:space="0"/>
              <w:right w:val="single" w:color="000000" w:sz="4" w:space="0"/>
            </w:tcBorders>
            <w:noWrap w:val="0"/>
            <w:vAlign w:val="center"/>
          </w:tcPr>
          <w:p w14:paraId="4DA89BC9">
            <w:pPr>
              <w:pStyle w:val="12"/>
              <w:wordWrap w:val="0"/>
              <w:spacing w:line="240" w:lineRule="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手动/自动启停动作正常</w:t>
            </w:r>
          </w:p>
        </w:tc>
        <w:tc>
          <w:tcPr>
            <w:tcW w:w="3000" w:type="dxa"/>
            <w:tcBorders>
              <w:top w:val="single" w:color="000000" w:sz="4" w:space="0"/>
              <w:left w:val="single" w:color="000000" w:sz="4" w:space="0"/>
              <w:bottom w:val="single" w:color="000000" w:sz="4" w:space="0"/>
              <w:right w:val="single" w:color="000000" w:sz="4" w:space="0"/>
            </w:tcBorders>
            <w:noWrap w:val="0"/>
            <w:vAlign w:val="center"/>
          </w:tcPr>
          <w:p w14:paraId="31C4F732">
            <w:pPr>
              <w:pStyle w:val="12"/>
              <w:wordWrap w:val="0"/>
              <w:spacing w:line="240" w:lineRule="auto"/>
              <w:rPr>
                <w:rFonts w:hint="eastAsia" w:ascii="宋体" w:hAnsi="宋体" w:eastAsia="宋体" w:cs="宋体"/>
                <w:color w:val="auto"/>
                <w:sz w:val="24"/>
                <w:szCs w:val="24"/>
                <w:highlight w:val="none"/>
              </w:rPr>
            </w:pPr>
            <w:r>
              <w:rPr>
                <w:rFonts w:hint="eastAsia" w:ascii="宋体" w:hAnsi="宋体" w:eastAsia="宋体" w:cs="宋体"/>
                <w:color w:val="auto"/>
                <w:kern w:val="2"/>
                <w:sz w:val="24"/>
                <w:szCs w:val="24"/>
                <w:highlight w:val="none"/>
                <w:lang w:val="en-US" w:eastAsia="zh-CN" w:bidi="ar-SA"/>
              </w:rPr>
              <w:t>任一处未达标准，扣考核评分0.5分，并扣除服务费100元。</w:t>
            </w:r>
          </w:p>
        </w:tc>
      </w:tr>
      <w:tr w14:paraId="1037754E">
        <w:tblPrEx>
          <w:tblCellMar>
            <w:top w:w="15" w:type="dxa"/>
            <w:left w:w="15" w:type="dxa"/>
            <w:bottom w:w="15" w:type="dxa"/>
            <w:right w:w="15" w:type="dxa"/>
          </w:tblCellMar>
        </w:tblPrEx>
        <w:trPr>
          <w:trHeight w:val="625" w:hRule="atLeast"/>
        </w:trPr>
        <w:tc>
          <w:tcPr>
            <w:tcW w:w="750" w:type="dxa"/>
            <w:tcBorders>
              <w:top w:val="single" w:color="000000" w:sz="4" w:space="0"/>
              <w:left w:val="single" w:color="000000" w:sz="4" w:space="0"/>
              <w:bottom w:val="single" w:color="000000" w:sz="4" w:space="0"/>
              <w:right w:val="single" w:color="000000" w:sz="4" w:space="0"/>
            </w:tcBorders>
            <w:noWrap w:val="0"/>
            <w:vAlign w:val="center"/>
          </w:tcPr>
          <w:p w14:paraId="0B126B46">
            <w:pPr>
              <w:pStyle w:val="12"/>
              <w:wordWrap w:val="0"/>
              <w:spacing w:line="240" w:lineRule="auto"/>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w:t>
            </w:r>
          </w:p>
        </w:tc>
        <w:tc>
          <w:tcPr>
            <w:tcW w:w="2850" w:type="dxa"/>
            <w:tcBorders>
              <w:top w:val="single" w:color="000000" w:sz="4" w:space="0"/>
              <w:left w:val="single" w:color="000000" w:sz="4" w:space="0"/>
              <w:bottom w:val="single" w:color="000000" w:sz="4" w:space="0"/>
              <w:right w:val="single" w:color="000000" w:sz="4" w:space="0"/>
            </w:tcBorders>
            <w:noWrap w:val="0"/>
            <w:vAlign w:val="center"/>
          </w:tcPr>
          <w:p w14:paraId="58551A5D">
            <w:pPr>
              <w:pStyle w:val="12"/>
              <w:wordWrap w:val="0"/>
              <w:spacing w:line="240" w:lineRule="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每</w:t>
            </w:r>
            <w:r>
              <w:rPr>
                <w:rFonts w:hint="eastAsia" w:ascii="宋体" w:hAnsi="宋体" w:eastAsia="宋体" w:cs="宋体"/>
                <w:color w:val="auto"/>
                <w:sz w:val="24"/>
                <w:szCs w:val="24"/>
                <w:highlight w:val="none"/>
                <w:lang w:eastAsia="zh-CN"/>
              </w:rPr>
              <w:t>月抽查</w:t>
            </w:r>
            <w:r>
              <w:rPr>
                <w:rFonts w:hint="eastAsia" w:ascii="宋体" w:hAnsi="宋体" w:eastAsia="宋体" w:cs="宋体"/>
                <w:color w:val="auto"/>
                <w:sz w:val="24"/>
                <w:szCs w:val="24"/>
                <w:highlight w:val="none"/>
              </w:rPr>
              <w:t>防火阀及联动功能是否正常</w:t>
            </w:r>
          </w:p>
        </w:tc>
        <w:tc>
          <w:tcPr>
            <w:tcW w:w="3000" w:type="dxa"/>
            <w:tcBorders>
              <w:top w:val="single" w:color="000000" w:sz="4" w:space="0"/>
              <w:bottom w:val="single" w:color="000000" w:sz="4" w:space="0"/>
              <w:right w:val="single" w:color="000000" w:sz="4" w:space="0"/>
            </w:tcBorders>
            <w:noWrap w:val="0"/>
            <w:vAlign w:val="center"/>
          </w:tcPr>
          <w:p w14:paraId="48B4057F">
            <w:pPr>
              <w:pStyle w:val="12"/>
              <w:wordWrap w:val="0"/>
              <w:spacing w:line="240" w:lineRule="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防火阀阀体完好，联动动作正常</w:t>
            </w:r>
          </w:p>
        </w:tc>
        <w:tc>
          <w:tcPr>
            <w:tcW w:w="3000" w:type="dxa"/>
            <w:tcBorders>
              <w:top w:val="single" w:color="000000" w:sz="4" w:space="0"/>
              <w:bottom w:val="single" w:color="000000" w:sz="4" w:space="0"/>
              <w:right w:val="single" w:color="000000" w:sz="4" w:space="0"/>
            </w:tcBorders>
            <w:noWrap w:val="0"/>
            <w:vAlign w:val="center"/>
          </w:tcPr>
          <w:p w14:paraId="52EDDBE4">
            <w:pPr>
              <w:pStyle w:val="12"/>
              <w:wordWrap w:val="0"/>
              <w:spacing w:line="240" w:lineRule="auto"/>
              <w:rPr>
                <w:rFonts w:hint="eastAsia" w:ascii="宋体" w:hAnsi="宋体" w:eastAsia="宋体" w:cs="宋体"/>
                <w:color w:val="auto"/>
                <w:sz w:val="24"/>
                <w:szCs w:val="24"/>
                <w:highlight w:val="none"/>
              </w:rPr>
            </w:pPr>
            <w:r>
              <w:rPr>
                <w:rFonts w:hint="eastAsia" w:ascii="宋体" w:hAnsi="宋体" w:eastAsia="宋体" w:cs="宋体"/>
                <w:color w:val="auto"/>
                <w:kern w:val="2"/>
                <w:sz w:val="24"/>
                <w:szCs w:val="24"/>
                <w:highlight w:val="none"/>
                <w:lang w:val="en-US" w:eastAsia="zh-CN" w:bidi="ar-SA"/>
              </w:rPr>
              <w:t>任一处未达标准，扣考核评分0.5分，并扣除服务费100元。</w:t>
            </w:r>
          </w:p>
        </w:tc>
      </w:tr>
      <w:tr w14:paraId="078B4209">
        <w:tblPrEx>
          <w:tblCellMar>
            <w:top w:w="15" w:type="dxa"/>
            <w:left w:w="15" w:type="dxa"/>
            <w:bottom w:w="15" w:type="dxa"/>
            <w:right w:w="15" w:type="dxa"/>
          </w:tblCellMar>
        </w:tblPrEx>
        <w:trPr>
          <w:trHeight w:val="625" w:hRule="atLeast"/>
        </w:trPr>
        <w:tc>
          <w:tcPr>
            <w:tcW w:w="750" w:type="dxa"/>
            <w:tcBorders>
              <w:top w:val="single" w:color="000000" w:sz="4" w:space="0"/>
              <w:left w:val="single" w:color="000000" w:sz="4" w:space="0"/>
              <w:bottom w:val="single" w:color="000000" w:sz="4" w:space="0"/>
              <w:right w:val="single" w:color="000000" w:sz="4" w:space="0"/>
            </w:tcBorders>
            <w:noWrap w:val="0"/>
            <w:vAlign w:val="center"/>
          </w:tcPr>
          <w:p w14:paraId="1F314876">
            <w:pPr>
              <w:pStyle w:val="12"/>
              <w:wordWrap w:val="0"/>
              <w:spacing w:line="240" w:lineRule="auto"/>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4</w:t>
            </w:r>
          </w:p>
        </w:tc>
        <w:tc>
          <w:tcPr>
            <w:tcW w:w="2850" w:type="dxa"/>
            <w:tcBorders>
              <w:top w:val="single" w:color="000000" w:sz="4" w:space="0"/>
              <w:left w:val="single" w:color="000000" w:sz="4" w:space="0"/>
              <w:bottom w:val="single" w:color="000000" w:sz="4" w:space="0"/>
              <w:right w:val="single" w:color="000000" w:sz="4" w:space="0"/>
            </w:tcBorders>
            <w:noWrap w:val="0"/>
            <w:vAlign w:val="center"/>
          </w:tcPr>
          <w:p w14:paraId="6D3F2951">
            <w:pPr>
              <w:pStyle w:val="12"/>
              <w:wordWrap w:val="0"/>
              <w:spacing w:line="240" w:lineRule="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每</w:t>
            </w:r>
            <w:r>
              <w:rPr>
                <w:rFonts w:hint="eastAsia" w:ascii="宋体" w:hAnsi="宋体" w:eastAsia="宋体" w:cs="宋体"/>
                <w:color w:val="auto"/>
                <w:sz w:val="24"/>
                <w:szCs w:val="24"/>
                <w:highlight w:val="none"/>
                <w:lang w:eastAsia="zh-CN"/>
              </w:rPr>
              <w:t>季</w:t>
            </w:r>
            <w:r>
              <w:rPr>
                <w:rFonts w:hint="eastAsia" w:ascii="宋体" w:hAnsi="宋体" w:eastAsia="宋体" w:cs="宋体"/>
                <w:color w:val="auto"/>
                <w:sz w:val="24"/>
                <w:szCs w:val="24"/>
                <w:highlight w:val="none"/>
              </w:rPr>
              <w:t>测试排烟风机、排烟阀联动功能是否正常</w:t>
            </w:r>
          </w:p>
        </w:tc>
        <w:tc>
          <w:tcPr>
            <w:tcW w:w="3000" w:type="dxa"/>
            <w:tcBorders>
              <w:top w:val="single" w:color="000000" w:sz="4" w:space="0"/>
              <w:bottom w:val="single" w:color="000000" w:sz="4" w:space="0"/>
              <w:right w:val="single" w:color="000000" w:sz="4" w:space="0"/>
            </w:tcBorders>
            <w:noWrap w:val="0"/>
            <w:vAlign w:val="center"/>
          </w:tcPr>
          <w:p w14:paraId="46412975">
            <w:pPr>
              <w:pStyle w:val="12"/>
              <w:wordWrap w:val="0"/>
              <w:spacing w:line="240" w:lineRule="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rPr>
              <w:t>联动功能正常</w:t>
            </w:r>
          </w:p>
        </w:tc>
        <w:tc>
          <w:tcPr>
            <w:tcW w:w="3000" w:type="dxa"/>
            <w:tcBorders>
              <w:top w:val="single" w:color="000000" w:sz="4" w:space="0"/>
              <w:bottom w:val="single" w:color="000000" w:sz="4" w:space="0"/>
              <w:right w:val="single" w:color="000000" w:sz="4" w:space="0"/>
            </w:tcBorders>
            <w:noWrap w:val="0"/>
            <w:vAlign w:val="center"/>
          </w:tcPr>
          <w:p w14:paraId="1CA01468">
            <w:pPr>
              <w:pStyle w:val="12"/>
              <w:wordWrap w:val="0"/>
              <w:spacing w:line="240" w:lineRule="auto"/>
              <w:rPr>
                <w:rFonts w:hint="eastAsia" w:ascii="宋体" w:hAnsi="宋体" w:eastAsia="宋体" w:cs="宋体"/>
                <w:color w:val="auto"/>
                <w:sz w:val="24"/>
                <w:szCs w:val="24"/>
                <w:highlight w:val="none"/>
              </w:rPr>
            </w:pPr>
            <w:r>
              <w:rPr>
                <w:rFonts w:hint="eastAsia" w:ascii="宋体" w:hAnsi="宋体" w:eastAsia="宋体" w:cs="宋体"/>
                <w:color w:val="auto"/>
                <w:kern w:val="2"/>
                <w:sz w:val="24"/>
                <w:szCs w:val="24"/>
                <w:highlight w:val="none"/>
                <w:lang w:val="en-US" w:eastAsia="zh-CN" w:bidi="ar-SA"/>
              </w:rPr>
              <w:t>任一处未达标准，扣考核评分0.5分，并扣除服务费100元。</w:t>
            </w:r>
          </w:p>
        </w:tc>
      </w:tr>
      <w:tr w14:paraId="307FA706">
        <w:tblPrEx>
          <w:tblCellMar>
            <w:top w:w="15" w:type="dxa"/>
            <w:left w:w="15" w:type="dxa"/>
            <w:bottom w:w="15" w:type="dxa"/>
            <w:right w:w="15" w:type="dxa"/>
          </w:tblCellMar>
        </w:tblPrEx>
        <w:trPr>
          <w:trHeight w:val="727" w:hRule="atLeast"/>
        </w:trPr>
        <w:tc>
          <w:tcPr>
            <w:tcW w:w="750" w:type="dxa"/>
            <w:tcBorders>
              <w:top w:val="single" w:color="000000" w:sz="4" w:space="0"/>
              <w:left w:val="single" w:color="000000" w:sz="4" w:space="0"/>
              <w:bottom w:val="single" w:color="000000" w:sz="4" w:space="0"/>
              <w:right w:val="single" w:color="000000" w:sz="4" w:space="0"/>
            </w:tcBorders>
            <w:noWrap w:val="0"/>
            <w:vAlign w:val="center"/>
          </w:tcPr>
          <w:p w14:paraId="1678661A">
            <w:pPr>
              <w:pStyle w:val="12"/>
              <w:wordWrap w:val="0"/>
              <w:spacing w:line="240" w:lineRule="auto"/>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5</w:t>
            </w:r>
          </w:p>
        </w:tc>
        <w:tc>
          <w:tcPr>
            <w:tcW w:w="2850" w:type="dxa"/>
            <w:tcBorders>
              <w:top w:val="single" w:color="000000" w:sz="4" w:space="0"/>
              <w:left w:val="single" w:color="000000" w:sz="4" w:space="0"/>
              <w:bottom w:val="single" w:color="000000" w:sz="4" w:space="0"/>
              <w:right w:val="single" w:color="000000" w:sz="4" w:space="0"/>
            </w:tcBorders>
            <w:noWrap w:val="0"/>
            <w:vAlign w:val="center"/>
          </w:tcPr>
          <w:p w14:paraId="2F081963">
            <w:pPr>
              <w:pStyle w:val="12"/>
              <w:wordWrap w:val="0"/>
              <w:spacing w:line="240" w:lineRule="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每月对风管进行外观检查</w:t>
            </w:r>
          </w:p>
        </w:tc>
        <w:tc>
          <w:tcPr>
            <w:tcW w:w="3000" w:type="dxa"/>
            <w:tcBorders>
              <w:top w:val="single" w:color="000000" w:sz="4" w:space="0"/>
              <w:bottom w:val="single" w:color="000000" w:sz="4" w:space="0"/>
              <w:right w:val="single" w:color="000000" w:sz="4" w:space="0"/>
            </w:tcBorders>
            <w:noWrap w:val="0"/>
            <w:vAlign w:val="center"/>
          </w:tcPr>
          <w:p w14:paraId="012B7D6D">
            <w:pPr>
              <w:pStyle w:val="12"/>
              <w:wordWrap w:val="0"/>
              <w:spacing w:line="240" w:lineRule="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风管无变形、损伤</w:t>
            </w:r>
          </w:p>
        </w:tc>
        <w:tc>
          <w:tcPr>
            <w:tcW w:w="3000" w:type="dxa"/>
            <w:tcBorders>
              <w:top w:val="single" w:color="000000" w:sz="4" w:space="0"/>
              <w:bottom w:val="single" w:color="000000" w:sz="4" w:space="0"/>
              <w:right w:val="single" w:color="000000" w:sz="4" w:space="0"/>
            </w:tcBorders>
            <w:noWrap w:val="0"/>
            <w:vAlign w:val="center"/>
          </w:tcPr>
          <w:p w14:paraId="6FC80EE5">
            <w:pPr>
              <w:pStyle w:val="12"/>
              <w:wordWrap w:val="0"/>
              <w:spacing w:line="240" w:lineRule="auto"/>
              <w:rPr>
                <w:rFonts w:hint="eastAsia" w:ascii="宋体" w:hAnsi="宋体" w:eastAsia="宋体" w:cs="宋体"/>
                <w:color w:val="auto"/>
                <w:sz w:val="24"/>
                <w:szCs w:val="24"/>
                <w:highlight w:val="none"/>
              </w:rPr>
            </w:pPr>
            <w:r>
              <w:rPr>
                <w:rFonts w:hint="eastAsia" w:ascii="宋体" w:hAnsi="宋体" w:eastAsia="宋体" w:cs="宋体"/>
                <w:color w:val="auto"/>
                <w:kern w:val="2"/>
                <w:sz w:val="24"/>
                <w:szCs w:val="24"/>
                <w:highlight w:val="none"/>
                <w:lang w:val="en-US" w:eastAsia="zh-CN" w:bidi="ar-SA"/>
              </w:rPr>
              <w:t>任一处未达标准，扣考核评分0.5分，并扣除服务费100元。</w:t>
            </w:r>
          </w:p>
        </w:tc>
      </w:tr>
    </w:tbl>
    <w:p w14:paraId="64ACD2E4">
      <w:pPr>
        <w:pStyle w:val="12"/>
        <w:wordWrap w:val="0"/>
        <w:spacing w:line="360" w:lineRule="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9</w:t>
      </w:r>
      <w:r>
        <w:rPr>
          <w:rFonts w:hint="eastAsia" w:ascii="宋体" w:hAnsi="宋体" w:eastAsia="宋体" w:cs="宋体"/>
          <w:color w:val="auto"/>
          <w:sz w:val="24"/>
          <w:szCs w:val="24"/>
          <w:highlight w:val="none"/>
          <w:lang w:val="en-US" w:eastAsia="zh-CN"/>
        </w:rPr>
        <w:t>.</w:t>
      </w:r>
      <w:r>
        <w:rPr>
          <w:rFonts w:hint="eastAsia" w:ascii="宋体" w:hAnsi="宋体" w:eastAsia="宋体" w:cs="宋体"/>
          <w:color w:val="auto"/>
          <w:sz w:val="24"/>
          <w:szCs w:val="24"/>
          <w:highlight w:val="none"/>
        </w:rPr>
        <w:t xml:space="preserve">消防供水设施      </w:t>
      </w:r>
    </w:p>
    <w:tbl>
      <w:tblPr>
        <w:tblStyle w:val="20"/>
        <w:tblW w:w="9600" w:type="dxa"/>
        <w:tblInd w:w="-549" w:type="dxa"/>
        <w:tblLayout w:type="fixed"/>
        <w:tblCellMar>
          <w:top w:w="15" w:type="dxa"/>
          <w:left w:w="15" w:type="dxa"/>
          <w:bottom w:w="15" w:type="dxa"/>
          <w:right w:w="15" w:type="dxa"/>
        </w:tblCellMar>
      </w:tblPr>
      <w:tblGrid>
        <w:gridCol w:w="765"/>
        <w:gridCol w:w="2835"/>
        <w:gridCol w:w="3000"/>
        <w:gridCol w:w="3000"/>
      </w:tblGrid>
      <w:tr w14:paraId="1D85C5D3">
        <w:tblPrEx>
          <w:tblCellMar>
            <w:top w:w="15" w:type="dxa"/>
            <w:left w:w="15" w:type="dxa"/>
            <w:bottom w:w="15" w:type="dxa"/>
            <w:right w:w="15" w:type="dxa"/>
          </w:tblCellMar>
        </w:tblPrEx>
        <w:trPr>
          <w:trHeight w:val="625" w:hRule="atLeast"/>
        </w:trPr>
        <w:tc>
          <w:tcPr>
            <w:tcW w:w="765" w:type="dxa"/>
            <w:tcBorders>
              <w:top w:val="single" w:color="000000" w:sz="4" w:space="0"/>
              <w:left w:val="single" w:color="000000" w:sz="4" w:space="0"/>
              <w:bottom w:val="single" w:color="000000" w:sz="4" w:space="0"/>
              <w:right w:val="single" w:color="000000" w:sz="4" w:space="0"/>
            </w:tcBorders>
            <w:noWrap w:val="0"/>
            <w:vAlign w:val="center"/>
          </w:tcPr>
          <w:p w14:paraId="1A87EEC8">
            <w:pPr>
              <w:pStyle w:val="12"/>
              <w:wordWrap w:val="0"/>
              <w:spacing w:line="360" w:lineRule="auto"/>
              <w:jc w:val="center"/>
              <w:rPr>
                <w:rFonts w:hint="eastAsia" w:ascii="宋体" w:hAnsi="宋体" w:eastAsia="宋体" w:cs="宋体"/>
                <w:color w:val="auto"/>
                <w:sz w:val="24"/>
                <w:szCs w:val="24"/>
                <w:highlight w:val="none"/>
              </w:rPr>
            </w:pPr>
            <w:r>
              <w:rPr>
                <w:rFonts w:hint="eastAsia" w:ascii="宋体" w:hAnsi="宋体" w:eastAsia="宋体" w:cs="宋体"/>
                <w:b/>
                <w:bCs/>
                <w:color w:val="auto"/>
                <w:sz w:val="24"/>
                <w:szCs w:val="24"/>
                <w:highlight w:val="none"/>
              </w:rPr>
              <w:t>序号</w:t>
            </w:r>
          </w:p>
        </w:tc>
        <w:tc>
          <w:tcPr>
            <w:tcW w:w="2835" w:type="dxa"/>
            <w:tcBorders>
              <w:top w:val="single" w:color="000000" w:sz="4" w:space="0"/>
              <w:left w:val="single" w:color="000000" w:sz="4" w:space="0"/>
              <w:bottom w:val="single" w:color="000000" w:sz="4" w:space="0"/>
              <w:right w:val="single" w:color="000000" w:sz="4" w:space="0"/>
            </w:tcBorders>
            <w:noWrap w:val="0"/>
            <w:vAlign w:val="center"/>
          </w:tcPr>
          <w:p w14:paraId="457451B4">
            <w:pPr>
              <w:pStyle w:val="12"/>
              <w:wordWrap w:val="0"/>
              <w:spacing w:line="360" w:lineRule="auto"/>
              <w:jc w:val="center"/>
              <w:rPr>
                <w:rFonts w:hint="eastAsia" w:ascii="宋体" w:hAnsi="宋体" w:eastAsia="宋体" w:cs="宋体"/>
                <w:color w:val="auto"/>
                <w:sz w:val="24"/>
                <w:szCs w:val="24"/>
                <w:highlight w:val="none"/>
              </w:rPr>
            </w:pPr>
            <w:r>
              <w:rPr>
                <w:rFonts w:hint="eastAsia" w:ascii="宋体" w:hAnsi="宋体" w:eastAsia="宋体" w:cs="宋体"/>
                <w:b/>
                <w:bCs/>
                <w:color w:val="auto"/>
                <w:sz w:val="24"/>
                <w:szCs w:val="24"/>
                <w:highlight w:val="none"/>
              </w:rPr>
              <w:t>维护保养工作内容</w:t>
            </w:r>
          </w:p>
        </w:tc>
        <w:tc>
          <w:tcPr>
            <w:tcW w:w="3000" w:type="dxa"/>
            <w:tcBorders>
              <w:top w:val="single" w:color="000000" w:sz="4" w:space="0"/>
              <w:left w:val="single" w:color="000000" w:sz="4" w:space="0"/>
              <w:bottom w:val="single" w:color="000000" w:sz="4" w:space="0"/>
              <w:right w:val="single" w:color="000000" w:sz="4" w:space="0"/>
            </w:tcBorders>
            <w:noWrap w:val="0"/>
            <w:vAlign w:val="center"/>
          </w:tcPr>
          <w:p w14:paraId="60EF5926">
            <w:pPr>
              <w:pStyle w:val="12"/>
              <w:wordWrap w:val="0"/>
              <w:spacing w:line="360" w:lineRule="auto"/>
              <w:jc w:val="center"/>
              <w:rPr>
                <w:rFonts w:hint="eastAsia" w:ascii="宋体" w:hAnsi="宋体" w:eastAsia="宋体" w:cs="宋体"/>
                <w:color w:val="auto"/>
                <w:sz w:val="24"/>
                <w:szCs w:val="24"/>
                <w:highlight w:val="none"/>
              </w:rPr>
            </w:pPr>
            <w:r>
              <w:rPr>
                <w:rFonts w:hint="eastAsia" w:ascii="宋体" w:hAnsi="宋体" w:eastAsia="宋体" w:cs="宋体"/>
                <w:b/>
                <w:bCs/>
                <w:color w:val="auto"/>
                <w:sz w:val="24"/>
                <w:szCs w:val="24"/>
                <w:highlight w:val="none"/>
              </w:rPr>
              <w:t>维护保养标准</w:t>
            </w:r>
          </w:p>
        </w:tc>
        <w:tc>
          <w:tcPr>
            <w:tcW w:w="3000" w:type="dxa"/>
            <w:tcBorders>
              <w:top w:val="single" w:color="000000" w:sz="4" w:space="0"/>
              <w:left w:val="single" w:color="000000" w:sz="4" w:space="0"/>
              <w:bottom w:val="single" w:color="000000" w:sz="4" w:space="0"/>
              <w:right w:val="single" w:color="000000" w:sz="4" w:space="0"/>
            </w:tcBorders>
            <w:noWrap w:val="0"/>
            <w:vAlign w:val="center"/>
          </w:tcPr>
          <w:p w14:paraId="408EE8B4">
            <w:pPr>
              <w:pStyle w:val="12"/>
              <w:wordWrap w:val="0"/>
              <w:spacing w:line="360" w:lineRule="auto"/>
              <w:jc w:val="center"/>
              <w:rPr>
                <w:rFonts w:hint="eastAsia" w:ascii="宋体" w:hAnsi="宋体" w:eastAsia="宋体" w:cs="宋体"/>
                <w:color w:val="auto"/>
                <w:sz w:val="24"/>
                <w:szCs w:val="24"/>
                <w:highlight w:val="none"/>
              </w:rPr>
            </w:pPr>
            <w:r>
              <w:rPr>
                <w:rFonts w:hint="eastAsia" w:ascii="宋体" w:hAnsi="宋体" w:eastAsia="宋体" w:cs="宋体"/>
                <w:b/>
                <w:bCs/>
                <w:color w:val="auto"/>
                <w:kern w:val="2"/>
                <w:sz w:val="24"/>
                <w:szCs w:val="24"/>
                <w:highlight w:val="none"/>
                <w:lang w:val="en-US" w:eastAsia="zh-CN" w:bidi="ar-SA"/>
              </w:rPr>
              <w:t>扣分标准</w:t>
            </w:r>
          </w:p>
        </w:tc>
      </w:tr>
      <w:tr w14:paraId="5F4BB2CD">
        <w:tblPrEx>
          <w:tblCellMar>
            <w:top w:w="15" w:type="dxa"/>
            <w:left w:w="15" w:type="dxa"/>
            <w:bottom w:w="15" w:type="dxa"/>
            <w:right w:w="15" w:type="dxa"/>
          </w:tblCellMar>
        </w:tblPrEx>
        <w:trPr>
          <w:trHeight w:val="937" w:hRule="atLeast"/>
        </w:trPr>
        <w:tc>
          <w:tcPr>
            <w:tcW w:w="765" w:type="dxa"/>
            <w:tcBorders>
              <w:top w:val="single" w:color="000000" w:sz="4" w:space="0"/>
              <w:left w:val="single" w:color="000000" w:sz="4" w:space="0"/>
              <w:bottom w:val="single" w:color="000000" w:sz="4" w:space="0"/>
              <w:right w:val="single" w:color="000000" w:sz="4" w:space="0"/>
            </w:tcBorders>
            <w:noWrap w:val="0"/>
            <w:vAlign w:val="center"/>
          </w:tcPr>
          <w:p w14:paraId="6A5AA4F0">
            <w:pPr>
              <w:pStyle w:val="12"/>
              <w:wordWrap w:val="0"/>
              <w:spacing w:line="240" w:lineRule="auto"/>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w:t>
            </w:r>
          </w:p>
        </w:tc>
        <w:tc>
          <w:tcPr>
            <w:tcW w:w="2835" w:type="dxa"/>
            <w:tcBorders>
              <w:top w:val="single" w:color="000000" w:sz="4" w:space="0"/>
              <w:left w:val="single" w:color="000000" w:sz="4" w:space="0"/>
              <w:bottom w:val="single" w:color="000000" w:sz="4" w:space="0"/>
              <w:right w:val="single" w:color="000000" w:sz="4" w:space="0"/>
            </w:tcBorders>
            <w:noWrap w:val="0"/>
            <w:vAlign w:val="center"/>
          </w:tcPr>
          <w:p w14:paraId="4E159438">
            <w:pPr>
              <w:pStyle w:val="12"/>
              <w:wordWrap w:val="0"/>
              <w:spacing w:line="240" w:lineRule="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每月核对消防水池/消防水塔/消防水箱储水状态，检查消防水塔/消防水箱自动进水功能</w:t>
            </w:r>
          </w:p>
        </w:tc>
        <w:tc>
          <w:tcPr>
            <w:tcW w:w="3000" w:type="dxa"/>
            <w:tcBorders>
              <w:top w:val="single" w:color="000000" w:sz="4" w:space="0"/>
              <w:left w:val="single" w:color="000000" w:sz="4" w:space="0"/>
              <w:bottom w:val="single" w:color="000000" w:sz="4" w:space="0"/>
              <w:right w:val="single" w:color="000000" w:sz="4" w:space="0"/>
            </w:tcBorders>
            <w:noWrap w:val="0"/>
            <w:vAlign w:val="center"/>
          </w:tcPr>
          <w:p w14:paraId="0FE56CAB">
            <w:pPr>
              <w:pStyle w:val="12"/>
              <w:wordWrap w:val="0"/>
              <w:spacing w:line="240" w:lineRule="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高/低水位报警正常，消防水塔/消防水箱自动进水功能正常</w:t>
            </w:r>
          </w:p>
        </w:tc>
        <w:tc>
          <w:tcPr>
            <w:tcW w:w="3000" w:type="dxa"/>
            <w:tcBorders>
              <w:top w:val="single" w:color="000000" w:sz="4" w:space="0"/>
              <w:left w:val="single" w:color="000000" w:sz="4" w:space="0"/>
              <w:bottom w:val="single" w:color="000000" w:sz="4" w:space="0"/>
              <w:right w:val="single" w:color="000000" w:sz="4" w:space="0"/>
            </w:tcBorders>
            <w:noWrap w:val="0"/>
            <w:vAlign w:val="center"/>
          </w:tcPr>
          <w:p w14:paraId="259AFAC6">
            <w:pPr>
              <w:pStyle w:val="12"/>
              <w:wordWrap w:val="0"/>
              <w:spacing w:line="240" w:lineRule="auto"/>
              <w:rPr>
                <w:rFonts w:hint="eastAsia" w:ascii="宋体" w:hAnsi="宋体" w:eastAsia="宋体" w:cs="宋体"/>
                <w:color w:val="auto"/>
                <w:sz w:val="24"/>
                <w:szCs w:val="24"/>
                <w:highlight w:val="none"/>
              </w:rPr>
            </w:pPr>
            <w:r>
              <w:rPr>
                <w:rFonts w:hint="eastAsia" w:ascii="宋体" w:hAnsi="宋体" w:eastAsia="宋体" w:cs="宋体"/>
                <w:color w:val="auto"/>
                <w:kern w:val="2"/>
                <w:sz w:val="24"/>
                <w:szCs w:val="24"/>
                <w:highlight w:val="none"/>
                <w:lang w:val="en-US" w:eastAsia="zh-CN" w:bidi="ar-SA"/>
              </w:rPr>
              <w:t>任一处未达标准，扣考核评分0.5分，并扣除服务费100元。</w:t>
            </w:r>
          </w:p>
        </w:tc>
      </w:tr>
      <w:tr w14:paraId="4D37C99F">
        <w:tblPrEx>
          <w:tblCellMar>
            <w:top w:w="15" w:type="dxa"/>
            <w:left w:w="15" w:type="dxa"/>
            <w:bottom w:w="15" w:type="dxa"/>
            <w:right w:w="15" w:type="dxa"/>
          </w:tblCellMar>
        </w:tblPrEx>
        <w:trPr>
          <w:trHeight w:val="625" w:hRule="atLeast"/>
        </w:trPr>
        <w:tc>
          <w:tcPr>
            <w:tcW w:w="765" w:type="dxa"/>
            <w:tcBorders>
              <w:top w:val="single" w:color="000000" w:sz="4" w:space="0"/>
              <w:left w:val="single" w:color="000000" w:sz="4" w:space="0"/>
              <w:bottom w:val="single" w:color="000000" w:sz="4" w:space="0"/>
              <w:right w:val="single" w:color="000000" w:sz="4" w:space="0"/>
            </w:tcBorders>
            <w:noWrap w:val="0"/>
            <w:vAlign w:val="center"/>
          </w:tcPr>
          <w:p w14:paraId="15A8FAA1">
            <w:pPr>
              <w:pStyle w:val="12"/>
              <w:wordWrap w:val="0"/>
              <w:spacing w:line="240" w:lineRule="auto"/>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w:t>
            </w:r>
          </w:p>
        </w:tc>
        <w:tc>
          <w:tcPr>
            <w:tcW w:w="2835" w:type="dxa"/>
            <w:tcBorders>
              <w:top w:val="single" w:color="000000" w:sz="4" w:space="0"/>
              <w:left w:val="single" w:color="000000" w:sz="4" w:space="0"/>
              <w:bottom w:val="single" w:color="000000" w:sz="4" w:space="0"/>
              <w:right w:val="single" w:color="000000" w:sz="4" w:space="0"/>
            </w:tcBorders>
            <w:noWrap w:val="0"/>
            <w:vAlign w:val="center"/>
          </w:tcPr>
          <w:p w14:paraId="321EF75F">
            <w:pPr>
              <w:pStyle w:val="12"/>
              <w:wordWrap w:val="0"/>
              <w:spacing w:line="240" w:lineRule="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每月检查消防水泵及控制柜运行状态</w:t>
            </w:r>
          </w:p>
        </w:tc>
        <w:tc>
          <w:tcPr>
            <w:tcW w:w="3000" w:type="dxa"/>
            <w:tcBorders>
              <w:top w:val="single" w:color="000000" w:sz="4" w:space="0"/>
              <w:left w:val="single" w:color="000000" w:sz="4" w:space="0"/>
              <w:bottom w:val="single" w:color="000000" w:sz="4" w:space="0"/>
              <w:right w:val="single" w:color="000000" w:sz="4" w:space="0"/>
            </w:tcBorders>
            <w:noWrap w:val="0"/>
            <w:vAlign w:val="center"/>
          </w:tcPr>
          <w:p w14:paraId="712CEE3F">
            <w:pPr>
              <w:pStyle w:val="12"/>
              <w:wordWrap w:val="0"/>
              <w:spacing w:line="240" w:lineRule="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消防水泵和控制柜运行正常</w:t>
            </w:r>
          </w:p>
        </w:tc>
        <w:tc>
          <w:tcPr>
            <w:tcW w:w="3000" w:type="dxa"/>
            <w:tcBorders>
              <w:top w:val="single" w:color="000000" w:sz="4" w:space="0"/>
              <w:left w:val="single" w:color="000000" w:sz="4" w:space="0"/>
              <w:bottom w:val="single" w:color="000000" w:sz="4" w:space="0"/>
              <w:right w:val="single" w:color="000000" w:sz="4" w:space="0"/>
            </w:tcBorders>
            <w:noWrap w:val="0"/>
            <w:vAlign w:val="center"/>
          </w:tcPr>
          <w:p w14:paraId="34435E57">
            <w:pPr>
              <w:pStyle w:val="12"/>
              <w:wordWrap w:val="0"/>
              <w:spacing w:line="240" w:lineRule="auto"/>
              <w:rPr>
                <w:rFonts w:hint="eastAsia" w:ascii="宋体" w:hAnsi="宋体" w:eastAsia="宋体" w:cs="宋体"/>
                <w:color w:val="auto"/>
                <w:sz w:val="24"/>
                <w:szCs w:val="24"/>
                <w:highlight w:val="none"/>
              </w:rPr>
            </w:pPr>
            <w:r>
              <w:rPr>
                <w:rFonts w:hint="eastAsia" w:ascii="宋体" w:hAnsi="宋体" w:eastAsia="宋体" w:cs="宋体"/>
                <w:color w:val="auto"/>
                <w:kern w:val="2"/>
                <w:sz w:val="24"/>
                <w:szCs w:val="24"/>
                <w:highlight w:val="none"/>
                <w:lang w:val="en-US" w:eastAsia="zh-CN" w:bidi="ar-SA"/>
              </w:rPr>
              <w:t>任一处未达标准，扣考核评分0.5分，并扣除服务费100元。</w:t>
            </w:r>
          </w:p>
        </w:tc>
      </w:tr>
      <w:tr w14:paraId="0F747F3E">
        <w:tblPrEx>
          <w:tblCellMar>
            <w:top w:w="15" w:type="dxa"/>
            <w:left w:w="15" w:type="dxa"/>
            <w:bottom w:w="15" w:type="dxa"/>
            <w:right w:w="15" w:type="dxa"/>
          </w:tblCellMar>
        </w:tblPrEx>
        <w:trPr>
          <w:trHeight w:val="625" w:hRule="atLeast"/>
        </w:trPr>
        <w:tc>
          <w:tcPr>
            <w:tcW w:w="765" w:type="dxa"/>
            <w:tcBorders>
              <w:top w:val="single" w:color="000000" w:sz="4" w:space="0"/>
              <w:left w:val="single" w:color="000000" w:sz="4" w:space="0"/>
              <w:bottom w:val="single" w:color="000000" w:sz="4" w:space="0"/>
              <w:right w:val="single" w:color="000000" w:sz="4" w:space="0"/>
            </w:tcBorders>
            <w:noWrap w:val="0"/>
            <w:vAlign w:val="center"/>
          </w:tcPr>
          <w:p w14:paraId="5469FE8B">
            <w:pPr>
              <w:pStyle w:val="12"/>
              <w:wordWrap w:val="0"/>
              <w:spacing w:line="240" w:lineRule="auto"/>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w:t>
            </w:r>
          </w:p>
        </w:tc>
        <w:tc>
          <w:tcPr>
            <w:tcW w:w="2835" w:type="dxa"/>
            <w:tcBorders>
              <w:top w:val="single" w:color="000000" w:sz="4" w:space="0"/>
              <w:left w:val="single" w:color="000000" w:sz="4" w:space="0"/>
              <w:bottom w:val="single" w:color="000000" w:sz="4" w:space="0"/>
              <w:right w:val="single" w:color="000000" w:sz="4" w:space="0"/>
            </w:tcBorders>
            <w:noWrap w:val="0"/>
            <w:vAlign w:val="center"/>
          </w:tcPr>
          <w:p w14:paraId="5024DF7B">
            <w:pPr>
              <w:pStyle w:val="12"/>
              <w:wordWrap w:val="0"/>
              <w:spacing w:line="240" w:lineRule="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每月检查消防水池/水箱/水塔进口阀门、出口阀门、水泵进出口阀门状态</w:t>
            </w:r>
          </w:p>
        </w:tc>
        <w:tc>
          <w:tcPr>
            <w:tcW w:w="3000" w:type="dxa"/>
            <w:tcBorders>
              <w:top w:val="single" w:color="000000" w:sz="4" w:space="0"/>
              <w:bottom w:val="single" w:color="000000" w:sz="4" w:space="0"/>
              <w:right w:val="single" w:color="000000" w:sz="4" w:space="0"/>
            </w:tcBorders>
            <w:noWrap w:val="0"/>
            <w:vAlign w:val="center"/>
          </w:tcPr>
          <w:p w14:paraId="417DA3B5">
            <w:pPr>
              <w:pStyle w:val="12"/>
              <w:wordWrap w:val="0"/>
              <w:spacing w:line="240" w:lineRule="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阀门开关状态正常</w:t>
            </w:r>
          </w:p>
        </w:tc>
        <w:tc>
          <w:tcPr>
            <w:tcW w:w="3000" w:type="dxa"/>
            <w:tcBorders>
              <w:top w:val="single" w:color="000000" w:sz="4" w:space="0"/>
              <w:bottom w:val="single" w:color="000000" w:sz="4" w:space="0"/>
              <w:right w:val="single" w:color="000000" w:sz="4" w:space="0"/>
            </w:tcBorders>
            <w:noWrap w:val="0"/>
            <w:vAlign w:val="center"/>
          </w:tcPr>
          <w:p w14:paraId="4B52E571">
            <w:pPr>
              <w:pStyle w:val="12"/>
              <w:wordWrap w:val="0"/>
              <w:spacing w:line="240" w:lineRule="auto"/>
              <w:rPr>
                <w:rFonts w:hint="eastAsia" w:ascii="宋体" w:hAnsi="宋体" w:eastAsia="宋体" w:cs="宋体"/>
                <w:color w:val="auto"/>
                <w:sz w:val="24"/>
                <w:szCs w:val="24"/>
                <w:highlight w:val="none"/>
              </w:rPr>
            </w:pPr>
            <w:r>
              <w:rPr>
                <w:rFonts w:hint="eastAsia" w:ascii="宋体" w:hAnsi="宋体" w:eastAsia="宋体" w:cs="宋体"/>
                <w:color w:val="auto"/>
                <w:kern w:val="2"/>
                <w:sz w:val="24"/>
                <w:szCs w:val="24"/>
                <w:highlight w:val="none"/>
                <w:lang w:val="en-US" w:eastAsia="zh-CN" w:bidi="ar-SA"/>
              </w:rPr>
              <w:t>任一处未达标准，扣考核评分0.5分，并扣除服务费100元。</w:t>
            </w:r>
          </w:p>
        </w:tc>
      </w:tr>
      <w:tr w14:paraId="46C13FC3">
        <w:tblPrEx>
          <w:tblCellMar>
            <w:top w:w="15" w:type="dxa"/>
            <w:left w:w="15" w:type="dxa"/>
            <w:bottom w:w="15" w:type="dxa"/>
            <w:right w:w="15" w:type="dxa"/>
          </w:tblCellMar>
        </w:tblPrEx>
        <w:trPr>
          <w:trHeight w:val="625" w:hRule="atLeast"/>
        </w:trPr>
        <w:tc>
          <w:tcPr>
            <w:tcW w:w="765" w:type="dxa"/>
            <w:tcBorders>
              <w:top w:val="single" w:color="000000" w:sz="4" w:space="0"/>
              <w:left w:val="single" w:color="000000" w:sz="4" w:space="0"/>
              <w:bottom w:val="single" w:color="000000" w:sz="4" w:space="0"/>
              <w:right w:val="single" w:color="000000" w:sz="4" w:space="0"/>
            </w:tcBorders>
            <w:noWrap w:val="0"/>
            <w:vAlign w:val="center"/>
          </w:tcPr>
          <w:p w14:paraId="4DFBA546">
            <w:pPr>
              <w:pStyle w:val="12"/>
              <w:wordWrap w:val="0"/>
              <w:spacing w:line="240" w:lineRule="auto"/>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4</w:t>
            </w:r>
          </w:p>
        </w:tc>
        <w:tc>
          <w:tcPr>
            <w:tcW w:w="2835" w:type="dxa"/>
            <w:tcBorders>
              <w:top w:val="single" w:color="000000" w:sz="4" w:space="0"/>
              <w:left w:val="single" w:color="000000" w:sz="4" w:space="0"/>
              <w:bottom w:val="single" w:color="000000" w:sz="4" w:space="0"/>
              <w:right w:val="single" w:color="000000" w:sz="4" w:space="0"/>
            </w:tcBorders>
            <w:noWrap w:val="0"/>
            <w:vAlign w:val="center"/>
          </w:tcPr>
          <w:p w14:paraId="61E39578">
            <w:pPr>
              <w:pStyle w:val="12"/>
              <w:wordWrap w:val="0"/>
              <w:spacing w:line="240" w:lineRule="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每月测试泵房水泵远程/本地启泵功能</w:t>
            </w:r>
          </w:p>
        </w:tc>
        <w:tc>
          <w:tcPr>
            <w:tcW w:w="3000" w:type="dxa"/>
            <w:tcBorders>
              <w:top w:val="single" w:color="000000" w:sz="4" w:space="0"/>
              <w:bottom w:val="single" w:color="000000" w:sz="4" w:space="0"/>
              <w:right w:val="single" w:color="000000" w:sz="4" w:space="0"/>
            </w:tcBorders>
            <w:noWrap w:val="0"/>
            <w:vAlign w:val="center"/>
          </w:tcPr>
          <w:p w14:paraId="6B92EFD1">
            <w:pPr>
              <w:pStyle w:val="12"/>
              <w:wordWrap w:val="0"/>
              <w:spacing w:line="240" w:lineRule="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远程/本地启泵正常</w:t>
            </w:r>
          </w:p>
        </w:tc>
        <w:tc>
          <w:tcPr>
            <w:tcW w:w="3000" w:type="dxa"/>
            <w:tcBorders>
              <w:top w:val="single" w:color="000000" w:sz="4" w:space="0"/>
              <w:bottom w:val="single" w:color="000000" w:sz="4" w:space="0"/>
              <w:right w:val="single" w:color="000000" w:sz="4" w:space="0"/>
            </w:tcBorders>
            <w:noWrap w:val="0"/>
            <w:vAlign w:val="center"/>
          </w:tcPr>
          <w:p w14:paraId="70758CE7">
            <w:pPr>
              <w:pStyle w:val="12"/>
              <w:wordWrap w:val="0"/>
              <w:spacing w:line="240" w:lineRule="auto"/>
              <w:rPr>
                <w:rFonts w:hint="eastAsia" w:ascii="宋体" w:hAnsi="宋体" w:eastAsia="宋体" w:cs="宋体"/>
                <w:color w:val="auto"/>
                <w:sz w:val="24"/>
                <w:szCs w:val="24"/>
                <w:highlight w:val="none"/>
              </w:rPr>
            </w:pPr>
            <w:r>
              <w:rPr>
                <w:rFonts w:hint="eastAsia" w:ascii="宋体" w:hAnsi="宋体" w:eastAsia="宋体" w:cs="宋体"/>
                <w:color w:val="auto"/>
                <w:kern w:val="2"/>
                <w:sz w:val="24"/>
                <w:szCs w:val="24"/>
                <w:highlight w:val="none"/>
                <w:lang w:val="en-US" w:eastAsia="zh-CN" w:bidi="ar-SA"/>
              </w:rPr>
              <w:t>任一处未达标准，扣考核评分0.5分，并扣除服务费100元。</w:t>
            </w:r>
          </w:p>
        </w:tc>
      </w:tr>
      <w:tr w14:paraId="02A59DEC">
        <w:tblPrEx>
          <w:tblCellMar>
            <w:top w:w="15" w:type="dxa"/>
            <w:left w:w="15" w:type="dxa"/>
            <w:bottom w:w="15" w:type="dxa"/>
            <w:right w:w="15" w:type="dxa"/>
          </w:tblCellMar>
        </w:tblPrEx>
        <w:trPr>
          <w:trHeight w:val="625" w:hRule="atLeast"/>
        </w:trPr>
        <w:tc>
          <w:tcPr>
            <w:tcW w:w="765" w:type="dxa"/>
            <w:tcBorders>
              <w:top w:val="single" w:color="000000" w:sz="4" w:space="0"/>
              <w:left w:val="single" w:color="000000" w:sz="4" w:space="0"/>
              <w:bottom w:val="single" w:color="000000" w:sz="4" w:space="0"/>
              <w:right w:val="single" w:color="000000" w:sz="4" w:space="0"/>
            </w:tcBorders>
            <w:noWrap w:val="0"/>
            <w:vAlign w:val="center"/>
          </w:tcPr>
          <w:p w14:paraId="628E021E">
            <w:pPr>
              <w:pStyle w:val="12"/>
              <w:wordWrap w:val="0"/>
              <w:spacing w:line="240" w:lineRule="auto"/>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5</w:t>
            </w:r>
          </w:p>
        </w:tc>
        <w:tc>
          <w:tcPr>
            <w:tcW w:w="2835" w:type="dxa"/>
            <w:tcBorders>
              <w:top w:val="single" w:color="000000" w:sz="4" w:space="0"/>
              <w:left w:val="single" w:color="000000" w:sz="4" w:space="0"/>
              <w:bottom w:val="single" w:color="000000" w:sz="4" w:space="0"/>
              <w:right w:val="single" w:color="000000" w:sz="4" w:space="0"/>
            </w:tcBorders>
            <w:noWrap w:val="0"/>
            <w:vAlign w:val="center"/>
          </w:tcPr>
          <w:p w14:paraId="1D9B2645">
            <w:pPr>
              <w:pStyle w:val="12"/>
              <w:wordWrap w:val="0"/>
              <w:spacing w:line="240" w:lineRule="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每季测试稳压泵、</w:t>
            </w:r>
            <w:r>
              <w:rPr>
                <w:rFonts w:hint="eastAsia" w:ascii="宋体" w:hAnsi="宋体" w:eastAsia="宋体" w:cs="宋体"/>
                <w:color w:val="auto"/>
                <w:sz w:val="24"/>
                <w:szCs w:val="24"/>
                <w:highlight w:val="none"/>
                <w:lang w:eastAsia="zh-CN"/>
              </w:rPr>
              <w:t>增压</w:t>
            </w:r>
            <w:r>
              <w:rPr>
                <w:rFonts w:hint="eastAsia" w:ascii="宋体" w:hAnsi="宋体" w:eastAsia="宋体" w:cs="宋体"/>
                <w:color w:val="auto"/>
                <w:sz w:val="24"/>
                <w:szCs w:val="24"/>
                <w:highlight w:val="none"/>
              </w:rPr>
              <w:t>泵、气压水罐工作状态</w:t>
            </w:r>
          </w:p>
        </w:tc>
        <w:tc>
          <w:tcPr>
            <w:tcW w:w="3000" w:type="dxa"/>
            <w:tcBorders>
              <w:top w:val="single" w:color="000000" w:sz="4" w:space="0"/>
              <w:bottom w:val="single" w:color="000000" w:sz="4" w:space="0"/>
              <w:right w:val="single" w:color="000000" w:sz="4" w:space="0"/>
            </w:tcBorders>
            <w:noWrap w:val="0"/>
            <w:vAlign w:val="center"/>
          </w:tcPr>
          <w:p w14:paraId="5ED0F057">
            <w:pPr>
              <w:pStyle w:val="12"/>
              <w:wordWrap w:val="0"/>
              <w:spacing w:line="240" w:lineRule="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模拟系统渗漏，测试稳压泵、增压泵及气压水罐稳压、增压能力</w:t>
            </w:r>
          </w:p>
        </w:tc>
        <w:tc>
          <w:tcPr>
            <w:tcW w:w="3000" w:type="dxa"/>
            <w:tcBorders>
              <w:top w:val="single" w:color="000000" w:sz="4" w:space="0"/>
              <w:bottom w:val="single" w:color="000000" w:sz="4" w:space="0"/>
              <w:right w:val="single" w:color="000000" w:sz="4" w:space="0"/>
            </w:tcBorders>
            <w:noWrap w:val="0"/>
            <w:vAlign w:val="center"/>
          </w:tcPr>
          <w:p w14:paraId="4BB1C75E">
            <w:pPr>
              <w:pStyle w:val="12"/>
              <w:wordWrap w:val="0"/>
              <w:spacing w:line="240" w:lineRule="auto"/>
              <w:rPr>
                <w:rFonts w:hint="eastAsia" w:ascii="宋体" w:hAnsi="宋体" w:eastAsia="宋体" w:cs="宋体"/>
                <w:color w:val="auto"/>
                <w:sz w:val="24"/>
                <w:szCs w:val="24"/>
                <w:highlight w:val="none"/>
              </w:rPr>
            </w:pPr>
            <w:r>
              <w:rPr>
                <w:rFonts w:hint="eastAsia" w:ascii="宋体" w:hAnsi="宋体" w:eastAsia="宋体" w:cs="宋体"/>
                <w:color w:val="auto"/>
                <w:kern w:val="2"/>
                <w:sz w:val="24"/>
                <w:szCs w:val="24"/>
                <w:highlight w:val="none"/>
                <w:lang w:val="en-US" w:eastAsia="zh-CN" w:bidi="ar-SA"/>
              </w:rPr>
              <w:t>任一处未达标准，扣考核评分0.5分，并扣除服务费100元。</w:t>
            </w:r>
          </w:p>
        </w:tc>
      </w:tr>
      <w:tr w14:paraId="3705AD11">
        <w:tblPrEx>
          <w:tblCellMar>
            <w:top w:w="15" w:type="dxa"/>
            <w:left w:w="15" w:type="dxa"/>
            <w:bottom w:w="15" w:type="dxa"/>
            <w:right w:w="15" w:type="dxa"/>
          </w:tblCellMar>
        </w:tblPrEx>
        <w:trPr>
          <w:trHeight w:val="701" w:hRule="atLeast"/>
        </w:trPr>
        <w:tc>
          <w:tcPr>
            <w:tcW w:w="765" w:type="dxa"/>
            <w:tcBorders>
              <w:top w:val="single" w:color="000000" w:sz="4" w:space="0"/>
              <w:left w:val="single" w:color="000000" w:sz="4" w:space="0"/>
              <w:bottom w:val="single" w:color="000000" w:sz="4" w:space="0"/>
              <w:right w:val="single" w:color="000000" w:sz="4" w:space="0"/>
            </w:tcBorders>
            <w:noWrap w:val="0"/>
            <w:vAlign w:val="center"/>
          </w:tcPr>
          <w:p w14:paraId="25A80CBD">
            <w:pPr>
              <w:pStyle w:val="12"/>
              <w:wordWrap w:val="0"/>
              <w:spacing w:line="240" w:lineRule="auto"/>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6</w:t>
            </w:r>
          </w:p>
        </w:tc>
        <w:tc>
          <w:tcPr>
            <w:tcW w:w="2835" w:type="dxa"/>
            <w:tcBorders>
              <w:top w:val="single" w:color="000000" w:sz="4" w:space="0"/>
              <w:left w:val="single" w:color="000000" w:sz="4" w:space="0"/>
              <w:bottom w:val="single" w:color="000000" w:sz="4" w:space="0"/>
              <w:right w:val="single" w:color="000000" w:sz="4" w:space="0"/>
            </w:tcBorders>
            <w:noWrap w:val="0"/>
            <w:vAlign w:val="center"/>
          </w:tcPr>
          <w:p w14:paraId="425A80E8">
            <w:pPr>
              <w:pStyle w:val="12"/>
              <w:wordWrap w:val="0"/>
              <w:spacing w:line="240" w:lineRule="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每季测试泄压装置动作</w:t>
            </w:r>
          </w:p>
        </w:tc>
        <w:tc>
          <w:tcPr>
            <w:tcW w:w="3000" w:type="dxa"/>
            <w:tcBorders>
              <w:top w:val="single" w:color="000000" w:sz="4" w:space="0"/>
              <w:bottom w:val="single" w:color="000000" w:sz="4" w:space="0"/>
              <w:right w:val="single" w:color="000000" w:sz="4" w:space="0"/>
            </w:tcBorders>
            <w:noWrap w:val="0"/>
            <w:vAlign w:val="center"/>
          </w:tcPr>
          <w:p w14:paraId="22B62D7C">
            <w:pPr>
              <w:pStyle w:val="12"/>
              <w:wordWrap w:val="0"/>
              <w:spacing w:line="240" w:lineRule="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泄压阀动作正常</w:t>
            </w:r>
          </w:p>
        </w:tc>
        <w:tc>
          <w:tcPr>
            <w:tcW w:w="3000" w:type="dxa"/>
            <w:tcBorders>
              <w:top w:val="single" w:color="000000" w:sz="4" w:space="0"/>
              <w:bottom w:val="single" w:color="000000" w:sz="4" w:space="0"/>
              <w:right w:val="single" w:color="000000" w:sz="4" w:space="0"/>
            </w:tcBorders>
            <w:noWrap w:val="0"/>
            <w:vAlign w:val="center"/>
          </w:tcPr>
          <w:p w14:paraId="133065EF">
            <w:pPr>
              <w:pStyle w:val="12"/>
              <w:wordWrap w:val="0"/>
              <w:spacing w:line="240" w:lineRule="auto"/>
              <w:rPr>
                <w:rFonts w:hint="eastAsia" w:ascii="宋体" w:hAnsi="宋体" w:eastAsia="宋体" w:cs="宋体"/>
                <w:color w:val="auto"/>
                <w:sz w:val="24"/>
                <w:szCs w:val="24"/>
                <w:highlight w:val="none"/>
              </w:rPr>
            </w:pPr>
            <w:r>
              <w:rPr>
                <w:rFonts w:hint="eastAsia" w:ascii="宋体" w:hAnsi="宋体" w:eastAsia="宋体" w:cs="宋体"/>
                <w:color w:val="auto"/>
                <w:kern w:val="2"/>
                <w:sz w:val="24"/>
                <w:szCs w:val="24"/>
                <w:highlight w:val="none"/>
                <w:lang w:val="en-US" w:eastAsia="zh-CN" w:bidi="ar-SA"/>
              </w:rPr>
              <w:t>任一处未达标准，扣考核评分1分，并扣除服务费200元。</w:t>
            </w:r>
          </w:p>
        </w:tc>
      </w:tr>
      <w:tr w14:paraId="5F20D821">
        <w:tblPrEx>
          <w:tblCellMar>
            <w:top w:w="15" w:type="dxa"/>
            <w:left w:w="15" w:type="dxa"/>
            <w:bottom w:w="15" w:type="dxa"/>
            <w:right w:w="15" w:type="dxa"/>
          </w:tblCellMar>
        </w:tblPrEx>
        <w:trPr>
          <w:trHeight w:val="787" w:hRule="atLeast"/>
        </w:trPr>
        <w:tc>
          <w:tcPr>
            <w:tcW w:w="765" w:type="dxa"/>
            <w:tcBorders>
              <w:top w:val="single" w:color="000000" w:sz="4" w:space="0"/>
              <w:left w:val="single" w:color="000000" w:sz="4" w:space="0"/>
              <w:bottom w:val="single" w:color="000000" w:sz="4" w:space="0"/>
              <w:right w:val="single" w:color="000000" w:sz="4" w:space="0"/>
            </w:tcBorders>
            <w:noWrap w:val="0"/>
            <w:vAlign w:val="center"/>
          </w:tcPr>
          <w:p w14:paraId="3521D074">
            <w:pPr>
              <w:pStyle w:val="12"/>
              <w:wordWrap w:val="0"/>
              <w:spacing w:line="240" w:lineRule="auto"/>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7</w:t>
            </w:r>
          </w:p>
        </w:tc>
        <w:tc>
          <w:tcPr>
            <w:tcW w:w="2835" w:type="dxa"/>
            <w:tcBorders>
              <w:top w:val="single" w:color="000000" w:sz="4" w:space="0"/>
              <w:left w:val="single" w:color="000000" w:sz="4" w:space="0"/>
              <w:bottom w:val="single" w:color="000000" w:sz="4" w:space="0"/>
              <w:right w:val="single" w:color="000000" w:sz="4" w:space="0"/>
            </w:tcBorders>
            <w:noWrap w:val="0"/>
            <w:vAlign w:val="center"/>
          </w:tcPr>
          <w:p w14:paraId="32119866">
            <w:pPr>
              <w:pStyle w:val="12"/>
              <w:wordWrap w:val="0"/>
              <w:spacing w:line="240" w:lineRule="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每年进行喷淋、消火栓、水幕供水系统水流量测试</w:t>
            </w:r>
          </w:p>
        </w:tc>
        <w:tc>
          <w:tcPr>
            <w:tcW w:w="3000" w:type="dxa"/>
            <w:tcBorders>
              <w:top w:val="single" w:color="000000" w:sz="4" w:space="0"/>
              <w:bottom w:val="single" w:color="000000" w:sz="4" w:space="0"/>
              <w:right w:val="single" w:color="000000" w:sz="4" w:space="0"/>
            </w:tcBorders>
            <w:noWrap w:val="0"/>
            <w:vAlign w:val="center"/>
          </w:tcPr>
          <w:p w14:paraId="1AD158DB">
            <w:pPr>
              <w:pStyle w:val="12"/>
              <w:wordWrap w:val="0"/>
              <w:spacing w:line="240" w:lineRule="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流量测试满足要求</w:t>
            </w:r>
          </w:p>
        </w:tc>
        <w:tc>
          <w:tcPr>
            <w:tcW w:w="3000" w:type="dxa"/>
            <w:tcBorders>
              <w:top w:val="single" w:color="000000" w:sz="4" w:space="0"/>
              <w:bottom w:val="single" w:color="000000" w:sz="4" w:space="0"/>
              <w:right w:val="single" w:color="000000" w:sz="4" w:space="0"/>
            </w:tcBorders>
            <w:noWrap w:val="0"/>
            <w:vAlign w:val="center"/>
          </w:tcPr>
          <w:p w14:paraId="35DEFDD8">
            <w:pPr>
              <w:pStyle w:val="12"/>
              <w:wordWrap w:val="0"/>
              <w:spacing w:line="240" w:lineRule="auto"/>
              <w:rPr>
                <w:rFonts w:hint="eastAsia" w:ascii="宋体" w:hAnsi="宋体" w:eastAsia="宋体" w:cs="宋体"/>
                <w:color w:val="auto"/>
                <w:sz w:val="24"/>
                <w:szCs w:val="24"/>
                <w:highlight w:val="none"/>
              </w:rPr>
            </w:pPr>
            <w:r>
              <w:rPr>
                <w:rFonts w:hint="eastAsia" w:ascii="宋体" w:hAnsi="宋体" w:eastAsia="宋体" w:cs="宋体"/>
                <w:color w:val="auto"/>
                <w:kern w:val="2"/>
                <w:sz w:val="24"/>
                <w:szCs w:val="24"/>
                <w:highlight w:val="none"/>
                <w:lang w:val="en-US" w:eastAsia="zh-CN" w:bidi="ar-SA"/>
              </w:rPr>
              <w:t>任一处未达标准，扣考核评分1分，并扣除服务费200元。</w:t>
            </w:r>
          </w:p>
        </w:tc>
      </w:tr>
    </w:tbl>
    <w:p w14:paraId="137D0939">
      <w:pPr>
        <w:pStyle w:val="12"/>
        <w:wordWrap w:val="0"/>
        <w:spacing w:line="360" w:lineRule="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10</w:t>
      </w:r>
      <w:r>
        <w:rPr>
          <w:rFonts w:hint="eastAsia" w:ascii="宋体" w:hAnsi="宋体" w:eastAsia="宋体" w:cs="宋体"/>
          <w:color w:val="auto"/>
          <w:sz w:val="24"/>
          <w:szCs w:val="24"/>
          <w:highlight w:val="none"/>
          <w:lang w:val="en-US" w:eastAsia="zh-CN"/>
        </w:rPr>
        <w:t>.</w:t>
      </w:r>
      <w:r>
        <w:rPr>
          <w:rFonts w:hint="eastAsia" w:ascii="宋体" w:hAnsi="宋体" w:eastAsia="宋体" w:cs="宋体"/>
          <w:color w:val="auto"/>
          <w:sz w:val="24"/>
          <w:szCs w:val="24"/>
          <w:highlight w:val="none"/>
        </w:rPr>
        <w:t>气体灭火系统</w:t>
      </w:r>
    </w:p>
    <w:tbl>
      <w:tblPr>
        <w:tblStyle w:val="20"/>
        <w:tblW w:w="9585" w:type="dxa"/>
        <w:tblInd w:w="-549" w:type="dxa"/>
        <w:tblLayout w:type="fixed"/>
        <w:tblCellMar>
          <w:top w:w="15" w:type="dxa"/>
          <w:left w:w="15" w:type="dxa"/>
          <w:bottom w:w="15" w:type="dxa"/>
          <w:right w:w="15" w:type="dxa"/>
        </w:tblCellMar>
      </w:tblPr>
      <w:tblGrid>
        <w:gridCol w:w="765"/>
        <w:gridCol w:w="2850"/>
        <w:gridCol w:w="2985"/>
        <w:gridCol w:w="2985"/>
      </w:tblGrid>
      <w:tr w14:paraId="09DD14D3">
        <w:tblPrEx>
          <w:tblCellMar>
            <w:top w:w="15" w:type="dxa"/>
            <w:left w:w="15" w:type="dxa"/>
            <w:bottom w:w="15" w:type="dxa"/>
            <w:right w:w="15" w:type="dxa"/>
          </w:tblCellMar>
        </w:tblPrEx>
        <w:trPr>
          <w:trHeight w:val="625" w:hRule="atLeast"/>
        </w:trPr>
        <w:tc>
          <w:tcPr>
            <w:tcW w:w="765" w:type="dxa"/>
            <w:tcBorders>
              <w:top w:val="single" w:color="000000" w:sz="4" w:space="0"/>
              <w:left w:val="single" w:color="000000" w:sz="4" w:space="0"/>
              <w:bottom w:val="single" w:color="000000" w:sz="4" w:space="0"/>
              <w:right w:val="single" w:color="000000" w:sz="4" w:space="0"/>
            </w:tcBorders>
            <w:noWrap w:val="0"/>
            <w:vAlign w:val="center"/>
          </w:tcPr>
          <w:p w14:paraId="6F7F111F">
            <w:pPr>
              <w:pStyle w:val="12"/>
              <w:wordWrap w:val="0"/>
              <w:spacing w:line="360" w:lineRule="auto"/>
              <w:jc w:val="center"/>
              <w:rPr>
                <w:rFonts w:hint="eastAsia" w:ascii="宋体" w:hAnsi="宋体" w:eastAsia="宋体" w:cs="宋体"/>
                <w:color w:val="auto"/>
                <w:sz w:val="24"/>
                <w:szCs w:val="24"/>
                <w:highlight w:val="none"/>
              </w:rPr>
            </w:pPr>
            <w:r>
              <w:rPr>
                <w:rFonts w:hint="eastAsia" w:ascii="宋体" w:hAnsi="宋体" w:eastAsia="宋体" w:cs="宋体"/>
                <w:b/>
                <w:bCs/>
                <w:color w:val="auto"/>
                <w:sz w:val="24"/>
                <w:szCs w:val="24"/>
                <w:highlight w:val="none"/>
              </w:rPr>
              <w:t>序号</w:t>
            </w:r>
          </w:p>
        </w:tc>
        <w:tc>
          <w:tcPr>
            <w:tcW w:w="2850" w:type="dxa"/>
            <w:tcBorders>
              <w:top w:val="single" w:color="000000" w:sz="4" w:space="0"/>
              <w:left w:val="single" w:color="000000" w:sz="4" w:space="0"/>
              <w:bottom w:val="single" w:color="000000" w:sz="4" w:space="0"/>
              <w:right w:val="single" w:color="000000" w:sz="4" w:space="0"/>
            </w:tcBorders>
            <w:noWrap w:val="0"/>
            <w:vAlign w:val="center"/>
          </w:tcPr>
          <w:p w14:paraId="78F8F88B">
            <w:pPr>
              <w:pStyle w:val="12"/>
              <w:wordWrap w:val="0"/>
              <w:spacing w:line="360" w:lineRule="auto"/>
              <w:jc w:val="center"/>
              <w:rPr>
                <w:rFonts w:hint="eastAsia" w:ascii="宋体" w:hAnsi="宋体" w:eastAsia="宋体" w:cs="宋体"/>
                <w:color w:val="auto"/>
                <w:sz w:val="24"/>
                <w:szCs w:val="24"/>
                <w:highlight w:val="none"/>
              </w:rPr>
            </w:pPr>
            <w:r>
              <w:rPr>
                <w:rFonts w:hint="eastAsia" w:ascii="宋体" w:hAnsi="宋体" w:eastAsia="宋体" w:cs="宋体"/>
                <w:b/>
                <w:bCs/>
                <w:color w:val="auto"/>
                <w:sz w:val="24"/>
                <w:szCs w:val="24"/>
                <w:highlight w:val="none"/>
              </w:rPr>
              <w:t>维护保养工作内容</w:t>
            </w:r>
          </w:p>
        </w:tc>
        <w:tc>
          <w:tcPr>
            <w:tcW w:w="2985" w:type="dxa"/>
            <w:tcBorders>
              <w:top w:val="single" w:color="000000" w:sz="4" w:space="0"/>
              <w:left w:val="single" w:color="000000" w:sz="4" w:space="0"/>
              <w:bottom w:val="single" w:color="000000" w:sz="4" w:space="0"/>
              <w:right w:val="single" w:color="000000" w:sz="4" w:space="0"/>
            </w:tcBorders>
            <w:noWrap w:val="0"/>
            <w:vAlign w:val="center"/>
          </w:tcPr>
          <w:p w14:paraId="6AFFC471">
            <w:pPr>
              <w:pStyle w:val="12"/>
              <w:wordWrap w:val="0"/>
              <w:spacing w:line="360" w:lineRule="auto"/>
              <w:jc w:val="center"/>
              <w:rPr>
                <w:rFonts w:hint="eastAsia" w:ascii="宋体" w:hAnsi="宋体" w:eastAsia="宋体" w:cs="宋体"/>
                <w:color w:val="auto"/>
                <w:sz w:val="24"/>
                <w:szCs w:val="24"/>
                <w:highlight w:val="none"/>
              </w:rPr>
            </w:pPr>
            <w:r>
              <w:rPr>
                <w:rFonts w:hint="eastAsia" w:ascii="宋体" w:hAnsi="宋体" w:eastAsia="宋体" w:cs="宋体"/>
                <w:b/>
                <w:bCs/>
                <w:color w:val="auto"/>
                <w:sz w:val="24"/>
                <w:szCs w:val="24"/>
                <w:highlight w:val="none"/>
              </w:rPr>
              <w:t>维护保养标准</w:t>
            </w:r>
          </w:p>
        </w:tc>
        <w:tc>
          <w:tcPr>
            <w:tcW w:w="2985" w:type="dxa"/>
            <w:tcBorders>
              <w:top w:val="single" w:color="000000" w:sz="4" w:space="0"/>
              <w:left w:val="single" w:color="000000" w:sz="4" w:space="0"/>
              <w:bottom w:val="single" w:color="000000" w:sz="4" w:space="0"/>
              <w:right w:val="single" w:color="000000" w:sz="4" w:space="0"/>
            </w:tcBorders>
            <w:noWrap w:val="0"/>
            <w:vAlign w:val="center"/>
          </w:tcPr>
          <w:p w14:paraId="1B257C57">
            <w:pPr>
              <w:pStyle w:val="12"/>
              <w:wordWrap w:val="0"/>
              <w:spacing w:line="360" w:lineRule="auto"/>
              <w:jc w:val="center"/>
              <w:rPr>
                <w:rFonts w:hint="eastAsia" w:ascii="宋体" w:hAnsi="宋体" w:eastAsia="宋体" w:cs="宋体"/>
                <w:color w:val="auto"/>
                <w:sz w:val="24"/>
                <w:szCs w:val="24"/>
                <w:highlight w:val="none"/>
              </w:rPr>
            </w:pPr>
            <w:r>
              <w:rPr>
                <w:rFonts w:hint="eastAsia" w:ascii="宋体" w:hAnsi="宋体" w:eastAsia="宋体" w:cs="宋体"/>
                <w:b/>
                <w:bCs/>
                <w:color w:val="auto"/>
                <w:kern w:val="2"/>
                <w:sz w:val="24"/>
                <w:szCs w:val="24"/>
                <w:highlight w:val="none"/>
                <w:lang w:val="en-US" w:eastAsia="zh-CN" w:bidi="ar-SA"/>
              </w:rPr>
              <w:t>扣分标准</w:t>
            </w:r>
          </w:p>
        </w:tc>
      </w:tr>
      <w:tr w14:paraId="3DDB2F2F">
        <w:tblPrEx>
          <w:tblCellMar>
            <w:top w:w="15" w:type="dxa"/>
            <w:left w:w="15" w:type="dxa"/>
            <w:bottom w:w="15" w:type="dxa"/>
            <w:right w:w="15" w:type="dxa"/>
          </w:tblCellMar>
        </w:tblPrEx>
        <w:trPr>
          <w:trHeight w:val="937" w:hRule="atLeast"/>
        </w:trPr>
        <w:tc>
          <w:tcPr>
            <w:tcW w:w="765" w:type="dxa"/>
            <w:tcBorders>
              <w:top w:val="single" w:color="000000" w:sz="4" w:space="0"/>
              <w:left w:val="single" w:color="000000" w:sz="4" w:space="0"/>
              <w:bottom w:val="single" w:color="000000" w:sz="4" w:space="0"/>
              <w:right w:val="single" w:color="000000" w:sz="4" w:space="0"/>
            </w:tcBorders>
            <w:noWrap w:val="0"/>
            <w:vAlign w:val="center"/>
          </w:tcPr>
          <w:p w14:paraId="54AFF0BF">
            <w:pPr>
              <w:pStyle w:val="12"/>
              <w:wordWrap w:val="0"/>
              <w:spacing w:line="240" w:lineRule="auto"/>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w:t>
            </w:r>
          </w:p>
        </w:tc>
        <w:tc>
          <w:tcPr>
            <w:tcW w:w="2850" w:type="dxa"/>
            <w:tcBorders>
              <w:top w:val="single" w:color="000000" w:sz="4" w:space="0"/>
              <w:left w:val="single" w:color="000000" w:sz="4" w:space="0"/>
              <w:bottom w:val="single" w:color="000000" w:sz="4" w:space="0"/>
              <w:right w:val="single" w:color="000000" w:sz="4" w:space="0"/>
            </w:tcBorders>
            <w:noWrap w:val="0"/>
            <w:vAlign w:val="center"/>
          </w:tcPr>
          <w:p w14:paraId="22D5EF36">
            <w:pPr>
              <w:pStyle w:val="12"/>
              <w:wordWrap w:val="0"/>
              <w:spacing w:line="240" w:lineRule="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每月对灭火剂储存容器、驱动气瓶、探测器、选择阀、单向阀、电磁阀、集流器、喷嘴、管网等全部系统组件进行外观检查</w:t>
            </w:r>
          </w:p>
        </w:tc>
        <w:tc>
          <w:tcPr>
            <w:tcW w:w="2985" w:type="dxa"/>
            <w:tcBorders>
              <w:top w:val="single" w:color="000000" w:sz="4" w:space="0"/>
              <w:left w:val="single" w:color="000000" w:sz="4" w:space="0"/>
              <w:bottom w:val="single" w:color="000000" w:sz="4" w:space="0"/>
              <w:right w:val="single" w:color="000000" w:sz="4" w:space="0"/>
            </w:tcBorders>
            <w:noWrap w:val="0"/>
            <w:vAlign w:val="center"/>
          </w:tcPr>
          <w:p w14:paraId="62DFB70D">
            <w:pPr>
              <w:pStyle w:val="12"/>
              <w:wordWrap w:val="0"/>
              <w:spacing w:line="240" w:lineRule="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灭火剂称重合格，灭火剂和驱动储存容器压力在正常范围，铅封完好，无组件变形和其他机械损伤，表面无锈蚀</w:t>
            </w:r>
          </w:p>
        </w:tc>
        <w:tc>
          <w:tcPr>
            <w:tcW w:w="2985" w:type="dxa"/>
            <w:tcBorders>
              <w:top w:val="single" w:color="000000" w:sz="4" w:space="0"/>
              <w:left w:val="single" w:color="000000" w:sz="4" w:space="0"/>
              <w:bottom w:val="single" w:color="000000" w:sz="4" w:space="0"/>
              <w:right w:val="single" w:color="000000" w:sz="4" w:space="0"/>
            </w:tcBorders>
            <w:noWrap w:val="0"/>
            <w:vAlign w:val="center"/>
          </w:tcPr>
          <w:p w14:paraId="538F315F">
            <w:pPr>
              <w:pStyle w:val="12"/>
              <w:wordWrap w:val="0"/>
              <w:spacing w:line="240" w:lineRule="auto"/>
              <w:rPr>
                <w:rFonts w:hint="eastAsia" w:ascii="宋体" w:hAnsi="宋体" w:eastAsia="宋体" w:cs="宋体"/>
                <w:color w:val="auto"/>
                <w:sz w:val="24"/>
                <w:szCs w:val="24"/>
                <w:highlight w:val="none"/>
              </w:rPr>
            </w:pPr>
            <w:r>
              <w:rPr>
                <w:rFonts w:hint="eastAsia" w:ascii="宋体" w:hAnsi="宋体" w:eastAsia="宋体" w:cs="宋体"/>
                <w:color w:val="auto"/>
                <w:kern w:val="2"/>
                <w:sz w:val="24"/>
                <w:szCs w:val="24"/>
                <w:highlight w:val="none"/>
                <w:lang w:val="en-US" w:eastAsia="zh-CN" w:bidi="ar-SA"/>
              </w:rPr>
              <w:t>任一处未达标准，扣考核评分0.5分，并扣除服务费100元。</w:t>
            </w:r>
          </w:p>
        </w:tc>
      </w:tr>
      <w:tr w14:paraId="2954E793">
        <w:tblPrEx>
          <w:tblCellMar>
            <w:top w:w="15" w:type="dxa"/>
            <w:left w:w="15" w:type="dxa"/>
            <w:bottom w:w="15" w:type="dxa"/>
            <w:right w:w="15" w:type="dxa"/>
          </w:tblCellMar>
        </w:tblPrEx>
        <w:trPr>
          <w:trHeight w:val="937" w:hRule="atLeast"/>
        </w:trPr>
        <w:tc>
          <w:tcPr>
            <w:tcW w:w="765" w:type="dxa"/>
            <w:tcBorders>
              <w:top w:val="single" w:color="000000" w:sz="4" w:space="0"/>
              <w:left w:val="single" w:color="000000" w:sz="4" w:space="0"/>
              <w:bottom w:val="single" w:color="000000" w:sz="4" w:space="0"/>
              <w:right w:val="single" w:color="000000" w:sz="4" w:space="0"/>
            </w:tcBorders>
            <w:noWrap w:val="0"/>
            <w:vAlign w:val="center"/>
          </w:tcPr>
          <w:p w14:paraId="56F7B506">
            <w:pPr>
              <w:pStyle w:val="12"/>
              <w:wordWrap w:val="0"/>
              <w:spacing w:line="240" w:lineRule="auto"/>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w:t>
            </w:r>
          </w:p>
        </w:tc>
        <w:tc>
          <w:tcPr>
            <w:tcW w:w="2850" w:type="dxa"/>
            <w:tcBorders>
              <w:top w:val="single" w:color="000000" w:sz="4" w:space="0"/>
              <w:left w:val="single" w:color="000000" w:sz="4" w:space="0"/>
              <w:bottom w:val="single" w:color="000000" w:sz="4" w:space="0"/>
              <w:right w:val="single" w:color="000000" w:sz="4" w:space="0"/>
            </w:tcBorders>
            <w:noWrap w:val="0"/>
            <w:vAlign w:val="center"/>
          </w:tcPr>
          <w:p w14:paraId="6C5C97D1">
            <w:pPr>
              <w:pStyle w:val="12"/>
              <w:wordWrap w:val="0"/>
              <w:spacing w:line="240" w:lineRule="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每季测试烟感、光感等探测器报警功能</w:t>
            </w:r>
          </w:p>
        </w:tc>
        <w:tc>
          <w:tcPr>
            <w:tcW w:w="2985" w:type="dxa"/>
            <w:tcBorders>
              <w:top w:val="single" w:color="000000" w:sz="4" w:space="0"/>
              <w:left w:val="single" w:color="000000" w:sz="4" w:space="0"/>
              <w:bottom w:val="single" w:color="000000" w:sz="4" w:space="0"/>
              <w:right w:val="single" w:color="000000" w:sz="4" w:space="0"/>
            </w:tcBorders>
            <w:noWrap w:val="0"/>
            <w:vAlign w:val="center"/>
          </w:tcPr>
          <w:p w14:paraId="7C7C4211">
            <w:pPr>
              <w:pStyle w:val="12"/>
              <w:wordWrap w:val="0"/>
              <w:spacing w:line="240" w:lineRule="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探测器动作灵敏、报警准确</w:t>
            </w:r>
          </w:p>
        </w:tc>
        <w:tc>
          <w:tcPr>
            <w:tcW w:w="2985" w:type="dxa"/>
            <w:tcBorders>
              <w:top w:val="single" w:color="000000" w:sz="4" w:space="0"/>
              <w:left w:val="single" w:color="000000" w:sz="4" w:space="0"/>
              <w:bottom w:val="single" w:color="000000" w:sz="4" w:space="0"/>
              <w:right w:val="single" w:color="000000" w:sz="4" w:space="0"/>
            </w:tcBorders>
            <w:noWrap w:val="0"/>
            <w:vAlign w:val="center"/>
          </w:tcPr>
          <w:p w14:paraId="7F014622">
            <w:pPr>
              <w:pStyle w:val="12"/>
              <w:wordWrap w:val="0"/>
              <w:spacing w:line="240" w:lineRule="auto"/>
              <w:rPr>
                <w:rFonts w:hint="eastAsia" w:ascii="宋体" w:hAnsi="宋体" w:eastAsia="宋体" w:cs="宋体"/>
                <w:color w:val="auto"/>
                <w:sz w:val="24"/>
                <w:szCs w:val="24"/>
                <w:highlight w:val="none"/>
              </w:rPr>
            </w:pPr>
            <w:r>
              <w:rPr>
                <w:rFonts w:hint="eastAsia" w:ascii="宋体" w:hAnsi="宋体" w:eastAsia="宋体" w:cs="宋体"/>
                <w:color w:val="auto"/>
                <w:kern w:val="2"/>
                <w:sz w:val="24"/>
                <w:szCs w:val="24"/>
                <w:highlight w:val="none"/>
                <w:lang w:val="en-US" w:eastAsia="zh-CN" w:bidi="ar-SA"/>
              </w:rPr>
              <w:t>任一处未达标准，扣考核评分0.5分，并扣除服务费100元。</w:t>
            </w:r>
          </w:p>
        </w:tc>
      </w:tr>
      <w:tr w14:paraId="4CDAFD8E">
        <w:tblPrEx>
          <w:tblCellMar>
            <w:top w:w="15" w:type="dxa"/>
            <w:left w:w="15" w:type="dxa"/>
            <w:bottom w:w="15" w:type="dxa"/>
            <w:right w:w="15" w:type="dxa"/>
          </w:tblCellMar>
        </w:tblPrEx>
        <w:trPr>
          <w:trHeight w:val="783" w:hRule="atLeast"/>
        </w:trPr>
        <w:tc>
          <w:tcPr>
            <w:tcW w:w="765" w:type="dxa"/>
            <w:tcBorders>
              <w:top w:val="single" w:color="000000" w:sz="4" w:space="0"/>
              <w:left w:val="single" w:color="000000" w:sz="4" w:space="0"/>
              <w:bottom w:val="single" w:color="000000" w:sz="4" w:space="0"/>
              <w:right w:val="single" w:color="000000" w:sz="4" w:space="0"/>
            </w:tcBorders>
            <w:noWrap w:val="0"/>
            <w:vAlign w:val="center"/>
          </w:tcPr>
          <w:p w14:paraId="16DA422C">
            <w:pPr>
              <w:pStyle w:val="12"/>
              <w:wordWrap w:val="0"/>
              <w:spacing w:line="240" w:lineRule="auto"/>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w:t>
            </w:r>
          </w:p>
        </w:tc>
        <w:tc>
          <w:tcPr>
            <w:tcW w:w="2850" w:type="dxa"/>
            <w:tcBorders>
              <w:top w:val="single" w:color="000000" w:sz="4" w:space="0"/>
              <w:left w:val="single" w:color="000000" w:sz="4" w:space="0"/>
              <w:bottom w:val="single" w:color="000000" w:sz="4" w:space="0"/>
              <w:right w:val="single" w:color="000000" w:sz="4" w:space="0"/>
            </w:tcBorders>
            <w:noWrap w:val="0"/>
            <w:vAlign w:val="center"/>
          </w:tcPr>
          <w:p w14:paraId="2D1B706C">
            <w:pPr>
              <w:pStyle w:val="12"/>
              <w:wordWrap w:val="0"/>
              <w:spacing w:line="240" w:lineRule="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每季测试手动启动、停止功能</w:t>
            </w:r>
          </w:p>
        </w:tc>
        <w:tc>
          <w:tcPr>
            <w:tcW w:w="2985" w:type="dxa"/>
            <w:tcBorders>
              <w:top w:val="single" w:color="000000" w:sz="4" w:space="0"/>
              <w:left w:val="single" w:color="000000" w:sz="4" w:space="0"/>
              <w:bottom w:val="single" w:color="000000" w:sz="4" w:space="0"/>
              <w:right w:val="single" w:color="000000" w:sz="4" w:space="0"/>
            </w:tcBorders>
            <w:noWrap w:val="0"/>
            <w:vAlign w:val="center"/>
          </w:tcPr>
          <w:p w14:paraId="6C02DE86">
            <w:pPr>
              <w:pStyle w:val="12"/>
              <w:wordWrap w:val="0"/>
              <w:spacing w:line="240" w:lineRule="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手动启动、停止正常</w:t>
            </w:r>
          </w:p>
        </w:tc>
        <w:tc>
          <w:tcPr>
            <w:tcW w:w="2985" w:type="dxa"/>
            <w:tcBorders>
              <w:top w:val="single" w:color="000000" w:sz="4" w:space="0"/>
              <w:left w:val="single" w:color="000000" w:sz="4" w:space="0"/>
              <w:bottom w:val="single" w:color="000000" w:sz="4" w:space="0"/>
              <w:right w:val="single" w:color="000000" w:sz="4" w:space="0"/>
            </w:tcBorders>
            <w:noWrap w:val="0"/>
            <w:vAlign w:val="center"/>
          </w:tcPr>
          <w:p w14:paraId="5AA8286F">
            <w:pPr>
              <w:pStyle w:val="12"/>
              <w:wordWrap w:val="0"/>
              <w:spacing w:line="240" w:lineRule="auto"/>
              <w:rPr>
                <w:rFonts w:hint="eastAsia" w:ascii="宋体" w:hAnsi="宋体" w:eastAsia="宋体" w:cs="宋体"/>
                <w:color w:val="auto"/>
                <w:sz w:val="24"/>
                <w:szCs w:val="24"/>
                <w:highlight w:val="none"/>
              </w:rPr>
            </w:pPr>
            <w:r>
              <w:rPr>
                <w:rFonts w:hint="eastAsia" w:ascii="宋体" w:hAnsi="宋体" w:eastAsia="宋体" w:cs="宋体"/>
                <w:color w:val="auto"/>
                <w:kern w:val="2"/>
                <w:sz w:val="24"/>
                <w:szCs w:val="24"/>
                <w:highlight w:val="none"/>
                <w:lang w:val="en-US" w:eastAsia="zh-CN" w:bidi="ar-SA"/>
              </w:rPr>
              <w:t>任一处未达标准，扣考核评分0.5分，并扣除服务费100元。</w:t>
            </w:r>
          </w:p>
        </w:tc>
      </w:tr>
      <w:tr w14:paraId="48610EDD">
        <w:tblPrEx>
          <w:tblCellMar>
            <w:top w:w="15" w:type="dxa"/>
            <w:left w:w="15" w:type="dxa"/>
            <w:bottom w:w="15" w:type="dxa"/>
            <w:right w:w="15" w:type="dxa"/>
          </w:tblCellMar>
        </w:tblPrEx>
        <w:trPr>
          <w:trHeight w:val="1044" w:hRule="atLeast"/>
        </w:trPr>
        <w:tc>
          <w:tcPr>
            <w:tcW w:w="765" w:type="dxa"/>
            <w:tcBorders>
              <w:top w:val="single" w:color="000000" w:sz="4" w:space="0"/>
              <w:left w:val="single" w:color="000000" w:sz="4" w:space="0"/>
              <w:bottom w:val="single" w:color="000000" w:sz="4" w:space="0"/>
              <w:right w:val="single" w:color="000000" w:sz="4" w:space="0"/>
            </w:tcBorders>
            <w:noWrap w:val="0"/>
            <w:vAlign w:val="center"/>
          </w:tcPr>
          <w:p w14:paraId="183DB39A">
            <w:pPr>
              <w:pStyle w:val="12"/>
              <w:wordWrap w:val="0"/>
              <w:spacing w:line="240" w:lineRule="auto"/>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4</w:t>
            </w:r>
          </w:p>
        </w:tc>
        <w:tc>
          <w:tcPr>
            <w:tcW w:w="2850" w:type="dxa"/>
            <w:tcBorders>
              <w:top w:val="single" w:color="000000" w:sz="4" w:space="0"/>
              <w:left w:val="single" w:color="000000" w:sz="4" w:space="0"/>
              <w:bottom w:val="single" w:color="000000" w:sz="4" w:space="0"/>
              <w:right w:val="single" w:color="000000" w:sz="4" w:space="0"/>
            </w:tcBorders>
            <w:noWrap w:val="0"/>
            <w:vAlign w:val="center"/>
          </w:tcPr>
          <w:p w14:paraId="5657F9F2">
            <w:pPr>
              <w:pStyle w:val="12"/>
              <w:wordWrap w:val="0"/>
              <w:spacing w:line="240" w:lineRule="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每季对防护区进行一次模拟启动试验</w:t>
            </w:r>
          </w:p>
        </w:tc>
        <w:tc>
          <w:tcPr>
            <w:tcW w:w="2985" w:type="dxa"/>
            <w:tcBorders>
              <w:top w:val="single" w:color="000000" w:sz="4" w:space="0"/>
              <w:left w:val="single" w:color="000000" w:sz="4" w:space="0"/>
              <w:bottom w:val="single" w:color="000000" w:sz="4" w:space="0"/>
              <w:right w:val="single" w:color="000000" w:sz="4" w:space="0"/>
            </w:tcBorders>
            <w:noWrap w:val="0"/>
            <w:vAlign w:val="center"/>
          </w:tcPr>
          <w:p w14:paraId="4A528480">
            <w:pPr>
              <w:pStyle w:val="12"/>
              <w:wordWrap w:val="0"/>
              <w:spacing w:line="240" w:lineRule="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报警、联动动作正常，试验合格</w:t>
            </w:r>
          </w:p>
        </w:tc>
        <w:tc>
          <w:tcPr>
            <w:tcW w:w="2985" w:type="dxa"/>
            <w:tcBorders>
              <w:top w:val="single" w:color="000000" w:sz="4" w:space="0"/>
              <w:left w:val="single" w:color="000000" w:sz="4" w:space="0"/>
              <w:bottom w:val="single" w:color="000000" w:sz="4" w:space="0"/>
              <w:right w:val="single" w:color="000000" w:sz="4" w:space="0"/>
            </w:tcBorders>
            <w:noWrap w:val="0"/>
            <w:vAlign w:val="center"/>
          </w:tcPr>
          <w:p w14:paraId="38889387">
            <w:pPr>
              <w:pStyle w:val="12"/>
              <w:wordWrap w:val="0"/>
              <w:spacing w:line="240" w:lineRule="auto"/>
              <w:rPr>
                <w:rFonts w:hint="eastAsia" w:ascii="宋体" w:hAnsi="宋体" w:eastAsia="宋体" w:cs="宋体"/>
                <w:color w:val="auto"/>
                <w:sz w:val="24"/>
                <w:szCs w:val="24"/>
                <w:highlight w:val="none"/>
              </w:rPr>
            </w:pPr>
            <w:r>
              <w:rPr>
                <w:rFonts w:hint="eastAsia" w:ascii="宋体" w:hAnsi="宋体" w:eastAsia="宋体" w:cs="宋体"/>
                <w:color w:val="auto"/>
                <w:kern w:val="2"/>
                <w:sz w:val="24"/>
                <w:szCs w:val="24"/>
                <w:highlight w:val="none"/>
                <w:lang w:val="en-US" w:eastAsia="zh-CN" w:bidi="ar-SA"/>
              </w:rPr>
              <w:t>任一处未达标准，扣考核评分0.5分，并扣除服务费100元。</w:t>
            </w:r>
          </w:p>
        </w:tc>
      </w:tr>
    </w:tbl>
    <w:p w14:paraId="77400BCD">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jc w:val="left"/>
        <w:textAlignment w:val="auto"/>
        <w:rPr>
          <w:rFonts w:hint="eastAsia" w:ascii="Times New Roman" w:hAnsi="Times New Roman" w:eastAsia="宋体" w:cs="Times New Roman"/>
          <w:b w:val="0"/>
          <w:bCs w:val="0"/>
          <w:color w:val="auto"/>
          <w:sz w:val="24"/>
          <w:szCs w:val="24"/>
          <w:highlight w:val="none"/>
          <w:lang w:val="en-US" w:eastAsia="zh-CN"/>
        </w:rPr>
      </w:pPr>
    </w:p>
    <w:sectPr>
      <w:headerReference r:id="rId3" w:type="default"/>
      <w:footerReference r:id="rId4" w:type="default"/>
      <w:pgSz w:w="11906" w:h="16838"/>
      <w:pgMar w:top="1440" w:right="1800" w:bottom="1440" w:left="1800" w:header="851" w:footer="992"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swiss"/>
    <w:pitch w:val="default"/>
    <w:sig w:usb0="E0002EFF" w:usb1="C000785B" w:usb2="00000009" w:usb3="00000000" w:csb0="400001FF" w:csb1="FFFF0000"/>
  </w:font>
  <w:font w:name="宋体">
    <w:panose1 w:val="02010600030101010101"/>
    <w:charset w:val="5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楷体_GB2312">
    <w:altName w:val="楷体"/>
    <w:panose1 w:val="02010609030101010101"/>
    <w:charset w:val="86"/>
    <w:family w:val="auto"/>
    <w:pitch w:val="default"/>
    <w:sig w:usb0="00000000" w:usb1="00000000" w:usb2="00000000" w:usb3="00000000" w:csb0="00040000" w:csb1="00000000"/>
  </w:font>
  <w:font w:name="楷体">
    <w:panose1 w:val="02010609060101010101"/>
    <w:charset w:val="86"/>
    <w:family w:val="auto"/>
    <w:pitch w:val="default"/>
    <w:sig w:usb0="800002BF" w:usb1="38CF7CFA" w:usb2="00000016" w:usb3="00000000" w:csb0="00040001" w:csb1="00000000"/>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Tahoma">
    <w:panose1 w:val="020B0604030504040204"/>
    <w:charset w:val="00"/>
    <w:family w:val="swiss"/>
    <w:pitch w:val="default"/>
    <w:sig w:usb0="E1002EFF" w:usb1="C000605B" w:usb2="00000029" w:usb3="00000000" w:csb0="200101FF" w:csb1="20280000"/>
  </w:font>
  <w:font w:name="方正小标宋简体">
    <w:altName w:val="黑体"/>
    <w:panose1 w:val="03000509000000000000"/>
    <w:charset w:val="86"/>
    <w:family w:val="auto"/>
    <w:pitch w:val="default"/>
    <w:sig w:usb0="00000000" w:usb1="00000000" w:usb2="00000000" w:usb3="00000000" w:csb0="00040000" w:csb1="00000000"/>
  </w:font>
  <w:font w:name="KSOF439EEF50">
    <w:panose1 w:val="02000000000000000000"/>
    <w:charset w:val="86"/>
    <w:family w:val="auto"/>
    <w:pitch w:val="default"/>
    <w:sig w:usb0="00000001" w:usb1="00000000" w:usb2="00000000" w:usb3="00000000" w:csb0="00040001" w:csb1="00000000"/>
  </w:font>
  <w:font w:name="@仿宋_GB2312">
    <w:altName w:val="仿宋"/>
    <w:panose1 w:val="02010609030101010101"/>
    <w:charset w:val="86"/>
    <w:family w:val="modern"/>
    <w:pitch w:val="default"/>
    <w:sig w:usb0="00000000" w:usb1="0000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C7687F3">
    <w:pPr>
      <w:pStyle w:val="14"/>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D5FE810">
    <w:pPr>
      <w:pStyle w:val="15"/>
      <w:pBdr>
        <w:bottom w:val="none" w:color="auto" w:sz="0" w:space="1"/>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1AFD52B4"/>
    <w:multiLevelType w:val="singleLevel"/>
    <w:tmpl w:val="1AFD52B4"/>
    <w:lvl w:ilvl="0" w:tentative="0">
      <w:start w:val="4"/>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documentProtection w:enforcement="0"/>
  <w:defaultTabStop w:val="420"/>
  <w:drawingGridHorizontalSpacing w:val="105"/>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WI5MDc2OTk3MzY4YjM5YjY4NGFhYzhmNWE1MTYzYzUifQ=="/>
  </w:docVars>
  <w:rsids>
    <w:rsidRoot w:val="005F6573"/>
    <w:rsid w:val="00093792"/>
    <w:rsid w:val="0010749A"/>
    <w:rsid w:val="0017586F"/>
    <w:rsid w:val="00213597"/>
    <w:rsid w:val="003E2A41"/>
    <w:rsid w:val="004714A7"/>
    <w:rsid w:val="004C5791"/>
    <w:rsid w:val="00556502"/>
    <w:rsid w:val="005F6573"/>
    <w:rsid w:val="00644815"/>
    <w:rsid w:val="007415BF"/>
    <w:rsid w:val="007927F5"/>
    <w:rsid w:val="007C06E7"/>
    <w:rsid w:val="007F55CC"/>
    <w:rsid w:val="00A00969"/>
    <w:rsid w:val="00C47BC1"/>
    <w:rsid w:val="00D754E5"/>
    <w:rsid w:val="00E51C2C"/>
    <w:rsid w:val="00EA6EAB"/>
    <w:rsid w:val="00EF462D"/>
    <w:rsid w:val="00EF6C45"/>
    <w:rsid w:val="00F7247B"/>
    <w:rsid w:val="03164B46"/>
    <w:rsid w:val="035D6A62"/>
    <w:rsid w:val="03C238C1"/>
    <w:rsid w:val="046D02C9"/>
    <w:rsid w:val="04AC7907"/>
    <w:rsid w:val="07D61CBB"/>
    <w:rsid w:val="08187346"/>
    <w:rsid w:val="08C218CD"/>
    <w:rsid w:val="09357310"/>
    <w:rsid w:val="09431CDD"/>
    <w:rsid w:val="09D85925"/>
    <w:rsid w:val="0B16599D"/>
    <w:rsid w:val="0B4E0F31"/>
    <w:rsid w:val="0B5F2C55"/>
    <w:rsid w:val="0CC51CA1"/>
    <w:rsid w:val="10E86299"/>
    <w:rsid w:val="12375F75"/>
    <w:rsid w:val="12E66D1C"/>
    <w:rsid w:val="132E7BF0"/>
    <w:rsid w:val="1474453F"/>
    <w:rsid w:val="147A6B5F"/>
    <w:rsid w:val="171676FC"/>
    <w:rsid w:val="174F3E72"/>
    <w:rsid w:val="19371A3D"/>
    <w:rsid w:val="19EA2E01"/>
    <w:rsid w:val="1B562B38"/>
    <w:rsid w:val="1BBE6F12"/>
    <w:rsid w:val="1BE340FE"/>
    <w:rsid w:val="1CD51C99"/>
    <w:rsid w:val="1EA9518B"/>
    <w:rsid w:val="1EF02DBA"/>
    <w:rsid w:val="229D0F23"/>
    <w:rsid w:val="243B6972"/>
    <w:rsid w:val="2560638D"/>
    <w:rsid w:val="2888575B"/>
    <w:rsid w:val="288C7083"/>
    <w:rsid w:val="29D85FBA"/>
    <w:rsid w:val="2A060596"/>
    <w:rsid w:val="2BCB60A1"/>
    <w:rsid w:val="2DC35BE2"/>
    <w:rsid w:val="2DDA05D0"/>
    <w:rsid w:val="2DFD6DA8"/>
    <w:rsid w:val="2F5C3B54"/>
    <w:rsid w:val="326170B4"/>
    <w:rsid w:val="33AC7BE4"/>
    <w:rsid w:val="3401034F"/>
    <w:rsid w:val="365F5108"/>
    <w:rsid w:val="38451629"/>
    <w:rsid w:val="39202096"/>
    <w:rsid w:val="3956631D"/>
    <w:rsid w:val="3977637C"/>
    <w:rsid w:val="39A323C9"/>
    <w:rsid w:val="3D0656AD"/>
    <w:rsid w:val="3D995F73"/>
    <w:rsid w:val="3DD40ACC"/>
    <w:rsid w:val="3E7A3FF6"/>
    <w:rsid w:val="3F7C42B6"/>
    <w:rsid w:val="40821E95"/>
    <w:rsid w:val="417A40B0"/>
    <w:rsid w:val="42331D89"/>
    <w:rsid w:val="425A3632"/>
    <w:rsid w:val="425C413F"/>
    <w:rsid w:val="42654155"/>
    <w:rsid w:val="44AD421E"/>
    <w:rsid w:val="475C491A"/>
    <w:rsid w:val="49521D16"/>
    <w:rsid w:val="49757894"/>
    <w:rsid w:val="4A180A44"/>
    <w:rsid w:val="4A630034"/>
    <w:rsid w:val="4D752558"/>
    <w:rsid w:val="4D841426"/>
    <w:rsid w:val="4D926C66"/>
    <w:rsid w:val="4E235B10"/>
    <w:rsid w:val="4E4A0A8E"/>
    <w:rsid w:val="4EFF657E"/>
    <w:rsid w:val="50116703"/>
    <w:rsid w:val="510330F7"/>
    <w:rsid w:val="51EB53DF"/>
    <w:rsid w:val="53603F65"/>
    <w:rsid w:val="53DD68C3"/>
    <w:rsid w:val="551C3A0B"/>
    <w:rsid w:val="555C59B4"/>
    <w:rsid w:val="56FB20EC"/>
    <w:rsid w:val="5839386D"/>
    <w:rsid w:val="58B2099D"/>
    <w:rsid w:val="58DC61B7"/>
    <w:rsid w:val="59F6057D"/>
    <w:rsid w:val="5A8121BA"/>
    <w:rsid w:val="5A9A2FAB"/>
    <w:rsid w:val="5ABF0539"/>
    <w:rsid w:val="5B4434DF"/>
    <w:rsid w:val="65374BCA"/>
    <w:rsid w:val="6562740E"/>
    <w:rsid w:val="65FC1861"/>
    <w:rsid w:val="662E5966"/>
    <w:rsid w:val="668838E6"/>
    <w:rsid w:val="6747066A"/>
    <w:rsid w:val="699F737A"/>
    <w:rsid w:val="6B1A1662"/>
    <w:rsid w:val="6DEB7675"/>
    <w:rsid w:val="6EAC5D22"/>
    <w:rsid w:val="6F1E00AA"/>
    <w:rsid w:val="6FE07D2F"/>
    <w:rsid w:val="70C2745F"/>
    <w:rsid w:val="71DF2C74"/>
    <w:rsid w:val="72527C68"/>
    <w:rsid w:val="73136DD6"/>
    <w:rsid w:val="73231BEA"/>
    <w:rsid w:val="73922BF0"/>
    <w:rsid w:val="73B72B30"/>
    <w:rsid w:val="744F5002"/>
    <w:rsid w:val="76271B88"/>
    <w:rsid w:val="76C41664"/>
    <w:rsid w:val="77AD62C7"/>
    <w:rsid w:val="792768C4"/>
    <w:rsid w:val="79E52DB8"/>
    <w:rsid w:val="7B2E5971"/>
    <w:rsid w:val="7C2E1DAD"/>
    <w:rsid w:val="7C8E0C72"/>
    <w:rsid w:val="7CE168AC"/>
    <w:rsid w:val="7D8C2E2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9" w:semiHidden="0" w:name="heading 2"/>
    <w:lsdException w:qFormat="1" w:uiPriority="9" w:name="heading 3"/>
    <w:lsdException w:qFormat="1" w:uiPriority="9" w:name="heading 4"/>
    <w:lsdException w:qFormat="1" w:uiPriority="9" w:name="heading 5"/>
    <w:lsdException w:qFormat="1" w:uiPriority="9" w:name="heading 6"/>
    <w:lsdException w:qFormat="1" w:unhideWhenUsed="0" w:uiPriority="1" w:semiHidden="0"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qFormat="1" w:unhideWhenUsed="0" w:uiPriority="0" w:semiHidden="0" w:name="envelope return"/>
    <w:lsdException w:uiPriority="99" w:name="footnote reference"/>
    <w:lsdException w:qFormat="1" w:uiPriority="99" w:name="annotation reference"/>
    <w:lsdException w:uiPriority="99" w:name="line number"/>
    <w:lsdException w:qFormat="1" w:unhideWhenUsed="0" w:uiPriority="0"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nhideWhenUsed="0" w:uiPriority="1" w:semiHidden="0" w:name="Body Text"/>
    <w:lsdException w:qFormat="1" w:unhideWhenUsed="0"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qFormat="1" w:unhideWhenUsed="0" w:uiPriority="0" w:semiHidden="0" w:name="Date"/>
    <w:lsdException w:uiPriority="99" w:name="Body Text First Indent"/>
    <w:lsdException w:qFormat="1" w:unhideWhenUsed="0" w:uiPriority="0" w:semiHidden="0" w:name="Body Text First Indent 2"/>
    <w:lsdException w:uiPriority="99" w:name="Note Heading"/>
    <w:lsdException w:uiPriority="99" w:name="Body Text 2"/>
    <w:lsdException w:uiPriority="99" w:name="Body Text 3"/>
    <w:lsdException w:uiPriority="99" w:name="Body Text Indent 2"/>
    <w:lsdException w:qFormat="1" w:unhideWhenUsed="0" w:uiPriority="0" w:semiHidden="0"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qFormat="1" w:unhideWhenUsed="0" w:uiPriority="0" w:semiHidden="0"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qFormat="1" w:uiPriority="99" w:name="HTML Preformatted"/>
    <w:lsdException w:uiPriority="99" w:name="HTML Sample"/>
    <w:lsdException w:uiPriority="99" w:name="HTML Typewriter"/>
    <w:lsdException w:uiPriority="99" w:name="HTML Variable"/>
    <w:lsdException w:qFormat="1" w:uiPriority="99" w:name="Normal Table"/>
    <w:lsdException w:qFormat="1"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0"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autoRedefine/>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5">
    <w:name w:val="heading 1"/>
    <w:basedOn w:val="1"/>
    <w:next w:val="1"/>
    <w:autoRedefine/>
    <w:qFormat/>
    <w:uiPriority w:val="0"/>
    <w:pPr>
      <w:keepNext/>
      <w:keepLines/>
      <w:spacing w:before="340" w:after="330" w:line="576" w:lineRule="auto"/>
      <w:outlineLvl w:val="0"/>
    </w:pPr>
    <w:rPr>
      <w:rFonts w:ascii="Times New Roman"/>
      <w:b/>
      <w:bCs/>
      <w:kern w:val="44"/>
      <w:sz w:val="30"/>
      <w:szCs w:val="44"/>
    </w:rPr>
  </w:style>
  <w:style w:type="paragraph" w:styleId="6">
    <w:name w:val="heading 2"/>
    <w:basedOn w:val="1"/>
    <w:next w:val="1"/>
    <w:autoRedefine/>
    <w:qFormat/>
    <w:uiPriority w:val="9"/>
    <w:pPr>
      <w:keepNext/>
      <w:keepLines/>
      <w:spacing w:before="260" w:after="260" w:line="415" w:lineRule="auto"/>
      <w:ind w:firstLine="628"/>
      <w:jc w:val="center"/>
      <w:outlineLvl w:val="1"/>
    </w:pPr>
    <w:rPr>
      <w:rFonts w:ascii="Arial" w:hAnsi="Arial" w:eastAsia="黑体"/>
      <w:b/>
      <w:bCs/>
      <w:kern w:val="2"/>
      <w:sz w:val="32"/>
      <w:szCs w:val="32"/>
    </w:rPr>
  </w:style>
  <w:style w:type="paragraph" w:styleId="7">
    <w:name w:val="heading 4"/>
    <w:basedOn w:val="1"/>
    <w:next w:val="1"/>
    <w:autoRedefine/>
    <w:semiHidden/>
    <w:unhideWhenUsed/>
    <w:qFormat/>
    <w:uiPriority w:val="9"/>
    <w:pPr>
      <w:spacing w:before="0" w:beforeAutospacing="1" w:after="0" w:afterAutospacing="1"/>
      <w:jc w:val="left"/>
    </w:pPr>
    <w:rPr>
      <w:rFonts w:hint="eastAsia" w:ascii="宋体" w:hAnsi="宋体" w:eastAsia="宋体" w:cs="宋体"/>
      <w:b/>
      <w:bCs/>
      <w:kern w:val="0"/>
      <w:sz w:val="24"/>
      <w:szCs w:val="24"/>
      <w:lang w:val="en-US" w:eastAsia="zh-CN" w:bidi="ar"/>
    </w:rPr>
  </w:style>
  <w:style w:type="paragraph" w:styleId="8">
    <w:name w:val="heading 7"/>
    <w:basedOn w:val="1"/>
    <w:autoRedefine/>
    <w:qFormat/>
    <w:uiPriority w:val="1"/>
    <w:pPr>
      <w:ind w:left="577"/>
      <w:outlineLvl w:val="6"/>
    </w:pPr>
    <w:rPr>
      <w:rFonts w:ascii="宋体" w:hAnsi="宋体"/>
      <w:b/>
      <w:bCs/>
      <w:sz w:val="21"/>
      <w:szCs w:val="21"/>
    </w:rPr>
  </w:style>
  <w:style w:type="character" w:default="1" w:styleId="22">
    <w:name w:val="Default Paragraph Font"/>
    <w:autoRedefine/>
    <w:semiHidden/>
    <w:unhideWhenUsed/>
    <w:qFormat/>
    <w:uiPriority w:val="1"/>
  </w:style>
  <w:style w:type="table" w:default="1" w:styleId="20">
    <w:name w:val="Normal Table"/>
    <w:autoRedefine/>
    <w:semiHidden/>
    <w:unhideWhenUsed/>
    <w:qFormat/>
    <w:uiPriority w:val="99"/>
    <w:tblPr>
      <w:tblCellMar>
        <w:top w:w="0" w:type="dxa"/>
        <w:left w:w="108" w:type="dxa"/>
        <w:bottom w:w="0" w:type="dxa"/>
        <w:right w:w="108" w:type="dxa"/>
      </w:tblCellMar>
    </w:tblPr>
  </w:style>
  <w:style w:type="paragraph" w:styleId="2">
    <w:name w:val="Body Text First Indent 2"/>
    <w:basedOn w:val="3"/>
    <w:next w:val="1"/>
    <w:autoRedefine/>
    <w:qFormat/>
    <w:uiPriority w:val="0"/>
    <w:pPr>
      <w:ind w:left="420" w:leftChars="200" w:firstLine="420" w:firstLineChars="200"/>
    </w:pPr>
  </w:style>
  <w:style w:type="paragraph" w:styleId="3">
    <w:name w:val="Body Text Indent"/>
    <w:basedOn w:val="1"/>
    <w:next w:val="4"/>
    <w:autoRedefine/>
    <w:qFormat/>
    <w:uiPriority w:val="0"/>
    <w:pPr>
      <w:ind w:firstLine="645"/>
    </w:pPr>
    <w:rPr>
      <w:rFonts w:ascii="楷体_GB2312" w:eastAsia="楷体_GB2312"/>
      <w:kern w:val="2"/>
      <w:sz w:val="32"/>
    </w:rPr>
  </w:style>
  <w:style w:type="paragraph" w:styleId="4">
    <w:name w:val="envelope return"/>
    <w:basedOn w:val="1"/>
    <w:qFormat/>
    <w:uiPriority w:val="0"/>
    <w:pPr>
      <w:snapToGrid w:val="0"/>
    </w:pPr>
    <w:rPr>
      <w:rFonts w:ascii="Arial" w:hAnsi="Arial" w:cs="Arial"/>
      <w:szCs w:val="24"/>
    </w:rPr>
  </w:style>
  <w:style w:type="paragraph" w:styleId="9">
    <w:name w:val="annotation text"/>
    <w:basedOn w:val="1"/>
    <w:link w:val="30"/>
    <w:autoRedefine/>
    <w:semiHidden/>
    <w:unhideWhenUsed/>
    <w:qFormat/>
    <w:uiPriority w:val="99"/>
    <w:pPr>
      <w:jc w:val="left"/>
    </w:pPr>
  </w:style>
  <w:style w:type="paragraph" w:styleId="10">
    <w:name w:val="Body Text"/>
    <w:basedOn w:val="1"/>
    <w:next w:val="11"/>
    <w:autoRedefine/>
    <w:qFormat/>
    <w:uiPriority w:val="1"/>
    <w:pPr>
      <w:ind w:left="140"/>
    </w:pPr>
    <w:rPr>
      <w:rFonts w:ascii="宋体" w:hAnsi="宋体"/>
      <w:sz w:val="21"/>
      <w:szCs w:val="21"/>
    </w:rPr>
  </w:style>
  <w:style w:type="paragraph" w:styleId="11">
    <w:name w:val="Date"/>
    <w:basedOn w:val="1"/>
    <w:next w:val="1"/>
    <w:qFormat/>
    <w:uiPriority w:val="0"/>
    <w:rPr>
      <w:rFonts w:ascii="Times New Roman"/>
      <w:b/>
      <w:kern w:val="2"/>
      <w:sz w:val="28"/>
    </w:rPr>
  </w:style>
  <w:style w:type="paragraph" w:styleId="12">
    <w:name w:val="Plain Text"/>
    <w:basedOn w:val="1"/>
    <w:autoRedefine/>
    <w:qFormat/>
    <w:uiPriority w:val="0"/>
    <w:rPr>
      <w:rFonts w:hAnsi="Courier New"/>
      <w:kern w:val="2"/>
      <w:sz w:val="21"/>
    </w:rPr>
  </w:style>
  <w:style w:type="paragraph" w:styleId="13">
    <w:name w:val="Balloon Text"/>
    <w:basedOn w:val="1"/>
    <w:link w:val="32"/>
    <w:autoRedefine/>
    <w:semiHidden/>
    <w:unhideWhenUsed/>
    <w:qFormat/>
    <w:uiPriority w:val="99"/>
    <w:rPr>
      <w:sz w:val="18"/>
      <w:szCs w:val="18"/>
    </w:rPr>
  </w:style>
  <w:style w:type="paragraph" w:styleId="14">
    <w:name w:val="footer"/>
    <w:basedOn w:val="1"/>
    <w:link w:val="28"/>
    <w:autoRedefine/>
    <w:unhideWhenUsed/>
    <w:qFormat/>
    <w:uiPriority w:val="99"/>
    <w:pPr>
      <w:tabs>
        <w:tab w:val="center" w:pos="4153"/>
        <w:tab w:val="right" w:pos="8306"/>
      </w:tabs>
      <w:snapToGrid w:val="0"/>
      <w:jc w:val="left"/>
    </w:pPr>
    <w:rPr>
      <w:sz w:val="18"/>
      <w:szCs w:val="18"/>
    </w:rPr>
  </w:style>
  <w:style w:type="paragraph" w:styleId="15">
    <w:name w:val="header"/>
    <w:basedOn w:val="1"/>
    <w:link w:val="27"/>
    <w:autoRedefine/>
    <w:unhideWhenUsed/>
    <w:qFormat/>
    <w:uiPriority w:val="99"/>
    <w:pPr>
      <w:pBdr>
        <w:bottom w:val="single" w:color="auto" w:sz="6" w:space="1"/>
      </w:pBdr>
      <w:tabs>
        <w:tab w:val="center" w:pos="4153"/>
        <w:tab w:val="right" w:pos="8306"/>
      </w:tabs>
      <w:snapToGrid w:val="0"/>
      <w:jc w:val="center"/>
    </w:pPr>
    <w:rPr>
      <w:sz w:val="18"/>
      <w:szCs w:val="18"/>
    </w:rPr>
  </w:style>
  <w:style w:type="paragraph" w:styleId="16">
    <w:name w:val="Body Text Indent 3"/>
    <w:basedOn w:val="1"/>
    <w:autoRedefine/>
    <w:qFormat/>
    <w:uiPriority w:val="0"/>
    <w:pPr>
      <w:ind w:firstLine="645"/>
    </w:pPr>
    <w:rPr>
      <w:rFonts w:ascii="仿宋_GB2312" w:hAnsi="Arial" w:eastAsia="仿宋_GB2312"/>
      <w:color w:val="000000"/>
      <w:sz w:val="30"/>
    </w:rPr>
  </w:style>
  <w:style w:type="paragraph" w:styleId="17">
    <w:name w:val="HTML Preformatted"/>
    <w:basedOn w:val="1"/>
    <w:autoRedefine/>
    <w:semiHidden/>
    <w:unhideWhenUsed/>
    <w:qFormat/>
    <w:uiPriority w:val="9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hint="eastAsia" w:ascii="宋体" w:hAnsi="宋体" w:eastAsia="宋体" w:cs="宋体"/>
      <w:kern w:val="0"/>
      <w:sz w:val="24"/>
      <w:szCs w:val="24"/>
      <w:lang w:val="en-US" w:eastAsia="zh-CN" w:bidi="ar"/>
    </w:rPr>
  </w:style>
  <w:style w:type="paragraph" w:styleId="18">
    <w:name w:val="Normal (Web)"/>
    <w:basedOn w:val="1"/>
    <w:autoRedefine/>
    <w:unhideWhenUsed/>
    <w:qFormat/>
    <w:uiPriority w:val="99"/>
    <w:pPr>
      <w:spacing w:before="100" w:beforeAutospacing="1" w:after="100" w:afterAutospacing="1"/>
      <w:jc w:val="left"/>
    </w:pPr>
    <w:rPr>
      <w:kern w:val="0"/>
      <w:sz w:val="24"/>
      <w:szCs w:val="22"/>
    </w:rPr>
  </w:style>
  <w:style w:type="paragraph" w:styleId="19">
    <w:name w:val="annotation subject"/>
    <w:basedOn w:val="9"/>
    <w:next w:val="9"/>
    <w:link w:val="31"/>
    <w:autoRedefine/>
    <w:semiHidden/>
    <w:unhideWhenUsed/>
    <w:qFormat/>
    <w:uiPriority w:val="99"/>
    <w:rPr>
      <w:b/>
      <w:bCs/>
    </w:rPr>
  </w:style>
  <w:style w:type="table" w:styleId="21">
    <w:name w:val="Table Grid"/>
    <w:basedOn w:val="20"/>
    <w:autoRedefine/>
    <w:qFormat/>
    <w:uiPriority w:val="0"/>
    <w:tblPr>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character" w:styleId="23">
    <w:name w:val="Strong"/>
    <w:basedOn w:val="22"/>
    <w:autoRedefine/>
    <w:qFormat/>
    <w:uiPriority w:val="22"/>
    <w:rPr>
      <w:b/>
    </w:rPr>
  </w:style>
  <w:style w:type="character" w:styleId="24">
    <w:name w:val="page number"/>
    <w:basedOn w:val="22"/>
    <w:autoRedefine/>
    <w:qFormat/>
    <w:uiPriority w:val="0"/>
  </w:style>
  <w:style w:type="character" w:styleId="25">
    <w:name w:val="annotation reference"/>
    <w:basedOn w:val="22"/>
    <w:autoRedefine/>
    <w:semiHidden/>
    <w:unhideWhenUsed/>
    <w:qFormat/>
    <w:uiPriority w:val="99"/>
    <w:rPr>
      <w:sz w:val="21"/>
      <w:szCs w:val="21"/>
    </w:rPr>
  </w:style>
  <w:style w:type="paragraph" w:customStyle="1" w:styleId="26">
    <w:name w:val="正文 New"/>
    <w:basedOn w:val="1"/>
    <w:autoRedefine/>
    <w:qFormat/>
    <w:uiPriority w:val="0"/>
    <w:pPr>
      <w:spacing w:before="100" w:beforeAutospacing="1" w:after="100" w:afterAutospacing="1" w:line="440" w:lineRule="exact"/>
      <w:ind w:left="357" w:hanging="357"/>
    </w:pPr>
    <w:rPr>
      <w:szCs w:val="21"/>
    </w:rPr>
  </w:style>
  <w:style w:type="character" w:customStyle="1" w:styleId="27">
    <w:name w:val="页眉 Char"/>
    <w:basedOn w:val="22"/>
    <w:link w:val="15"/>
    <w:autoRedefine/>
    <w:qFormat/>
    <w:uiPriority w:val="99"/>
    <w:rPr>
      <w:sz w:val="18"/>
      <w:szCs w:val="18"/>
    </w:rPr>
  </w:style>
  <w:style w:type="character" w:customStyle="1" w:styleId="28">
    <w:name w:val="页脚 Char"/>
    <w:basedOn w:val="22"/>
    <w:link w:val="14"/>
    <w:autoRedefine/>
    <w:qFormat/>
    <w:uiPriority w:val="99"/>
    <w:rPr>
      <w:sz w:val="18"/>
      <w:szCs w:val="18"/>
    </w:rPr>
  </w:style>
  <w:style w:type="paragraph" w:customStyle="1" w:styleId="29">
    <w:name w:val="Char Char Char Char Char Char Char Char Char Char"/>
    <w:basedOn w:val="1"/>
    <w:autoRedefine/>
    <w:qFormat/>
    <w:uiPriority w:val="0"/>
    <w:rPr>
      <w:rFonts w:ascii="Tahoma" w:hAnsi="Tahoma" w:eastAsia="宋体" w:cs="仿宋_GB2312"/>
      <w:sz w:val="24"/>
      <w:szCs w:val="20"/>
    </w:rPr>
  </w:style>
  <w:style w:type="character" w:customStyle="1" w:styleId="30">
    <w:name w:val="批注文字 Char"/>
    <w:basedOn w:val="22"/>
    <w:link w:val="9"/>
    <w:autoRedefine/>
    <w:semiHidden/>
    <w:qFormat/>
    <w:uiPriority w:val="99"/>
  </w:style>
  <w:style w:type="character" w:customStyle="1" w:styleId="31">
    <w:name w:val="批注主题 Char"/>
    <w:basedOn w:val="30"/>
    <w:link w:val="19"/>
    <w:autoRedefine/>
    <w:semiHidden/>
    <w:qFormat/>
    <w:uiPriority w:val="99"/>
    <w:rPr>
      <w:b/>
      <w:bCs/>
    </w:rPr>
  </w:style>
  <w:style w:type="character" w:customStyle="1" w:styleId="32">
    <w:name w:val="批注框文本 Char"/>
    <w:basedOn w:val="22"/>
    <w:link w:val="13"/>
    <w:autoRedefine/>
    <w:semiHidden/>
    <w:qFormat/>
    <w:uiPriority w:val="99"/>
    <w:rPr>
      <w:sz w:val="18"/>
      <w:szCs w:val="18"/>
    </w:rPr>
  </w:style>
  <w:style w:type="paragraph" w:styleId="33">
    <w:name w:val="List Paragraph"/>
    <w:basedOn w:val="1"/>
    <w:autoRedefine/>
    <w:unhideWhenUsed/>
    <w:qFormat/>
    <w:uiPriority w:val="99"/>
    <w:pPr>
      <w:ind w:firstLine="420" w:firstLineChars="200"/>
    </w:pPr>
  </w:style>
  <w:style w:type="paragraph" w:customStyle="1" w:styleId="34">
    <w:name w:val="Table Text"/>
    <w:basedOn w:val="1"/>
    <w:autoRedefine/>
    <w:qFormat/>
    <w:uiPriority w:val="0"/>
    <w:pPr>
      <w:widowControl/>
      <w:kinsoku w:val="0"/>
      <w:autoSpaceDE w:val="0"/>
      <w:autoSpaceDN w:val="0"/>
      <w:adjustRightInd w:val="0"/>
      <w:snapToGrid w:val="0"/>
      <w:textAlignment w:val="baseline"/>
    </w:pPr>
    <w:rPr>
      <w:rFonts w:ascii="宋体" w:hAnsi="宋体"/>
      <w:snapToGrid w:val="0"/>
      <w:color w:val="000000"/>
      <w:sz w:val="26"/>
      <w:szCs w:val="26"/>
    </w:rPr>
  </w:style>
  <w:style w:type="table" w:customStyle="1" w:styleId="35">
    <w:name w:val="Table Normal"/>
    <w:autoRedefine/>
    <w:qFormat/>
    <w:uiPriority w:val="0"/>
    <w:rPr>
      <w:rFonts w:ascii="Arial" w:hAnsi="Arial" w:cs="Arial"/>
      <w:snapToGrid w:val="0"/>
      <w:color w:val="000000"/>
      <w:sz w:val="21"/>
      <w:szCs w:val="21"/>
      <w:lang w:eastAsia="en-US"/>
    </w:rPr>
    <w:tblPr>
      <w:tblCellMar>
        <w:top w:w="0" w:type="dxa"/>
        <w:left w:w="0" w:type="dxa"/>
        <w:bottom w:w="0" w:type="dxa"/>
        <w:right w:w="0" w:type="dxa"/>
      </w:tblCellMar>
    </w:tblPr>
  </w:style>
  <w:style w:type="paragraph" w:customStyle="1" w:styleId="36">
    <w:name w:val="Char Char Char Char Char Char Char1 Char"/>
    <w:basedOn w:val="1"/>
    <w:autoRedefine/>
    <w:qFormat/>
    <w:uiPriority w:val="0"/>
    <w:rPr>
      <w:rFonts w:ascii="Tahoma" w:hAnsi="Tahoma"/>
      <w:sz w:val="24"/>
    </w:rPr>
  </w:style>
  <w:style w:type="character" w:customStyle="1" w:styleId="37">
    <w:name w:val="font21"/>
    <w:basedOn w:val="22"/>
    <w:autoRedefine/>
    <w:qFormat/>
    <w:uiPriority w:val="0"/>
    <w:rPr>
      <w:rFonts w:hint="eastAsia" w:ascii="宋体" w:hAnsi="宋体" w:eastAsia="宋体" w:cs="宋体"/>
      <w:b/>
      <w:bCs/>
      <w:color w:val="000000"/>
      <w:sz w:val="40"/>
      <w:szCs w:val="40"/>
      <w:u w:val="none"/>
    </w:rPr>
  </w:style>
  <w:style w:type="character" w:customStyle="1" w:styleId="38">
    <w:name w:val="font71"/>
    <w:basedOn w:val="22"/>
    <w:autoRedefine/>
    <w:qFormat/>
    <w:uiPriority w:val="0"/>
    <w:rPr>
      <w:rFonts w:hint="eastAsia" w:ascii="宋体" w:hAnsi="宋体" w:eastAsia="宋体" w:cs="宋体"/>
      <w:b/>
      <w:bCs/>
      <w:color w:val="000000"/>
      <w:sz w:val="40"/>
      <w:szCs w:val="40"/>
      <w:u w:val="single"/>
    </w:rPr>
  </w:style>
  <w:style w:type="character" w:customStyle="1" w:styleId="39">
    <w:name w:val="font91"/>
    <w:basedOn w:val="22"/>
    <w:autoRedefine/>
    <w:qFormat/>
    <w:uiPriority w:val="0"/>
    <w:rPr>
      <w:rFonts w:hint="default" w:ascii="方正小标宋简体" w:hAnsi="方正小标宋简体" w:eastAsia="方正小标宋简体" w:cs="方正小标宋简体"/>
      <w:color w:val="000000"/>
      <w:sz w:val="40"/>
      <w:szCs w:val="40"/>
      <w:u w:val="single"/>
    </w:rPr>
  </w:style>
  <w:style w:type="character" w:customStyle="1" w:styleId="40">
    <w:name w:val="font111"/>
    <w:basedOn w:val="22"/>
    <w:autoRedefine/>
    <w:qFormat/>
    <w:uiPriority w:val="0"/>
    <w:rPr>
      <w:rFonts w:hint="eastAsia" w:ascii="宋体" w:hAnsi="宋体" w:eastAsia="宋体" w:cs="宋体"/>
      <w:color w:val="000000"/>
      <w:sz w:val="40"/>
      <w:szCs w:val="40"/>
      <w:u w:val="single"/>
    </w:rPr>
  </w:style>
  <w:style w:type="character" w:customStyle="1" w:styleId="41">
    <w:name w:val="font141"/>
    <w:basedOn w:val="22"/>
    <w:autoRedefine/>
    <w:qFormat/>
    <w:uiPriority w:val="0"/>
    <w:rPr>
      <w:rFonts w:hint="eastAsia" w:ascii="宋体" w:hAnsi="宋体" w:eastAsia="宋体" w:cs="宋体"/>
      <w:color w:val="000000"/>
      <w:sz w:val="20"/>
      <w:szCs w:val="20"/>
      <w:u w:val="single"/>
    </w:rPr>
  </w:style>
  <w:style w:type="character" w:customStyle="1" w:styleId="42">
    <w:name w:val="font151"/>
    <w:basedOn w:val="22"/>
    <w:autoRedefine/>
    <w:qFormat/>
    <w:uiPriority w:val="0"/>
    <w:rPr>
      <w:rFonts w:hint="eastAsia" w:ascii="宋体" w:hAnsi="宋体" w:eastAsia="宋体" w:cs="宋体"/>
      <w:color w:val="000000"/>
      <w:sz w:val="20"/>
      <w:szCs w:val="20"/>
      <w:u w:val="single"/>
    </w:rPr>
  </w:style>
  <w:style w:type="paragraph" w:customStyle="1" w:styleId="43">
    <w:name w:val="xl31"/>
    <w:basedOn w:val="1"/>
    <w:autoRedefine/>
    <w:qFormat/>
    <w:uiPriority w:val="0"/>
    <w:pPr>
      <w:widowControl/>
      <w:spacing w:before="100" w:beforeAutospacing="1" w:after="100" w:afterAutospacing="1"/>
      <w:jc w:val="center"/>
    </w:pPr>
    <w:rPr>
      <w:rFonts w:hAnsi="宋体"/>
      <w:b/>
      <w:bCs/>
      <w:sz w:val="28"/>
      <w:szCs w:val="28"/>
    </w:rPr>
  </w:style>
  <w:style w:type="paragraph" w:customStyle="1" w:styleId="44">
    <w:name w:val="Table Paragraph"/>
    <w:basedOn w:val="1"/>
    <w:autoRedefine/>
    <w:qFormat/>
    <w:uiPriority w:val="1"/>
    <w:pPr>
      <w:autoSpaceDE w:val="0"/>
      <w:autoSpaceDN w:val="0"/>
      <w:jc w:val="left"/>
    </w:pPr>
    <w:rPr>
      <w:rFonts w:ascii="仿宋_GB2312" w:hAnsi="仿宋_GB2312" w:eastAsia="仿宋_GB2312" w:cs="仿宋_GB2312"/>
      <w:kern w:val="0"/>
      <w:sz w:val="22"/>
      <w:szCs w:val="22"/>
      <w:lang w:eastAsia="en-US"/>
    </w:rPr>
  </w:style>
  <w:style w:type="paragraph" w:customStyle="1" w:styleId="45">
    <w:name w:val="Default"/>
    <w:qFormat/>
    <w:uiPriority w:val="0"/>
    <w:pPr>
      <w:widowControl w:val="0"/>
      <w:autoSpaceDE w:val="0"/>
      <w:autoSpaceDN w:val="0"/>
      <w:adjustRightInd w:val="0"/>
    </w:pPr>
    <w:rPr>
      <w:rFonts w:ascii="宋体" w:hAnsi="宋体" w:eastAsia="宋体" w:cs="宋体"/>
      <w:color w:val="000000"/>
      <w:sz w:val="24"/>
      <w:szCs w:val="24"/>
      <w:lang w:val="en-US" w:eastAsia="zh-CN" w:bidi="ar-SA"/>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numbering" Target="numbering.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HP Inc.</Company>
  <Pages>19</Pages>
  <Words>1583</Words>
  <Characters>1590</Characters>
  <Lines>5</Lines>
  <Paragraphs>1</Paragraphs>
  <TotalTime>0</TotalTime>
  <ScaleCrop>false</ScaleCrop>
  <LinksUpToDate>false</LinksUpToDate>
  <CharactersWithSpaces>1792</CharactersWithSpaces>
  <Application>WPS Office_12.1.0.23542_F1E327BC-269C-435d-A152-05C5408002CA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2022-02-22T02:05:00Z</dcterms:created>
  <dc:creator>wangcheng</dc:creator>
  <cp:lastModifiedBy>张静</cp:lastModifiedBy>
  <cp:lastPrinted>2025-06-03T01:19:00Z</cp:lastPrinted>
  <dcterms:modified xsi:type="dcterms:W3CDTF">2026-07-09T07:05:42Z</dcterms:modified>
  <cp:revision>15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2052-12.1.0.23542</vt:lpwstr>
  </property>
  <property fmtid="{D5CDD505-2E9C-101B-9397-08002B2CF9AE}" pid="3" name="ICV">
    <vt:lpwstr>7488DFEC4CED446C8B360F87974074DD_13</vt:lpwstr>
  </property>
  <property fmtid="{D5CDD505-2E9C-101B-9397-08002B2CF9AE}" pid="4" name="KSOTemplateDocerSaveRecord">
    <vt:lpwstr>eyJoZGlkIjoiOWI5MDc2OTk3MzY4YjM5YjY4NGFhYzhmNWE1MTYzYzUiLCJ1c2VySWQiOiIxNTg0NzQ0NzMxIn0=</vt:lpwstr>
  </property>
</Properties>
</file>