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3"/>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5"/>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19"/>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4"/>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050347F9">
            <w:pPr>
              <w:snapToGrid w:val="0"/>
              <w:spacing w:line="360" w:lineRule="auto"/>
              <w:rPr>
                <w:rFonts w:hint="default" w:hAnsi="宋体"/>
                <w:b/>
                <w:color w:val="000000"/>
                <w:highlight w:val="yellow"/>
                <w:u w:val="single"/>
                <w:lang w:val="en-US" w:eastAsia="zh-CN"/>
              </w:rPr>
            </w:pPr>
            <w:r>
              <w:rPr>
                <w:rFonts w:hint="eastAsia" w:hAnsi="宋体"/>
                <w:b/>
                <w:color w:val="000000"/>
                <w:highlight w:val="yellow"/>
                <w:u w:val="single"/>
                <w:lang w:val="en-US" w:eastAsia="zh-CN"/>
              </w:rPr>
              <w:t>金额            元</w:t>
            </w: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int="default" w:hAnsi="宋体" w:eastAsiaTheme="minorEastAsia"/>
                <w:b/>
                <w:color w:val="000000"/>
                <w:lang w:val="en-US" w:eastAsia="zh-CN"/>
              </w:rPr>
            </w:pPr>
            <w:r>
              <w:rPr>
                <w:rFonts w:hint="eastAsia" w:hAnsi="宋体"/>
                <w:b/>
                <w:color w:val="000000"/>
                <w:lang w:val="en-US" w:eastAsia="zh-CN"/>
              </w:rPr>
              <w:t>费用权重25%</w:t>
            </w: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18"/>
        <w:ind w:left="438" w:firstLine="600"/>
        <w:rPr>
          <w:rFonts w:hAnsi="宋体"/>
          <w:b/>
          <w:bCs/>
          <w:color w:val="000000"/>
          <w:szCs w:val="28"/>
        </w:rPr>
      </w:pPr>
    </w:p>
    <w:p w14:paraId="71CF0248">
      <w:pPr>
        <w:pStyle w:val="18"/>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9"/>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02DD7D6E">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tbl>
      <w:tblPr>
        <w:tblStyle w:val="19"/>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2A76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4F4A059">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1447" w:type="dxa"/>
            <w:vAlign w:val="center"/>
          </w:tcPr>
          <w:p w14:paraId="3B806284">
            <w:pPr>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内容</w:t>
            </w:r>
          </w:p>
        </w:tc>
        <w:tc>
          <w:tcPr>
            <w:tcW w:w="7223" w:type="dxa"/>
            <w:vAlign w:val="center"/>
          </w:tcPr>
          <w:p w14:paraId="6D12EB66">
            <w:pPr>
              <w:pStyle w:val="42"/>
              <w:widowControl w:val="0"/>
              <w:spacing w:before="0" w:beforeAutospacing="0" w:after="0" w:afterAutospacing="0"/>
              <w:rPr>
                <w:rFonts w:hint="eastAsia" w:ascii="宋体" w:hAnsi="宋体" w:eastAsia="宋体" w:cs="宋体"/>
                <w:bCs w:val="0"/>
                <w:color w:val="000000"/>
                <w:kern w:val="2"/>
                <w:sz w:val="24"/>
                <w:szCs w:val="24"/>
              </w:rPr>
            </w:pPr>
            <w:r>
              <w:rPr>
                <w:rFonts w:hint="eastAsia" w:ascii="宋体" w:hAnsi="宋体" w:eastAsia="宋体" w:cs="宋体"/>
                <w:bCs w:val="0"/>
                <w:color w:val="000000"/>
                <w:kern w:val="2"/>
                <w:sz w:val="24"/>
                <w:szCs w:val="24"/>
              </w:rPr>
              <w:t>说明与要求</w:t>
            </w:r>
          </w:p>
        </w:tc>
      </w:tr>
      <w:tr w14:paraId="05B07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26CF9F2">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1</w:t>
            </w:r>
          </w:p>
        </w:tc>
        <w:tc>
          <w:tcPr>
            <w:tcW w:w="1447" w:type="dxa"/>
            <w:vAlign w:val="center"/>
          </w:tcPr>
          <w:p w14:paraId="7BBBEA0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项目名称</w:t>
            </w:r>
          </w:p>
        </w:tc>
        <w:tc>
          <w:tcPr>
            <w:tcW w:w="7223" w:type="dxa"/>
            <w:vAlign w:val="center"/>
          </w:tcPr>
          <w:p w14:paraId="116C5958">
            <w:pPr>
              <w:spacing w:line="360" w:lineRule="exact"/>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公用公司及子公司外部EXCEL数据生成凭证及报表开发</w:t>
            </w:r>
            <w:r>
              <w:rPr>
                <w:rFonts w:hint="eastAsia" w:ascii="宋体" w:hAnsi="宋体" w:eastAsia="宋体" w:cs="宋体"/>
                <w:color w:val="000000"/>
                <w:sz w:val="24"/>
                <w:szCs w:val="24"/>
                <w:lang w:val="en-US" w:eastAsia="zh-CN"/>
              </w:rPr>
              <w:t>服务</w:t>
            </w:r>
          </w:p>
        </w:tc>
      </w:tr>
      <w:tr w14:paraId="3DD43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A80C1A0">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2</w:t>
            </w:r>
          </w:p>
        </w:tc>
        <w:tc>
          <w:tcPr>
            <w:tcW w:w="1447" w:type="dxa"/>
            <w:vAlign w:val="center"/>
          </w:tcPr>
          <w:p w14:paraId="318ED734">
            <w:pPr>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项目概况</w:t>
            </w:r>
          </w:p>
        </w:tc>
        <w:tc>
          <w:tcPr>
            <w:tcW w:w="7223" w:type="dxa"/>
            <w:vAlign w:val="center"/>
          </w:tcPr>
          <w:p w14:paraId="0B8150CE">
            <w:pPr>
              <w:pStyle w:val="42"/>
              <w:widowControl w:val="0"/>
              <w:spacing w:before="0" w:beforeAutospacing="0" w:after="0" w:afterAutospacing="0" w:line="360" w:lineRule="auto"/>
              <w:jc w:val="both"/>
              <w:rPr>
                <w:rFonts w:hint="eastAsia" w:ascii="宋体" w:hAnsi="宋体" w:eastAsia="宋体" w:cs="宋体"/>
                <w:b w:val="0"/>
                <w:bCs w:val="0"/>
                <w:color w:val="000000"/>
                <w:sz w:val="24"/>
                <w:szCs w:val="24"/>
              </w:rPr>
            </w:pPr>
            <w:bookmarkStart w:id="9" w:name="OLE_LINK1"/>
            <w:r>
              <w:rPr>
                <w:rFonts w:hint="eastAsia" w:ascii="宋体" w:hAnsi="宋体" w:eastAsia="宋体" w:cs="宋体"/>
                <w:b w:val="0"/>
                <w:bCs w:val="0"/>
                <w:color w:val="auto"/>
                <w:sz w:val="24"/>
                <w:szCs w:val="24"/>
                <w:lang w:val="en-US" w:eastAsia="zh-CN"/>
              </w:rPr>
              <w:t>合肥经济技术开发区公用事业发展有限公司及下属子分公司所管理的停车场、物业小区数量多、收费项目繁杂且类型多样。现需采购一家系统服务单位需要确保能对接公司现有财务软件平台，</w:t>
            </w:r>
            <w:r>
              <w:rPr>
                <w:rFonts w:hint="eastAsia" w:ascii="宋体" w:hAnsi="宋体" w:eastAsia="宋体" w:cs="宋体"/>
                <w:b w:val="0"/>
                <w:bCs w:val="0"/>
                <w:color w:val="auto"/>
                <w:sz w:val="24"/>
                <w:szCs w:val="24"/>
              </w:rPr>
              <w:t>通过系统开发实现部分收入相关财务凭证的自动生成。同时，为满足日常管理需要，开发定义管理类报表，以服务于对外报送及内部管理与分析需求。</w:t>
            </w:r>
            <w:bookmarkEnd w:id="9"/>
          </w:p>
        </w:tc>
      </w:tr>
      <w:tr w14:paraId="402B1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3BF5615C">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3</w:t>
            </w:r>
          </w:p>
        </w:tc>
        <w:tc>
          <w:tcPr>
            <w:tcW w:w="1447" w:type="dxa"/>
            <w:vAlign w:val="center"/>
          </w:tcPr>
          <w:p w14:paraId="4465B2D2">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供应商资格</w:t>
            </w:r>
          </w:p>
        </w:tc>
        <w:tc>
          <w:tcPr>
            <w:tcW w:w="7223" w:type="dxa"/>
            <w:vAlign w:val="center"/>
          </w:tcPr>
          <w:p w14:paraId="1768D234">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1.营业执照经营范围包含招标项目规定的营业项目。</w:t>
            </w:r>
          </w:p>
          <w:p w14:paraId="3DCC7361">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2.存在以下不良信用记录情形之一的，不得为成交候选供应商：</w:t>
            </w:r>
          </w:p>
          <w:p w14:paraId="74971310">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（1）供应商被人民法院列入失信被执行人的；</w:t>
            </w:r>
          </w:p>
          <w:p w14:paraId="798FE18D">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（2）供应商被工商行政管理部门列入企业经营异常名录的：</w:t>
            </w:r>
          </w:p>
          <w:p w14:paraId="0980243F">
            <w:pPr>
              <w:widowControl/>
              <w:spacing w:line="360" w:lineRule="auto"/>
              <w:rPr>
                <w:rFonts w:hint="eastAsia" w:ascii="宋体" w:hAnsi="宋体" w:eastAsia="宋体" w:cs="宋体"/>
                <w:bCs/>
                <w:color w:val="000000"/>
                <w:sz w:val="24"/>
                <w:szCs w:val="24"/>
              </w:rPr>
            </w:pPr>
            <w:r>
              <w:rPr>
                <w:rFonts w:hint="eastAsia" w:ascii="宋体" w:hAnsi="宋体" w:eastAsia="宋体" w:cs="宋体"/>
                <w:bCs/>
                <w:color w:val="000000"/>
                <w:sz w:val="24"/>
                <w:szCs w:val="24"/>
              </w:rPr>
              <w:t>（3）供应商被税务部门列入重大税收违法案件当事人名单。</w:t>
            </w:r>
          </w:p>
        </w:tc>
      </w:tr>
      <w:tr w14:paraId="33FC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17CA3E21">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4</w:t>
            </w:r>
          </w:p>
        </w:tc>
        <w:tc>
          <w:tcPr>
            <w:tcW w:w="1447" w:type="dxa"/>
            <w:vAlign w:val="center"/>
          </w:tcPr>
          <w:p w14:paraId="65ADC9A2">
            <w:pPr>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rPr>
              <w:t>项目性质</w:t>
            </w:r>
          </w:p>
        </w:tc>
        <w:tc>
          <w:tcPr>
            <w:tcW w:w="7223" w:type="dxa"/>
            <w:vAlign w:val="center"/>
          </w:tcPr>
          <w:p w14:paraId="7691A712">
            <w:pPr>
              <w:pStyle w:val="42"/>
              <w:widowControl w:val="0"/>
              <w:spacing w:before="0" w:beforeAutospacing="0" w:after="0" w:afterAutospacing="0"/>
              <w:jc w:val="both"/>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服务类</w:t>
            </w:r>
          </w:p>
        </w:tc>
      </w:tr>
      <w:tr w14:paraId="4659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331F388">
            <w:pPr>
              <w:jc w:val="center"/>
              <w:rPr>
                <w:rFonts w:hint="eastAsia" w:ascii="宋体" w:hAnsi="宋体" w:eastAsia="宋体" w:cs="宋体"/>
                <w:bCs/>
                <w:color w:val="000000"/>
                <w:sz w:val="24"/>
                <w:szCs w:val="24"/>
              </w:rPr>
            </w:pPr>
            <w:r>
              <w:rPr>
                <w:rFonts w:hint="eastAsia" w:ascii="宋体" w:hAnsi="宋体" w:eastAsia="宋体" w:cs="宋体"/>
                <w:bCs/>
                <w:color w:val="000000"/>
                <w:sz w:val="24"/>
                <w:szCs w:val="24"/>
              </w:rPr>
              <w:t>5</w:t>
            </w:r>
          </w:p>
        </w:tc>
        <w:tc>
          <w:tcPr>
            <w:tcW w:w="1447" w:type="dxa"/>
            <w:vAlign w:val="center"/>
          </w:tcPr>
          <w:p w14:paraId="1208C71C">
            <w:pPr>
              <w:pStyle w:val="42"/>
              <w:widowControl w:val="0"/>
              <w:spacing w:before="0" w:beforeAutospacing="0" w:after="0" w:afterAutospacing="0"/>
              <w:rPr>
                <w:rFonts w:hint="eastAsia" w:ascii="宋体" w:hAnsi="宋体" w:eastAsia="宋体" w:cs="宋体"/>
                <w:b w:val="0"/>
                <w:bCs w:val="0"/>
                <w:color w:val="000000"/>
                <w:sz w:val="24"/>
                <w:szCs w:val="24"/>
                <w:highlight w:val="yellow"/>
              </w:rPr>
            </w:pPr>
            <w:r>
              <w:rPr>
                <w:rFonts w:hint="eastAsia" w:ascii="宋体" w:hAnsi="宋体" w:eastAsia="宋体" w:cs="宋体"/>
                <w:b w:val="0"/>
                <w:bCs w:val="0"/>
                <w:color w:val="000000"/>
                <w:sz w:val="24"/>
                <w:szCs w:val="24"/>
              </w:rPr>
              <w:t>资金来源</w:t>
            </w:r>
          </w:p>
        </w:tc>
        <w:tc>
          <w:tcPr>
            <w:tcW w:w="7223" w:type="dxa"/>
            <w:vAlign w:val="center"/>
          </w:tcPr>
          <w:p w14:paraId="5CA76778">
            <w:pPr>
              <w:pStyle w:val="42"/>
              <w:widowControl w:val="0"/>
              <w:spacing w:before="0" w:beforeAutospacing="0" w:after="0" w:afterAutospacing="0"/>
              <w:jc w:val="both"/>
              <w:rPr>
                <w:rFonts w:hint="eastAsia" w:ascii="宋体" w:hAnsi="宋体" w:eastAsia="宋体" w:cs="宋体"/>
                <w:b w:val="0"/>
                <w:bCs w:val="0"/>
                <w:color w:val="000000"/>
                <w:sz w:val="24"/>
                <w:szCs w:val="24"/>
              </w:rPr>
            </w:pPr>
            <w:r>
              <w:rPr>
                <w:rFonts w:hint="eastAsia" w:ascii="宋体" w:hAnsi="宋体" w:eastAsia="宋体" w:cs="宋体"/>
                <w:color w:val="000000"/>
                <w:sz w:val="24"/>
                <w:szCs w:val="24"/>
              </w:rPr>
              <w:sym w:font="Wingdings" w:char="00FE"/>
            </w:r>
            <w:r>
              <w:rPr>
                <w:rFonts w:hint="eastAsia" w:ascii="宋体" w:hAnsi="宋体" w:eastAsia="宋体" w:cs="宋体"/>
                <w:b w:val="0"/>
                <w:bCs w:val="0"/>
                <w:color w:val="000000"/>
                <w:sz w:val="24"/>
                <w:szCs w:val="24"/>
              </w:rPr>
              <w:t>采购人自筹  □其他</w:t>
            </w:r>
          </w:p>
        </w:tc>
      </w:tr>
      <w:tr w14:paraId="2271F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579B74B7">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447" w:type="dxa"/>
          </w:tcPr>
          <w:p w14:paraId="5A237C3C">
            <w:pPr>
              <w:spacing w:line="500" w:lineRule="exact"/>
              <w:jc w:val="center"/>
              <w:rPr>
                <w:rFonts w:hint="eastAsia" w:ascii="宋体" w:hAnsi="宋体" w:eastAsia="宋体" w:cs="宋体"/>
                <w:color w:val="000000"/>
                <w:sz w:val="24"/>
                <w:szCs w:val="24"/>
                <w:highlight w:val="yellow"/>
                <w:lang w:val="zh-CN"/>
              </w:rPr>
            </w:pPr>
            <w:r>
              <w:rPr>
                <w:rFonts w:hint="eastAsia" w:ascii="宋体" w:hAnsi="宋体" w:eastAsia="宋体" w:cs="宋体"/>
                <w:color w:val="000000"/>
                <w:sz w:val="24"/>
                <w:szCs w:val="24"/>
              </w:rPr>
              <w:t>标段划分</w:t>
            </w:r>
          </w:p>
        </w:tc>
        <w:tc>
          <w:tcPr>
            <w:tcW w:w="7223" w:type="dxa"/>
            <w:vAlign w:val="center"/>
          </w:tcPr>
          <w:p w14:paraId="4ABB2430">
            <w:pPr>
              <w:spacing w:line="500" w:lineRule="exact"/>
              <w:ind w:firstLine="120" w:firstLineChars="50"/>
              <w:rPr>
                <w:rFonts w:hint="eastAsia" w:ascii="宋体" w:hAnsi="宋体" w:eastAsia="宋体" w:cs="宋体"/>
                <w:bCs/>
                <w:color w:val="000000"/>
                <w:sz w:val="24"/>
                <w:szCs w:val="24"/>
              </w:rPr>
            </w:pPr>
            <w:r>
              <w:rPr>
                <w:rFonts w:hint="eastAsia" w:ascii="宋体" w:hAnsi="宋体" w:eastAsia="宋体" w:cs="宋体"/>
                <w:b/>
                <w:bCs/>
                <w:color w:val="000000"/>
                <w:sz w:val="24"/>
                <w:szCs w:val="24"/>
              </w:rPr>
              <w:sym w:font="Wingdings" w:char="00FE"/>
            </w:r>
            <w:r>
              <w:rPr>
                <w:rFonts w:hint="eastAsia" w:ascii="宋体" w:hAnsi="宋体" w:eastAsia="宋体" w:cs="宋体"/>
                <w:color w:val="000000"/>
                <w:sz w:val="24"/>
                <w:szCs w:val="24"/>
              </w:rPr>
              <w:t xml:space="preserve">不分包     □分为  个包  </w:t>
            </w:r>
          </w:p>
        </w:tc>
      </w:tr>
      <w:tr w14:paraId="275D8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5" w:type="dxa"/>
            <w:vAlign w:val="center"/>
          </w:tcPr>
          <w:p w14:paraId="079810EA">
            <w:pPr>
              <w:spacing w:line="500" w:lineRule="exact"/>
              <w:ind w:right="102"/>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7</w:t>
            </w:r>
          </w:p>
        </w:tc>
        <w:tc>
          <w:tcPr>
            <w:tcW w:w="1447" w:type="dxa"/>
            <w:vAlign w:val="center"/>
          </w:tcPr>
          <w:p w14:paraId="7899BDD6">
            <w:pPr>
              <w:spacing w:line="500" w:lineRule="exact"/>
              <w:jc w:val="center"/>
              <w:rPr>
                <w:rFonts w:hint="eastAsia" w:ascii="宋体" w:hAnsi="宋体" w:eastAsia="宋体" w:cs="宋体"/>
                <w:color w:val="000000"/>
                <w:sz w:val="24"/>
                <w:szCs w:val="24"/>
                <w:highlight w:val="yellow"/>
              </w:rPr>
            </w:pPr>
            <w:r>
              <w:rPr>
                <w:rFonts w:hint="eastAsia" w:ascii="宋体" w:hAnsi="宋体" w:eastAsia="宋体" w:cs="宋体"/>
                <w:color w:val="000000"/>
                <w:sz w:val="24"/>
                <w:szCs w:val="24"/>
                <w:lang w:val="zh-CN"/>
              </w:rPr>
              <w:t>付款方式</w:t>
            </w:r>
          </w:p>
        </w:tc>
        <w:tc>
          <w:tcPr>
            <w:tcW w:w="7223" w:type="dxa"/>
          </w:tcPr>
          <w:p w14:paraId="4F394D8C">
            <w:pPr>
              <w:pStyle w:val="35"/>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完成服务内容后提供增值税专用发票，20个工作日内付款。</w:t>
            </w:r>
          </w:p>
        </w:tc>
      </w:tr>
      <w:tr w14:paraId="7E86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0BB48AA7">
            <w:pPr>
              <w:spacing w:line="500" w:lineRule="exact"/>
              <w:ind w:right="102"/>
              <w:jc w:val="center"/>
              <w:rPr>
                <w:rFonts w:hint="eastAsia" w:ascii="宋体" w:hAnsi="宋体" w:eastAsia="宋体" w:cs="宋体"/>
                <w:color w:val="000000"/>
                <w:sz w:val="24"/>
                <w:szCs w:val="24"/>
                <w:lang w:val="zh-CN"/>
              </w:rPr>
            </w:pPr>
            <w:r>
              <w:rPr>
                <w:rFonts w:hint="eastAsia" w:ascii="宋体" w:hAnsi="宋体" w:eastAsia="宋体" w:cs="宋体"/>
                <w:color w:val="000000"/>
                <w:sz w:val="24"/>
                <w:szCs w:val="24"/>
                <w:lang w:val="zh-CN"/>
              </w:rPr>
              <w:t>8</w:t>
            </w:r>
          </w:p>
        </w:tc>
        <w:tc>
          <w:tcPr>
            <w:tcW w:w="1447" w:type="dxa"/>
            <w:vAlign w:val="center"/>
          </w:tcPr>
          <w:p w14:paraId="6235F921">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联合体投标</w:t>
            </w:r>
          </w:p>
        </w:tc>
        <w:tc>
          <w:tcPr>
            <w:tcW w:w="7223" w:type="dxa"/>
            <w:vAlign w:val="center"/>
          </w:tcPr>
          <w:p w14:paraId="23BD805F">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zh-CN"/>
              </w:rPr>
              <w:t xml:space="preserve">接受  </w:t>
            </w:r>
            <w:r>
              <w:rPr>
                <w:rFonts w:hint="eastAsia" w:ascii="宋体" w:hAnsi="宋体" w:eastAsia="宋体" w:cs="宋体"/>
                <w:b/>
                <w:bCs/>
                <w:color w:val="000000"/>
                <w:sz w:val="24"/>
                <w:szCs w:val="24"/>
              </w:rPr>
              <w:sym w:font="Wingdings" w:char="00FE"/>
            </w:r>
            <w:r>
              <w:rPr>
                <w:rFonts w:hint="eastAsia" w:ascii="宋体" w:hAnsi="宋体" w:eastAsia="宋体" w:cs="宋体"/>
                <w:color w:val="000000"/>
                <w:sz w:val="24"/>
                <w:szCs w:val="24"/>
              </w:rPr>
              <w:t>不</w:t>
            </w:r>
            <w:r>
              <w:rPr>
                <w:rFonts w:hint="eastAsia" w:ascii="宋体" w:hAnsi="宋体" w:eastAsia="宋体" w:cs="宋体"/>
                <w:color w:val="000000"/>
                <w:sz w:val="24"/>
                <w:szCs w:val="24"/>
                <w:lang w:val="zh-CN"/>
              </w:rPr>
              <w:t>接受</w:t>
            </w:r>
          </w:p>
        </w:tc>
      </w:tr>
      <w:tr w14:paraId="1B10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4438C51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9</w:t>
            </w:r>
          </w:p>
        </w:tc>
        <w:tc>
          <w:tcPr>
            <w:tcW w:w="1447" w:type="dxa"/>
          </w:tcPr>
          <w:p w14:paraId="70168C2F">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服务地点</w:t>
            </w:r>
          </w:p>
        </w:tc>
        <w:tc>
          <w:tcPr>
            <w:tcW w:w="7223" w:type="dxa"/>
          </w:tcPr>
          <w:p w14:paraId="1255E4A1">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合肥经济技术开发区</w:t>
            </w:r>
          </w:p>
        </w:tc>
      </w:tr>
      <w:tr w14:paraId="40633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52683B3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10</w:t>
            </w:r>
          </w:p>
        </w:tc>
        <w:tc>
          <w:tcPr>
            <w:tcW w:w="1447" w:type="dxa"/>
            <w:vAlign w:val="center"/>
          </w:tcPr>
          <w:p w14:paraId="1995A39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服务期限</w:t>
            </w:r>
          </w:p>
        </w:tc>
        <w:tc>
          <w:tcPr>
            <w:tcW w:w="7223" w:type="dxa"/>
            <w:vAlign w:val="center"/>
          </w:tcPr>
          <w:p w14:paraId="1CB22F1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1.在</w:t>
            </w:r>
            <w:r>
              <w:rPr>
                <w:rFonts w:hint="eastAsia" w:ascii="宋体" w:hAnsi="宋体" w:eastAsia="宋体" w:cs="宋体"/>
                <w:color w:val="000000"/>
                <w:sz w:val="24"/>
                <w:szCs w:val="24"/>
              </w:rPr>
              <w:t>产品使用期内提供长期服务。</w:t>
            </w:r>
          </w:p>
          <w:p w14:paraId="6129E373">
            <w:pPr>
              <w:spacing w:line="500" w:lineRule="exact"/>
              <w:rPr>
                <w:rFonts w:hint="eastAsia" w:ascii="宋体" w:hAnsi="宋体" w:eastAsia="宋体" w:cs="宋体"/>
                <w:color w:val="FF0000"/>
                <w:sz w:val="24"/>
                <w:szCs w:val="24"/>
              </w:rPr>
            </w:pPr>
            <w:r>
              <w:rPr>
                <w:rFonts w:hint="eastAsia" w:ascii="宋体" w:hAnsi="宋体" w:eastAsia="宋体" w:cs="宋体"/>
                <w:color w:val="000000"/>
                <w:sz w:val="24"/>
                <w:szCs w:val="24"/>
                <w:lang w:eastAsia="zh-CN"/>
              </w:rPr>
              <w:t>2.</w:t>
            </w:r>
            <w:r>
              <w:rPr>
                <w:rFonts w:hint="eastAsia" w:ascii="宋体" w:hAnsi="宋体" w:eastAsia="宋体" w:cs="宋体"/>
                <w:color w:val="000000"/>
                <w:sz w:val="24"/>
                <w:szCs w:val="24"/>
              </w:rPr>
              <w:t>当出现以下因素时，采购人有权随时终止合同，中标供应商不得以任何理由提出索赔要求：（1）政策性调整；（2）因中标供应商原因发生安全事故</w:t>
            </w:r>
            <w:r>
              <w:rPr>
                <w:rFonts w:hint="eastAsia" w:ascii="宋体" w:hAnsi="宋体" w:eastAsia="宋体" w:cs="宋体"/>
                <w:sz w:val="24"/>
                <w:szCs w:val="24"/>
              </w:rPr>
              <w:t>。</w:t>
            </w:r>
          </w:p>
        </w:tc>
      </w:tr>
      <w:tr w14:paraId="48EC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43D2E732">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14</w:t>
            </w:r>
          </w:p>
        </w:tc>
        <w:tc>
          <w:tcPr>
            <w:tcW w:w="1447" w:type="dxa"/>
            <w:vAlign w:val="center"/>
          </w:tcPr>
          <w:p w14:paraId="7D723CCE">
            <w:pPr>
              <w:spacing w:line="500" w:lineRule="exact"/>
              <w:jc w:val="center"/>
              <w:rPr>
                <w:rFonts w:hint="eastAsia" w:ascii="宋体" w:hAnsi="宋体" w:eastAsia="宋体" w:cs="宋体"/>
                <w:color w:val="000000"/>
                <w:sz w:val="24"/>
                <w:szCs w:val="24"/>
              </w:rPr>
            </w:pPr>
            <w:r>
              <w:rPr>
                <w:rFonts w:hint="eastAsia" w:ascii="宋体" w:hAnsi="宋体" w:eastAsia="宋体" w:cs="宋体"/>
                <w:bCs/>
                <w:color w:val="000000"/>
                <w:sz w:val="24"/>
                <w:szCs w:val="24"/>
              </w:rPr>
              <w:t>踏勘现场</w:t>
            </w:r>
          </w:p>
        </w:tc>
        <w:tc>
          <w:tcPr>
            <w:tcW w:w="7223" w:type="dxa"/>
            <w:vAlign w:val="center"/>
          </w:tcPr>
          <w:p w14:paraId="7158E005">
            <w:pPr>
              <w:spacing w:line="500" w:lineRule="exact"/>
              <w:rPr>
                <w:rFonts w:hint="eastAsia" w:ascii="宋体" w:hAnsi="宋体" w:eastAsia="宋体" w:cs="宋体"/>
                <w:color w:val="000000"/>
                <w:sz w:val="24"/>
                <w:szCs w:val="24"/>
                <w:lang w:val="zh-CN"/>
              </w:rPr>
            </w:pPr>
            <w:r>
              <w:rPr>
                <w:rFonts w:hint="eastAsia" w:ascii="宋体" w:hAnsi="宋体" w:eastAsia="宋体" w:cs="宋体"/>
                <w:b/>
                <w:color w:val="000000"/>
                <w:sz w:val="24"/>
                <w:szCs w:val="24"/>
              </w:rPr>
              <w:sym w:font="Wingdings" w:char="00FE"/>
            </w:r>
            <w:r>
              <w:rPr>
                <w:rFonts w:hint="eastAsia" w:ascii="宋体" w:hAnsi="宋体" w:eastAsia="宋体" w:cs="宋体"/>
                <w:bCs/>
                <w:color w:val="000000"/>
                <w:sz w:val="24"/>
                <w:szCs w:val="24"/>
              </w:rPr>
              <w:t>自行踏勘</w:t>
            </w:r>
            <w:r>
              <w:rPr>
                <w:rFonts w:hint="eastAsia" w:ascii="宋体" w:hAnsi="宋体" w:eastAsia="宋体" w:cs="宋体"/>
                <w:color w:val="000000"/>
                <w:sz w:val="24"/>
                <w:szCs w:val="24"/>
              </w:rPr>
              <w:t xml:space="preserve">  □采购人</w:t>
            </w:r>
            <w:r>
              <w:rPr>
                <w:rFonts w:hint="eastAsia" w:ascii="宋体" w:hAnsi="宋体" w:eastAsia="宋体" w:cs="宋体"/>
                <w:color w:val="000000"/>
                <w:sz w:val="24"/>
                <w:szCs w:val="24"/>
                <w:lang w:val="zh-CN"/>
              </w:rPr>
              <w:t>统一组织</w:t>
            </w:r>
          </w:p>
        </w:tc>
      </w:tr>
      <w:tr w14:paraId="2BF08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0C49FAE3">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17</w:t>
            </w:r>
          </w:p>
        </w:tc>
        <w:tc>
          <w:tcPr>
            <w:tcW w:w="1447" w:type="dxa"/>
            <w:vAlign w:val="center"/>
          </w:tcPr>
          <w:p w14:paraId="5ACA17B9">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评标办法</w:t>
            </w:r>
          </w:p>
        </w:tc>
        <w:tc>
          <w:tcPr>
            <w:tcW w:w="7223" w:type="dxa"/>
            <w:vAlign w:val="center"/>
          </w:tcPr>
          <w:p w14:paraId="2F127291">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综合评分法</w:t>
            </w:r>
          </w:p>
        </w:tc>
      </w:tr>
      <w:tr w14:paraId="0A37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07D376F0">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18</w:t>
            </w:r>
          </w:p>
        </w:tc>
        <w:tc>
          <w:tcPr>
            <w:tcW w:w="1447" w:type="dxa"/>
            <w:vAlign w:val="center"/>
          </w:tcPr>
          <w:p w14:paraId="2B8BD1F3">
            <w:pPr>
              <w:spacing w:line="500" w:lineRule="exact"/>
              <w:jc w:val="center"/>
              <w:rPr>
                <w:rFonts w:hint="eastAsia" w:ascii="宋体" w:hAnsi="宋体" w:eastAsia="宋体" w:cs="宋体"/>
                <w:bCs/>
                <w:color w:val="000000"/>
                <w:sz w:val="24"/>
                <w:szCs w:val="24"/>
                <w:highlight w:val="yellow"/>
              </w:rPr>
            </w:pPr>
            <w:r>
              <w:rPr>
                <w:rFonts w:hint="eastAsia" w:ascii="宋体" w:hAnsi="宋体" w:eastAsia="宋体" w:cs="宋体"/>
                <w:color w:val="000000"/>
                <w:sz w:val="24"/>
                <w:szCs w:val="24"/>
              </w:rPr>
              <w:t>履约保证金</w:t>
            </w:r>
          </w:p>
        </w:tc>
        <w:tc>
          <w:tcPr>
            <w:tcW w:w="7223" w:type="dxa"/>
            <w:vAlign w:val="center"/>
          </w:tcPr>
          <w:p w14:paraId="690D8D20">
            <w:pPr>
              <w:pStyle w:val="35"/>
              <w:numPr>
                <w:ilvl w:val="0"/>
                <w:numId w:val="0"/>
              </w:numPr>
              <w:spacing w:line="500" w:lineRule="exact"/>
              <w:rPr>
                <w:rFonts w:hint="eastAsia" w:ascii="宋体" w:hAnsi="宋体" w:eastAsia="宋体" w:cs="宋体"/>
                <w:snapToGrid w:val="0"/>
                <w:sz w:val="24"/>
                <w:szCs w:val="24"/>
              </w:rPr>
            </w:pPr>
            <w:r>
              <w:rPr>
                <w:rFonts w:hint="eastAsia" w:ascii="宋体" w:hAnsi="宋体" w:eastAsia="宋体" w:cs="宋体"/>
                <w:bCs/>
                <w:color w:val="000000"/>
                <w:sz w:val="24"/>
                <w:szCs w:val="24"/>
              </w:rPr>
              <w:t>履约保证金数额：</w:t>
            </w:r>
            <w:r>
              <w:rPr>
                <w:rFonts w:hint="eastAsia" w:ascii="宋体" w:hAnsi="宋体" w:eastAsia="宋体" w:cs="宋体"/>
                <w:b/>
                <w:color w:val="000000"/>
                <w:sz w:val="24"/>
                <w:szCs w:val="24"/>
              </w:rPr>
              <w:t xml:space="preserve">本项目定额收取履约保证金  </w:t>
            </w:r>
            <w:r>
              <w:rPr>
                <w:rFonts w:hint="eastAsia" w:ascii="宋体" w:hAnsi="宋体" w:eastAsia="宋体" w:cs="宋体"/>
                <w:b/>
                <w:color w:val="000000"/>
                <w:sz w:val="24"/>
                <w:szCs w:val="24"/>
                <w:u w:val="single"/>
              </w:rPr>
              <w:t xml:space="preserve">   / </w:t>
            </w:r>
            <w:r>
              <w:rPr>
                <w:rFonts w:hint="eastAsia" w:ascii="宋体" w:hAnsi="宋体" w:eastAsia="宋体" w:cs="宋体"/>
                <w:b/>
                <w:color w:val="000000"/>
                <w:sz w:val="24"/>
                <w:szCs w:val="24"/>
              </w:rPr>
              <w:t>元</w:t>
            </w:r>
          </w:p>
        </w:tc>
      </w:tr>
      <w:tr w14:paraId="71547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20BA06BD">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20</w:t>
            </w:r>
          </w:p>
        </w:tc>
        <w:tc>
          <w:tcPr>
            <w:tcW w:w="1447" w:type="dxa"/>
            <w:vAlign w:val="center"/>
          </w:tcPr>
          <w:p w14:paraId="5F0BB380">
            <w:pPr>
              <w:spacing w:line="50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本地化服务</w:t>
            </w:r>
          </w:p>
        </w:tc>
        <w:tc>
          <w:tcPr>
            <w:tcW w:w="7223" w:type="dxa"/>
            <w:vAlign w:val="center"/>
          </w:tcPr>
          <w:p w14:paraId="1D8AD8FC">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本项目是否要求本地化服务能力：</w:t>
            </w:r>
            <w:r>
              <w:rPr>
                <w:rFonts w:hint="eastAsia" w:ascii="宋体" w:hAnsi="宋体" w:eastAsia="宋体" w:cs="宋体"/>
                <w:b/>
                <w:bCs/>
                <w:color w:val="000000"/>
                <w:sz w:val="24"/>
                <w:szCs w:val="24"/>
                <w:u w:val="single"/>
              </w:rPr>
              <w:sym w:font="Wingdings" w:char="00FE"/>
            </w:r>
            <w:r>
              <w:rPr>
                <w:rFonts w:hint="eastAsia" w:ascii="宋体" w:hAnsi="宋体" w:eastAsia="宋体" w:cs="宋体"/>
                <w:color w:val="000000"/>
                <w:sz w:val="24"/>
                <w:szCs w:val="24"/>
              </w:rPr>
              <w:t>要求□不要求</w:t>
            </w:r>
          </w:p>
          <w:p w14:paraId="1C246EC2">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本地化服务的能力是指具有以下条件之一：</w:t>
            </w:r>
          </w:p>
          <w:p w14:paraId="3279CE09">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1）在本地具有固定的办公场所及人员；</w:t>
            </w:r>
          </w:p>
          <w:p w14:paraId="28C65573">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2）在本地注册成立的；</w:t>
            </w:r>
          </w:p>
          <w:p w14:paraId="548D105A">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3）承诺成交即设立本地化服务机构。</w:t>
            </w:r>
          </w:p>
          <w:p w14:paraId="13722842">
            <w:pPr>
              <w:spacing w:line="500" w:lineRule="exact"/>
              <w:rPr>
                <w:rFonts w:hint="eastAsia" w:ascii="宋体" w:hAnsi="宋体" w:eastAsia="宋体" w:cs="宋体"/>
                <w:b/>
                <w:color w:val="000000"/>
                <w:sz w:val="24"/>
                <w:szCs w:val="24"/>
              </w:rPr>
            </w:pPr>
            <w:r>
              <w:rPr>
                <w:rFonts w:hint="eastAsia" w:ascii="宋体" w:hAnsi="宋体" w:eastAsia="宋体" w:cs="宋体"/>
                <w:color w:val="000000"/>
                <w:sz w:val="24"/>
                <w:szCs w:val="24"/>
              </w:rPr>
              <w:t>备注：“本地”系指： 合肥市</w:t>
            </w:r>
          </w:p>
        </w:tc>
      </w:tr>
      <w:tr w14:paraId="4B06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39D89F27">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21</w:t>
            </w:r>
          </w:p>
        </w:tc>
        <w:tc>
          <w:tcPr>
            <w:tcW w:w="1447" w:type="dxa"/>
            <w:vAlign w:val="center"/>
          </w:tcPr>
          <w:p w14:paraId="0814F11A">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7223" w:type="dxa"/>
            <w:vAlign w:val="center"/>
          </w:tcPr>
          <w:p w14:paraId="5C18446F">
            <w:pPr>
              <w:rPr>
                <w:rFonts w:hint="eastAsia" w:ascii="宋体" w:hAnsi="宋体" w:eastAsia="宋体" w:cs="宋体"/>
                <w:color w:val="000000"/>
                <w:sz w:val="24"/>
                <w:szCs w:val="24"/>
                <w:highlight w:val="yellow"/>
              </w:rPr>
            </w:pPr>
            <w:r>
              <w:rPr>
                <w:rFonts w:hint="eastAsia" w:ascii="宋体" w:hAnsi="宋体" w:eastAsia="宋体" w:cs="宋体"/>
                <w:sz w:val="24"/>
                <w:szCs w:val="24"/>
              </w:rPr>
              <w:t>有用友NC系统实施开发维护案例</w:t>
            </w:r>
          </w:p>
        </w:tc>
      </w:tr>
      <w:tr w14:paraId="68714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4821C30E">
            <w:pPr>
              <w:spacing w:line="500" w:lineRule="exact"/>
              <w:rPr>
                <w:rFonts w:hint="eastAsia" w:ascii="宋体" w:hAnsi="宋体" w:eastAsia="宋体" w:cs="宋体"/>
                <w:color w:val="000000"/>
                <w:sz w:val="24"/>
                <w:szCs w:val="24"/>
              </w:rPr>
            </w:pPr>
            <w:r>
              <w:rPr>
                <w:rFonts w:hint="eastAsia" w:ascii="宋体" w:hAnsi="宋体" w:eastAsia="宋体" w:cs="宋体"/>
                <w:color w:val="000000"/>
                <w:sz w:val="24"/>
                <w:szCs w:val="24"/>
              </w:rPr>
              <w:t>22</w:t>
            </w:r>
          </w:p>
        </w:tc>
        <w:tc>
          <w:tcPr>
            <w:tcW w:w="1447" w:type="dxa"/>
            <w:vAlign w:val="center"/>
          </w:tcPr>
          <w:p w14:paraId="5FBDF653">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7223" w:type="dxa"/>
            <w:vAlign w:val="center"/>
          </w:tcPr>
          <w:p w14:paraId="053E6B1F">
            <w:pPr>
              <w:rPr>
                <w:rFonts w:hint="eastAsia" w:ascii="宋体" w:hAnsi="宋体" w:eastAsia="宋体" w:cs="宋体"/>
                <w:color w:val="000000"/>
                <w:sz w:val="24"/>
                <w:szCs w:val="24"/>
                <w:highlight w:val="yellow"/>
              </w:rPr>
            </w:pPr>
            <w:r>
              <w:rPr>
                <w:rFonts w:hint="eastAsia" w:ascii="宋体" w:hAnsi="宋体" w:eastAsia="宋体" w:cs="宋体"/>
                <w:sz w:val="24"/>
                <w:szCs w:val="24"/>
              </w:rPr>
              <w:t>无</w:t>
            </w:r>
          </w:p>
        </w:tc>
      </w:tr>
    </w:tbl>
    <w:p w14:paraId="280CE103">
      <w:pPr>
        <w:rPr>
          <w:rFonts w:hint="eastAsia" w:ascii="宋体" w:hAnsi="宋体" w:eastAsia="宋体" w:cs="宋体"/>
          <w:sz w:val="24"/>
          <w:szCs w:val="24"/>
        </w:rPr>
      </w:pPr>
    </w:p>
    <w:p w14:paraId="007EDA07">
      <w:pPr>
        <w:rPr>
          <w:rFonts w:hint="eastAsia" w:ascii="宋体" w:hAnsi="宋体" w:eastAsia="宋体" w:cs="宋体"/>
          <w:b/>
          <w:bCs/>
          <w:color w:val="000000"/>
          <w:sz w:val="24"/>
          <w:szCs w:val="24"/>
          <w:highlight w:val="none"/>
        </w:rPr>
      </w:pPr>
    </w:p>
    <w:p w14:paraId="453145F0">
      <w:pPr>
        <w:numPr>
          <w:ilvl w:val="0"/>
          <w:numId w:val="0"/>
        </w:numPr>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第一条：</w:t>
      </w:r>
      <w:r>
        <w:rPr>
          <w:rFonts w:hint="eastAsia" w:ascii="宋体" w:hAnsi="宋体" w:eastAsia="宋体" w:cs="宋体"/>
          <w:b/>
          <w:bCs/>
          <w:color w:val="000000"/>
          <w:sz w:val="24"/>
          <w:szCs w:val="24"/>
          <w:highlight w:val="none"/>
        </w:rPr>
        <w:t>清单</w:t>
      </w:r>
    </w:p>
    <w:p w14:paraId="4F8951C6">
      <w:pPr>
        <w:rPr>
          <w:rFonts w:hint="eastAsia" w:ascii="宋体" w:hAnsi="宋体" w:eastAsia="宋体" w:cs="宋体"/>
          <w:b/>
          <w:bCs/>
          <w:color w:val="000000"/>
          <w:sz w:val="24"/>
          <w:szCs w:val="24"/>
          <w:highlight w:val="none"/>
        </w:rPr>
      </w:pPr>
    </w:p>
    <w:tbl>
      <w:tblPr>
        <w:tblStyle w:val="19"/>
        <w:tblW w:w="9302" w:type="dxa"/>
        <w:tblInd w:w="-22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5"/>
        <w:gridCol w:w="957"/>
        <w:gridCol w:w="3405"/>
        <w:gridCol w:w="1718"/>
        <w:gridCol w:w="1102"/>
        <w:gridCol w:w="1395"/>
      </w:tblGrid>
      <w:tr w14:paraId="0B06C2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725" w:type="dxa"/>
            <w:vAlign w:val="center"/>
          </w:tcPr>
          <w:p w14:paraId="5E0A1F2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序号</w:t>
            </w:r>
          </w:p>
        </w:tc>
        <w:tc>
          <w:tcPr>
            <w:tcW w:w="957" w:type="dxa"/>
            <w:vAlign w:val="center"/>
          </w:tcPr>
          <w:p w14:paraId="79732FD7">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名称</w:t>
            </w:r>
          </w:p>
        </w:tc>
        <w:tc>
          <w:tcPr>
            <w:tcW w:w="3405" w:type="dxa"/>
            <w:vAlign w:val="center"/>
          </w:tcPr>
          <w:p w14:paraId="69576EF1">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主要技术参数</w:t>
            </w:r>
          </w:p>
        </w:tc>
        <w:tc>
          <w:tcPr>
            <w:tcW w:w="1718" w:type="dxa"/>
            <w:vAlign w:val="center"/>
          </w:tcPr>
          <w:p w14:paraId="3FD6E38D">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控制单价（元）</w:t>
            </w:r>
          </w:p>
        </w:tc>
        <w:tc>
          <w:tcPr>
            <w:tcW w:w="1102" w:type="dxa"/>
            <w:vAlign w:val="center"/>
          </w:tcPr>
          <w:p w14:paraId="6A1DC1D8">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暂估量</w:t>
            </w:r>
          </w:p>
        </w:tc>
        <w:tc>
          <w:tcPr>
            <w:tcW w:w="1395" w:type="dxa"/>
            <w:vAlign w:val="center"/>
          </w:tcPr>
          <w:p w14:paraId="143C2E94">
            <w:pPr>
              <w:spacing w:line="44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合计（元）</w:t>
            </w:r>
          </w:p>
        </w:tc>
      </w:tr>
      <w:tr w14:paraId="59393F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5" w:hRule="atLeast"/>
        </w:trPr>
        <w:tc>
          <w:tcPr>
            <w:tcW w:w="725" w:type="dxa"/>
            <w:tcBorders>
              <w:bottom w:val="single" w:color="auto" w:sz="4" w:space="0"/>
            </w:tcBorders>
            <w:vAlign w:val="center"/>
          </w:tcPr>
          <w:p w14:paraId="5DB7E911">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957" w:type="dxa"/>
            <w:tcBorders>
              <w:bottom w:val="single" w:color="auto" w:sz="4" w:space="0"/>
            </w:tcBorders>
            <w:vAlign w:val="center"/>
          </w:tcPr>
          <w:p w14:paraId="422A7AC6">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数据生成凭证</w:t>
            </w:r>
          </w:p>
        </w:tc>
        <w:tc>
          <w:tcPr>
            <w:tcW w:w="3405" w:type="dxa"/>
            <w:tcBorders>
              <w:bottom w:val="single" w:color="auto" w:sz="4" w:space="0"/>
            </w:tcBorders>
            <w:vAlign w:val="center"/>
          </w:tcPr>
          <w:p w14:paraId="6C31FE16">
            <w:pPr>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水费业务、电费业务、收入业务、收入结转、成本结转5种EXCEL数据</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2家公司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自动生成凭证</w:t>
            </w:r>
            <w:r>
              <w:rPr>
                <w:rFonts w:hint="eastAsia" w:ascii="宋体" w:hAnsi="宋体" w:eastAsia="宋体" w:cs="宋体"/>
                <w:sz w:val="24"/>
                <w:szCs w:val="24"/>
                <w:highlight w:val="none"/>
                <w:lang w:eastAsia="zh-CN"/>
              </w:rPr>
              <w:t>。</w:t>
            </w:r>
          </w:p>
        </w:tc>
        <w:tc>
          <w:tcPr>
            <w:tcW w:w="1718" w:type="dxa"/>
            <w:tcBorders>
              <w:bottom w:val="single" w:color="auto" w:sz="4" w:space="0"/>
            </w:tcBorders>
            <w:vAlign w:val="center"/>
          </w:tcPr>
          <w:p w14:paraId="7B4BCFB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40000</w:t>
            </w:r>
          </w:p>
        </w:tc>
        <w:tc>
          <w:tcPr>
            <w:tcW w:w="1102" w:type="dxa"/>
            <w:tcBorders>
              <w:bottom w:val="single" w:color="auto" w:sz="4" w:space="0"/>
            </w:tcBorders>
            <w:vAlign w:val="center"/>
          </w:tcPr>
          <w:p w14:paraId="7CCA3CE4">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95" w:type="dxa"/>
            <w:tcBorders>
              <w:bottom w:val="single" w:color="auto" w:sz="4" w:space="0"/>
            </w:tcBorders>
            <w:vAlign w:val="center"/>
          </w:tcPr>
          <w:p w14:paraId="49DDEA52">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40000</w:t>
            </w:r>
          </w:p>
        </w:tc>
      </w:tr>
      <w:tr w14:paraId="54A81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35" w:hRule="atLeast"/>
        </w:trPr>
        <w:tc>
          <w:tcPr>
            <w:tcW w:w="725" w:type="dxa"/>
            <w:tcBorders>
              <w:top w:val="single" w:color="auto" w:sz="4" w:space="0"/>
            </w:tcBorders>
            <w:vAlign w:val="center"/>
          </w:tcPr>
          <w:p w14:paraId="3A4A2F2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957" w:type="dxa"/>
            <w:tcBorders>
              <w:top w:val="single" w:color="auto" w:sz="4" w:space="0"/>
            </w:tcBorders>
            <w:vAlign w:val="center"/>
          </w:tcPr>
          <w:p w14:paraId="7329A99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报表开发</w:t>
            </w:r>
          </w:p>
        </w:tc>
        <w:tc>
          <w:tcPr>
            <w:tcW w:w="3405" w:type="dxa"/>
            <w:tcBorders>
              <w:top w:val="single" w:color="auto" w:sz="4" w:space="0"/>
            </w:tcBorders>
            <w:vAlign w:val="center"/>
          </w:tcPr>
          <w:p w14:paraId="28DA9F37">
            <w:pPr>
              <w:spacing w:line="440" w:lineRule="exact"/>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香怡园林</w:t>
            </w:r>
            <w:r>
              <w:rPr>
                <w:rFonts w:hint="eastAsia" w:ascii="宋体" w:hAnsi="宋体" w:eastAsia="宋体" w:cs="宋体"/>
                <w:sz w:val="24"/>
                <w:szCs w:val="24"/>
                <w:highlight w:val="none"/>
              </w:rPr>
              <w:t>收入成本表</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公用</w:t>
            </w:r>
            <w:r>
              <w:rPr>
                <w:rFonts w:hint="eastAsia" w:ascii="宋体" w:hAnsi="宋体" w:eastAsia="宋体" w:cs="宋体"/>
                <w:sz w:val="24"/>
                <w:szCs w:val="24"/>
                <w:highlight w:val="none"/>
                <w:lang w:val="en-US" w:eastAsia="zh-CN"/>
              </w:rPr>
              <w:t>公司</w:t>
            </w:r>
            <w:r>
              <w:rPr>
                <w:rFonts w:hint="eastAsia" w:ascii="宋体" w:hAnsi="宋体" w:eastAsia="宋体" w:cs="宋体"/>
                <w:sz w:val="24"/>
                <w:szCs w:val="24"/>
                <w:highlight w:val="none"/>
              </w:rPr>
              <w:t>收入成本表、费用表、工程收入成本表</w:t>
            </w:r>
            <w:r>
              <w:rPr>
                <w:rFonts w:hint="eastAsia" w:ascii="宋体" w:hAnsi="宋体" w:eastAsia="宋体" w:cs="宋体"/>
                <w:sz w:val="24"/>
                <w:szCs w:val="24"/>
                <w:highlight w:val="none"/>
                <w:lang w:eastAsia="zh-CN"/>
              </w:rPr>
              <w:t>。</w:t>
            </w:r>
          </w:p>
        </w:tc>
        <w:tc>
          <w:tcPr>
            <w:tcW w:w="1718" w:type="dxa"/>
            <w:tcBorders>
              <w:top w:val="single" w:color="auto" w:sz="4" w:space="0"/>
            </w:tcBorders>
            <w:vAlign w:val="center"/>
          </w:tcPr>
          <w:p w14:paraId="5E38C1C3">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20000</w:t>
            </w:r>
          </w:p>
        </w:tc>
        <w:tc>
          <w:tcPr>
            <w:tcW w:w="1102" w:type="dxa"/>
            <w:tcBorders>
              <w:top w:val="single" w:color="auto" w:sz="4" w:space="0"/>
            </w:tcBorders>
            <w:vAlign w:val="center"/>
          </w:tcPr>
          <w:p w14:paraId="79A08087">
            <w:pPr>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395" w:type="dxa"/>
            <w:tcBorders>
              <w:top w:val="single" w:color="auto" w:sz="4" w:space="0"/>
            </w:tcBorders>
            <w:vAlign w:val="center"/>
          </w:tcPr>
          <w:p w14:paraId="61EEFE66">
            <w:pPr>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20000</w:t>
            </w:r>
          </w:p>
        </w:tc>
      </w:tr>
    </w:tbl>
    <w:p w14:paraId="7EB31342">
      <w:pPr>
        <w:spacing w:line="440" w:lineRule="exact"/>
        <w:rPr>
          <w:rFonts w:hint="eastAsia" w:ascii="宋体" w:hAnsi="宋体" w:eastAsia="宋体" w:cs="宋体"/>
          <w:bCs/>
          <w:sz w:val="24"/>
          <w:szCs w:val="24"/>
        </w:rPr>
      </w:pPr>
    </w:p>
    <w:p w14:paraId="2A2DAAC4">
      <w:pPr>
        <w:numPr>
          <w:ilvl w:val="0"/>
          <w:numId w:val="0"/>
        </w:numPr>
        <w:spacing w:line="440" w:lineRule="exact"/>
        <w:rPr>
          <w:rFonts w:hint="eastAsia" w:ascii="宋体" w:hAnsi="宋体" w:eastAsia="宋体" w:cs="宋体"/>
          <w:bCs/>
          <w:sz w:val="24"/>
          <w:szCs w:val="24"/>
        </w:rPr>
      </w:pPr>
      <w:r>
        <w:rPr>
          <w:rFonts w:hint="eastAsia" w:ascii="宋体" w:hAnsi="宋体" w:eastAsia="宋体" w:cs="宋体"/>
          <w:b/>
          <w:sz w:val="24"/>
          <w:szCs w:val="24"/>
          <w:lang w:val="en-US" w:eastAsia="zh-CN"/>
        </w:rPr>
        <w:t>第二条：</w:t>
      </w:r>
      <w:r>
        <w:rPr>
          <w:rFonts w:hint="eastAsia" w:ascii="宋体" w:hAnsi="宋体" w:eastAsia="宋体" w:cs="宋体"/>
          <w:b/>
          <w:sz w:val="24"/>
          <w:szCs w:val="24"/>
        </w:rPr>
        <w:t>技术指标要求</w:t>
      </w:r>
    </w:p>
    <w:p w14:paraId="23152C15">
      <w:pPr>
        <w:spacing w:line="440" w:lineRule="exact"/>
        <w:rPr>
          <w:rFonts w:hint="eastAsia" w:ascii="宋体" w:hAnsi="宋体" w:eastAsia="宋体" w:cs="宋体"/>
          <w:bCs/>
          <w:sz w:val="24"/>
          <w:szCs w:val="24"/>
        </w:rPr>
      </w:pPr>
      <w:r>
        <w:rPr>
          <w:rFonts w:hint="eastAsia" w:ascii="宋体" w:hAnsi="宋体" w:eastAsia="宋体" w:cs="宋体"/>
          <w:bCs/>
          <w:sz w:val="24"/>
          <w:szCs w:val="24"/>
        </w:rPr>
        <w:t>1.梳理业务事项及数据来源。</w:t>
      </w:r>
    </w:p>
    <w:p w14:paraId="4CAD5366">
      <w:pPr>
        <w:spacing w:line="440" w:lineRule="exact"/>
        <w:rPr>
          <w:rFonts w:hint="eastAsia" w:ascii="宋体" w:hAnsi="宋体" w:eastAsia="宋体" w:cs="宋体"/>
          <w:bCs/>
          <w:sz w:val="24"/>
          <w:szCs w:val="24"/>
        </w:rPr>
      </w:pPr>
      <w:r>
        <w:rPr>
          <w:rFonts w:hint="eastAsia" w:ascii="宋体" w:hAnsi="宋体" w:eastAsia="宋体" w:cs="宋体"/>
          <w:bCs/>
          <w:sz w:val="24"/>
          <w:szCs w:val="24"/>
        </w:rPr>
        <w:t>2.确定各项业务的字段内容。</w:t>
      </w:r>
    </w:p>
    <w:p w14:paraId="0079A7EA">
      <w:pPr>
        <w:spacing w:line="440" w:lineRule="exact"/>
        <w:rPr>
          <w:rFonts w:hint="eastAsia" w:ascii="宋体" w:hAnsi="宋体" w:eastAsia="宋体" w:cs="宋体"/>
          <w:bCs/>
          <w:sz w:val="24"/>
          <w:szCs w:val="24"/>
        </w:rPr>
      </w:pPr>
      <w:r>
        <w:rPr>
          <w:rFonts w:hint="eastAsia" w:ascii="宋体" w:hAnsi="宋体" w:eastAsia="宋体" w:cs="宋体"/>
          <w:bCs/>
          <w:sz w:val="24"/>
          <w:szCs w:val="24"/>
        </w:rPr>
        <w:t>3.开发业务数据接入财务系统功能。</w:t>
      </w:r>
    </w:p>
    <w:p w14:paraId="5932C2F0">
      <w:pPr>
        <w:spacing w:line="440" w:lineRule="exact"/>
        <w:rPr>
          <w:rFonts w:hint="eastAsia" w:ascii="宋体" w:hAnsi="宋体" w:eastAsia="宋体" w:cs="宋体"/>
          <w:bCs/>
          <w:sz w:val="24"/>
          <w:szCs w:val="24"/>
        </w:rPr>
      </w:pPr>
      <w:r>
        <w:rPr>
          <w:rFonts w:hint="eastAsia" w:ascii="宋体" w:hAnsi="宋体" w:eastAsia="宋体" w:cs="宋体"/>
          <w:bCs/>
          <w:sz w:val="24"/>
          <w:szCs w:val="24"/>
        </w:rPr>
        <w:t>4.接入各项业务数据，并对基本档案及数据内容不合规的进行提示。</w:t>
      </w:r>
    </w:p>
    <w:p w14:paraId="2EB61115">
      <w:pPr>
        <w:spacing w:line="440" w:lineRule="exact"/>
        <w:rPr>
          <w:rFonts w:hint="eastAsia" w:ascii="宋体" w:hAnsi="宋体" w:eastAsia="宋体" w:cs="宋体"/>
          <w:bCs/>
          <w:sz w:val="24"/>
          <w:szCs w:val="24"/>
        </w:rPr>
      </w:pPr>
      <w:r>
        <w:rPr>
          <w:rFonts w:hint="eastAsia" w:ascii="宋体" w:hAnsi="宋体" w:eastAsia="宋体" w:cs="宋体"/>
          <w:bCs/>
          <w:sz w:val="24"/>
          <w:szCs w:val="24"/>
        </w:rPr>
        <w:t>5.对各项接入的业务数据自动提交并完成审批。</w:t>
      </w:r>
    </w:p>
    <w:p w14:paraId="5093EEBA">
      <w:pPr>
        <w:spacing w:line="440" w:lineRule="exact"/>
        <w:rPr>
          <w:rFonts w:hint="eastAsia" w:ascii="宋体" w:hAnsi="宋体" w:eastAsia="宋体" w:cs="宋体"/>
          <w:bCs/>
          <w:sz w:val="24"/>
          <w:szCs w:val="24"/>
        </w:rPr>
      </w:pPr>
      <w:r>
        <w:rPr>
          <w:rFonts w:hint="eastAsia" w:ascii="宋体" w:hAnsi="宋体" w:eastAsia="宋体" w:cs="宋体"/>
          <w:bCs/>
          <w:sz w:val="24"/>
          <w:szCs w:val="24"/>
        </w:rPr>
        <w:t>6.定义各业务事项的财务凭证关联关系，设置对照表。</w:t>
      </w:r>
    </w:p>
    <w:p w14:paraId="2EAC097C">
      <w:pPr>
        <w:spacing w:line="440" w:lineRule="exact"/>
        <w:rPr>
          <w:rFonts w:hint="eastAsia" w:ascii="宋体" w:hAnsi="宋体" w:eastAsia="宋体" w:cs="宋体"/>
          <w:bCs/>
          <w:sz w:val="24"/>
          <w:szCs w:val="24"/>
        </w:rPr>
      </w:pPr>
      <w:r>
        <w:rPr>
          <w:rFonts w:hint="eastAsia" w:ascii="宋体" w:hAnsi="宋体" w:eastAsia="宋体" w:cs="宋体"/>
          <w:bCs/>
          <w:sz w:val="24"/>
          <w:szCs w:val="24"/>
        </w:rPr>
        <w:t>7.进行财务凭证的自动触发生成。</w:t>
      </w:r>
    </w:p>
    <w:p w14:paraId="42A9E71F">
      <w:pPr>
        <w:spacing w:line="440" w:lineRule="exact"/>
        <w:rPr>
          <w:rFonts w:hint="eastAsia" w:ascii="宋体" w:hAnsi="宋体" w:eastAsia="宋体" w:cs="宋体"/>
          <w:bCs/>
          <w:sz w:val="24"/>
          <w:szCs w:val="24"/>
        </w:rPr>
      </w:pPr>
      <w:r>
        <w:rPr>
          <w:rFonts w:hint="eastAsia" w:ascii="宋体" w:hAnsi="宋体" w:eastAsia="宋体" w:cs="宋体"/>
          <w:bCs/>
          <w:sz w:val="24"/>
          <w:szCs w:val="24"/>
        </w:rPr>
        <w:t>8.开发定义相关报表。</w:t>
      </w:r>
    </w:p>
    <w:p w14:paraId="5B23687E">
      <w:pPr>
        <w:spacing w:line="440" w:lineRule="exact"/>
        <w:rPr>
          <w:rFonts w:hint="eastAsia" w:ascii="宋体" w:hAnsi="宋体" w:eastAsia="宋体" w:cs="宋体"/>
          <w:bCs/>
          <w:sz w:val="24"/>
          <w:szCs w:val="24"/>
        </w:rPr>
      </w:pPr>
      <w:r>
        <w:rPr>
          <w:rFonts w:hint="eastAsia" w:ascii="宋体" w:hAnsi="宋体" w:eastAsia="宋体" w:cs="宋体"/>
          <w:bCs/>
          <w:sz w:val="24"/>
          <w:szCs w:val="24"/>
        </w:rPr>
        <w:t>9.开发定义业务事项的上家与下家关系，并出具往来的执行情况。</w:t>
      </w:r>
    </w:p>
    <w:p w14:paraId="75A139D8">
      <w:pPr>
        <w:spacing w:line="440" w:lineRule="exact"/>
        <w:rPr>
          <w:rFonts w:hint="eastAsia" w:ascii="宋体" w:hAnsi="宋体" w:eastAsia="宋体" w:cs="宋体"/>
          <w:b/>
          <w:sz w:val="24"/>
          <w:szCs w:val="24"/>
        </w:rPr>
      </w:pPr>
      <w:r>
        <w:rPr>
          <w:rFonts w:hint="eastAsia" w:ascii="宋体" w:hAnsi="宋体" w:eastAsia="宋体" w:cs="宋体"/>
          <w:b/>
          <w:sz w:val="24"/>
          <w:szCs w:val="24"/>
        </w:rPr>
        <w:t>第三条：质量保证</w:t>
      </w:r>
    </w:p>
    <w:p w14:paraId="6A791657">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保证系统正常运行</w:t>
      </w:r>
    </w:p>
    <w:p w14:paraId="7A5AD05E">
      <w:pPr>
        <w:spacing w:line="440" w:lineRule="exact"/>
        <w:rPr>
          <w:rFonts w:hint="eastAsia" w:ascii="宋体" w:hAnsi="宋体" w:eastAsia="宋体" w:cs="宋体"/>
          <w:b/>
          <w:sz w:val="24"/>
          <w:szCs w:val="24"/>
        </w:rPr>
      </w:pPr>
      <w:r>
        <w:rPr>
          <w:rFonts w:hint="eastAsia" w:ascii="宋体" w:hAnsi="宋体" w:eastAsia="宋体" w:cs="宋体"/>
          <w:b/>
          <w:sz w:val="24"/>
          <w:szCs w:val="24"/>
        </w:rPr>
        <w:t>第四条：交货时间、交货方法、运输方式、到货地点</w:t>
      </w:r>
    </w:p>
    <w:p w14:paraId="3D0582A0">
      <w:pPr>
        <w:spacing w:line="440" w:lineRule="exact"/>
        <w:ind w:firstLine="480" w:firstLineChars="200"/>
        <w:rPr>
          <w:rFonts w:hint="eastAsia" w:ascii="宋体" w:hAnsi="宋体" w:eastAsia="宋体" w:cs="宋体"/>
          <w:bCs/>
          <w:sz w:val="24"/>
          <w:szCs w:val="24"/>
        </w:rPr>
      </w:pPr>
      <w:r>
        <w:rPr>
          <w:rFonts w:hint="eastAsia" w:ascii="宋体" w:hAnsi="宋体" w:eastAsia="宋体" w:cs="宋体"/>
          <w:bCs/>
          <w:sz w:val="24"/>
          <w:szCs w:val="24"/>
        </w:rPr>
        <w:t>采购完成后一个月内交货、派遣专业人员到公用公司及子公司现场指导工作人员使用软件、现场完成软件交付使用。</w:t>
      </w:r>
    </w:p>
    <w:p w14:paraId="3E0BC8DE">
      <w:pPr>
        <w:spacing w:line="440" w:lineRule="exact"/>
        <w:rPr>
          <w:rFonts w:hint="eastAsia" w:ascii="宋体" w:hAnsi="宋体" w:eastAsia="宋体" w:cs="宋体"/>
          <w:b/>
          <w:sz w:val="24"/>
          <w:szCs w:val="24"/>
        </w:rPr>
      </w:pPr>
      <w:r>
        <w:rPr>
          <w:rFonts w:hint="eastAsia" w:ascii="宋体" w:hAnsi="宋体" w:eastAsia="宋体" w:cs="宋体"/>
          <w:b/>
          <w:sz w:val="24"/>
          <w:szCs w:val="24"/>
        </w:rPr>
        <w:t>第五条：售后服务</w:t>
      </w:r>
    </w:p>
    <w:p w14:paraId="3FAC01A9">
      <w:pPr>
        <w:pStyle w:val="18"/>
        <w:ind w:left="0" w:leftChars="0" w:firstLine="480" w:firstLineChars="200"/>
        <w:rPr>
          <w:rFonts w:hint="eastAsia" w:ascii="宋体" w:hAnsi="宋体" w:eastAsia="宋体" w:cs="宋体"/>
          <w:bCs/>
          <w:sz w:val="24"/>
          <w:szCs w:val="24"/>
        </w:rPr>
      </w:pPr>
      <w:r>
        <w:rPr>
          <w:rFonts w:hint="eastAsia" w:ascii="宋体" w:hAnsi="宋体" w:eastAsia="宋体" w:cs="宋体"/>
          <w:bCs/>
          <w:sz w:val="24"/>
          <w:szCs w:val="24"/>
        </w:rPr>
        <w:t>在软件运营期间提供售后服务工作</w:t>
      </w:r>
    </w:p>
    <w:p w14:paraId="3D9329C3">
      <w:pPr>
        <w:spacing w:line="440" w:lineRule="exact"/>
        <w:rPr>
          <w:rFonts w:hint="eastAsia" w:ascii="宋体" w:hAnsi="宋体" w:eastAsia="宋体" w:cs="宋体"/>
          <w:b/>
          <w:sz w:val="24"/>
          <w:szCs w:val="24"/>
        </w:rPr>
      </w:pPr>
      <w:r>
        <w:rPr>
          <w:rFonts w:hint="eastAsia" w:ascii="宋体" w:hAnsi="宋体" w:eastAsia="宋体" w:cs="宋体"/>
          <w:b/>
          <w:sz w:val="24"/>
          <w:szCs w:val="24"/>
        </w:rPr>
        <w:t>第六条：验收</w:t>
      </w:r>
    </w:p>
    <w:p w14:paraId="73688D8A">
      <w:pPr>
        <w:pStyle w:val="18"/>
        <w:ind w:left="0" w:firstLine="480" w:firstLineChars="200"/>
        <w:rPr>
          <w:rFonts w:hint="eastAsia" w:ascii="宋体" w:hAnsi="宋体" w:eastAsia="宋体" w:cs="宋体"/>
          <w:bCs/>
          <w:sz w:val="24"/>
          <w:szCs w:val="24"/>
        </w:rPr>
      </w:pPr>
      <w:r>
        <w:rPr>
          <w:rFonts w:hint="eastAsia" w:ascii="宋体" w:hAnsi="宋体" w:eastAsia="宋体" w:cs="宋体"/>
          <w:bCs/>
          <w:sz w:val="24"/>
          <w:szCs w:val="24"/>
        </w:rPr>
        <w:t>现场正常运营后确认验收</w:t>
      </w:r>
    </w:p>
    <w:p w14:paraId="0FFD7E4F">
      <w:pPr>
        <w:spacing w:line="440" w:lineRule="exact"/>
        <w:rPr>
          <w:rFonts w:hint="eastAsia" w:ascii="宋体" w:hAnsi="宋体" w:eastAsia="宋体" w:cs="宋体"/>
          <w:b/>
          <w:sz w:val="24"/>
          <w:szCs w:val="24"/>
        </w:rPr>
      </w:pPr>
      <w:r>
        <w:rPr>
          <w:rFonts w:hint="eastAsia" w:ascii="宋体" w:hAnsi="宋体" w:eastAsia="宋体" w:cs="宋体"/>
          <w:b/>
          <w:sz w:val="24"/>
          <w:szCs w:val="24"/>
        </w:rPr>
        <w:t>第七条：质量保证及责任</w:t>
      </w:r>
    </w:p>
    <w:p w14:paraId="6CE56C72">
      <w:pPr>
        <w:pStyle w:val="18"/>
        <w:ind w:left="0" w:firstLine="480" w:firstLineChars="200"/>
        <w:rPr>
          <w:rFonts w:ascii="宋体" w:eastAsia="宋体"/>
          <w:bCs/>
          <w:sz w:val="24"/>
        </w:rPr>
      </w:pPr>
      <w:r>
        <w:rPr>
          <w:rFonts w:hint="eastAsia" w:ascii="宋体" w:hAnsi="宋体" w:eastAsia="宋体" w:cs="宋体"/>
          <w:bCs/>
          <w:sz w:val="24"/>
          <w:szCs w:val="24"/>
        </w:rPr>
        <w:t>保证软件正常运营，保障数据准确性，对数据内容保密。</w:t>
      </w:r>
    </w:p>
    <w:p w14:paraId="213F716C">
      <w:pPr>
        <w:spacing w:line="560" w:lineRule="exact"/>
        <w:jc w:val="center"/>
        <w:rPr>
          <w:rFonts w:hint="eastAsia" w:cs="仿宋" w:asciiTheme="majorEastAsia" w:hAnsiTheme="majorEastAsia" w:eastAsiaTheme="majorEastAsia"/>
          <w:b/>
          <w:sz w:val="44"/>
          <w:szCs w:val="44"/>
        </w:rPr>
      </w:pPr>
      <w:r>
        <w:rPr>
          <w:rFonts w:hint="eastAsia" w:cs="仿宋" w:asciiTheme="majorEastAsia" w:hAnsiTheme="majorEastAsia" w:eastAsiaTheme="majorEastAsia"/>
          <w:b/>
          <w:sz w:val="44"/>
          <w:szCs w:val="44"/>
        </w:rPr>
        <w:t>评分标准表</w:t>
      </w:r>
    </w:p>
    <w:tbl>
      <w:tblPr>
        <w:tblStyle w:val="19"/>
        <w:tblW w:w="100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00"/>
        <w:gridCol w:w="8507"/>
      </w:tblGrid>
      <w:tr w14:paraId="4B276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3C6519D5">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指标</w:t>
            </w:r>
          </w:p>
        </w:tc>
        <w:tc>
          <w:tcPr>
            <w:tcW w:w="800" w:type="dxa"/>
            <w:tcBorders>
              <w:top w:val="single" w:color="auto" w:sz="4" w:space="0"/>
              <w:left w:val="single" w:color="auto" w:sz="4" w:space="0"/>
              <w:bottom w:val="single" w:color="auto" w:sz="4" w:space="0"/>
              <w:right w:val="single" w:color="auto" w:sz="4" w:space="0"/>
            </w:tcBorders>
            <w:vAlign w:val="center"/>
          </w:tcPr>
          <w:p w14:paraId="025D1D8E">
            <w:pPr>
              <w:jc w:val="center"/>
              <w:rPr>
                <w:rFonts w:hint="eastAsia" w:ascii="宋体" w:hAnsi="宋体" w:cs="宋体"/>
                <w:b/>
                <w:color w:val="auto"/>
                <w:sz w:val="28"/>
                <w:szCs w:val="28"/>
              </w:rPr>
            </w:pPr>
            <w:r>
              <w:rPr>
                <w:rFonts w:hint="eastAsia" w:ascii="宋体" w:hAnsi="宋体" w:cs="宋体"/>
                <w:b/>
                <w:color w:val="auto"/>
                <w:sz w:val="28"/>
                <w:szCs w:val="28"/>
              </w:rPr>
              <w:t>评审分值</w:t>
            </w:r>
          </w:p>
        </w:tc>
        <w:tc>
          <w:tcPr>
            <w:tcW w:w="8507" w:type="dxa"/>
            <w:tcBorders>
              <w:top w:val="single" w:color="auto" w:sz="4" w:space="0"/>
              <w:left w:val="single" w:color="auto" w:sz="4" w:space="0"/>
              <w:bottom w:val="single" w:color="auto" w:sz="4" w:space="0"/>
              <w:right w:val="single" w:color="auto" w:sz="4" w:space="0"/>
            </w:tcBorders>
            <w:vAlign w:val="center"/>
          </w:tcPr>
          <w:p w14:paraId="48D7E12D">
            <w:pPr>
              <w:spacing w:line="360" w:lineRule="auto"/>
              <w:jc w:val="center"/>
              <w:rPr>
                <w:rFonts w:hint="eastAsia" w:ascii="宋体" w:hAnsi="宋体" w:cs="宋体"/>
                <w:b/>
                <w:color w:val="auto"/>
                <w:sz w:val="28"/>
                <w:szCs w:val="28"/>
              </w:rPr>
            </w:pPr>
            <w:r>
              <w:rPr>
                <w:rFonts w:hint="eastAsia" w:ascii="宋体" w:hAnsi="宋体" w:cs="宋体"/>
                <w:b/>
                <w:color w:val="auto"/>
                <w:sz w:val="28"/>
                <w:szCs w:val="28"/>
              </w:rPr>
              <w:t>评分标准</w:t>
            </w:r>
          </w:p>
        </w:tc>
      </w:tr>
      <w:tr w14:paraId="032F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7512826">
            <w:pPr>
              <w:spacing w:line="360" w:lineRule="auto"/>
              <w:jc w:val="center"/>
              <w:rPr>
                <w:rFonts w:hint="eastAsia" w:ascii="宋体" w:hAnsi="宋体"/>
                <w:color w:val="auto"/>
                <w:sz w:val="24"/>
              </w:rPr>
            </w:pPr>
            <w:r>
              <w:rPr>
                <w:rFonts w:hint="eastAsia" w:ascii="宋体" w:hAnsi="宋体"/>
                <w:color w:val="auto"/>
                <w:sz w:val="24"/>
              </w:rPr>
              <w:t>企业业绩</w:t>
            </w:r>
          </w:p>
        </w:tc>
        <w:tc>
          <w:tcPr>
            <w:tcW w:w="800" w:type="dxa"/>
            <w:tcBorders>
              <w:top w:val="single" w:color="auto" w:sz="4" w:space="0"/>
              <w:left w:val="single" w:color="auto" w:sz="4" w:space="0"/>
              <w:bottom w:val="single" w:color="auto" w:sz="4" w:space="0"/>
              <w:right w:val="single" w:color="auto" w:sz="4" w:space="0"/>
            </w:tcBorders>
            <w:vAlign w:val="center"/>
          </w:tcPr>
          <w:p w14:paraId="755EBDC7">
            <w:pPr>
              <w:spacing w:line="360" w:lineRule="auto"/>
              <w:jc w:val="center"/>
              <w:rPr>
                <w:rFonts w:hint="eastAsia" w:ascii="宋体" w:hAnsi="宋体"/>
                <w:color w:val="auto"/>
                <w:sz w:val="24"/>
              </w:rPr>
            </w:pPr>
            <w:r>
              <w:rPr>
                <w:rFonts w:hint="eastAsia" w:ascii="宋体" w:hAnsi="宋体"/>
                <w:color w:val="auto"/>
                <w:sz w:val="24"/>
              </w:rPr>
              <w:t>25</w:t>
            </w:r>
          </w:p>
        </w:tc>
        <w:tc>
          <w:tcPr>
            <w:tcW w:w="8507" w:type="dxa"/>
            <w:tcBorders>
              <w:top w:val="single" w:color="auto" w:sz="4" w:space="0"/>
              <w:left w:val="single" w:color="auto" w:sz="4" w:space="0"/>
              <w:bottom w:val="single" w:color="auto" w:sz="4" w:space="0"/>
              <w:right w:val="single" w:color="auto" w:sz="4" w:space="0"/>
            </w:tcBorders>
            <w:vAlign w:val="center"/>
          </w:tcPr>
          <w:p w14:paraId="48286E7C">
            <w:pPr>
              <w:spacing w:line="360" w:lineRule="auto"/>
              <w:rPr>
                <w:rFonts w:hint="default" w:ascii="宋体" w:hAnsi="宋体"/>
                <w:color w:val="auto"/>
                <w:sz w:val="24"/>
              </w:rPr>
            </w:pPr>
            <w:r>
              <w:rPr>
                <w:rFonts w:hint="eastAsia" w:ascii="宋体" w:hAnsi="宋体"/>
                <w:color w:val="auto"/>
                <w:sz w:val="24"/>
                <w:lang w:val="en-US" w:eastAsia="zh-CN"/>
              </w:rPr>
              <w:t>1.</w:t>
            </w:r>
            <w:r>
              <w:rPr>
                <w:rFonts w:hint="default" w:ascii="宋体" w:hAnsi="宋体"/>
                <w:color w:val="auto"/>
                <w:sz w:val="24"/>
              </w:rPr>
              <w:t>核心业绩 (20分</w:t>
            </w:r>
            <w:r>
              <w:rPr>
                <w:rFonts w:hint="eastAsia" w:ascii="宋体" w:hAnsi="宋体"/>
                <w:color w:val="auto"/>
                <w:sz w:val="24"/>
                <w:lang w:eastAsia="zh-CN"/>
              </w:rPr>
              <w:t>）</w:t>
            </w:r>
            <w:r>
              <w:rPr>
                <w:rFonts w:hint="default" w:ascii="宋体" w:hAnsi="宋体"/>
                <w:color w:val="auto"/>
                <w:sz w:val="24"/>
              </w:rPr>
              <w:t>：2023年1月1日以来（以合同签订时间为准），承接过“EXCEL数据自动生成财务凭证”或“财务RPA机器人”或“财务数据处理接口”类开发项目的，每提供一个得5分，本小项满分20分。</w:t>
            </w:r>
          </w:p>
          <w:p w14:paraId="51613E8F">
            <w:pPr>
              <w:spacing w:line="360" w:lineRule="auto"/>
              <w:rPr>
                <w:rFonts w:hint="default" w:ascii="宋体" w:hAnsi="宋体"/>
                <w:color w:val="auto"/>
                <w:sz w:val="24"/>
              </w:rPr>
            </w:pPr>
            <w:r>
              <w:rPr>
                <w:rFonts w:hint="eastAsia" w:ascii="宋体" w:hAnsi="宋体"/>
                <w:color w:val="auto"/>
                <w:sz w:val="24"/>
                <w:lang w:val="en-US" w:eastAsia="zh-CN"/>
              </w:rPr>
              <w:t>2.</w:t>
            </w:r>
            <w:r>
              <w:rPr>
                <w:rFonts w:hint="default" w:ascii="宋体" w:hAnsi="宋体"/>
                <w:color w:val="auto"/>
                <w:sz w:val="24"/>
              </w:rPr>
              <w:t>基础业绩 (5分</w:t>
            </w:r>
            <w:r>
              <w:rPr>
                <w:rFonts w:hint="eastAsia" w:ascii="宋体" w:hAnsi="宋体"/>
                <w:color w:val="auto"/>
                <w:sz w:val="24"/>
                <w:lang w:eastAsia="zh-CN"/>
              </w:rPr>
              <w:t>）</w:t>
            </w:r>
            <w:r>
              <w:rPr>
                <w:rFonts w:hint="default" w:ascii="宋体" w:hAnsi="宋体"/>
                <w:color w:val="auto"/>
                <w:sz w:val="24"/>
              </w:rPr>
              <w:t>：承接过“用友NC系统实施、开发或维护”项目的，每提供一个得2.5分，本小项满分5分。</w:t>
            </w:r>
          </w:p>
          <w:p w14:paraId="5C94FC0D">
            <w:pPr>
              <w:spacing w:line="360" w:lineRule="auto"/>
              <w:rPr>
                <w:rFonts w:hint="eastAsia" w:ascii="宋体" w:hAnsi="宋体"/>
                <w:color w:val="auto"/>
                <w:sz w:val="24"/>
              </w:rPr>
            </w:pPr>
            <w:r>
              <w:rPr>
                <w:rFonts w:hint="eastAsia" w:ascii="宋体" w:hAnsi="宋体"/>
                <w:color w:val="auto"/>
                <w:sz w:val="24"/>
              </w:rPr>
              <w:t>注：</w:t>
            </w:r>
            <w:r>
              <w:rPr>
                <w:rFonts w:hint="eastAsia" w:ascii="宋体" w:hAnsi="宋体"/>
                <w:color w:val="auto"/>
                <w:sz w:val="24"/>
                <w:lang w:val="en-US" w:eastAsia="zh-CN"/>
              </w:rPr>
              <w:t>1.</w:t>
            </w:r>
            <w:r>
              <w:rPr>
                <w:rFonts w:hint="eastAsia" w:ascii="宋体" w:hAnsi="宋体"/>
                <w:color w:val="auto"/>
                <w:sz w:val="24"/>
              </w:rPr>
              <w:t>同一项目若同时满足上述两类，可累计计分，但总分不超过25分。</w:t>
            </w:r>
          </w:p>
          <w:p w14:paraId="2775E3C3">
            <w:pPr>
              <w:spacing w:line="360" w:lineRule="auto"/>
              <w:rPr>
                <w:rFonts w:hint="eastAsia" w:ascii="宋体" w:hAnsi="宋体"/>
                <w:color w:val="auto"/>
                <w:sz w:val="24"/>
              </w:rPr>
            </w:pPr>
            <w:r>
              <w:rPr>
                <w:rFonts w:hint="eastAsia" w:ascii="宋体" w:hAnsi="宋体"/>
                <w:color w:val="auto"/>
                <w:sz w:val="24"/>
                <w:lang w:val="en-US" w:eastAsia="zh-CN"/>
              </w:rPr>
              <w:t>2.</w:t>
            </w:r>
            <w:r>
              <w:rPr>
                <w:rFonts w:hint="eastAsia" w:ascii="宋体" w:hAnsi="宋体"/>
                <w:color w:val="auto"/>
                <w:sz w:val="24"/>
              </w:rPr>
              <w:t>响应文件中</w:t>
            </w:r>
            <w:r>
              <w:rPr>
                <w:rFonts w:hint="eastAsia" w:ascii="宋体" w:hAnsi="宋体"/>
                <w:color w:val="auto"/>
                <w:sz w:val="24"/>
                <w:lang w:eastAsia="zh-CN"/>
              </w:rPr>
              <w:t>需</w:t>
            </w:r>
            <w:r>
              <w:rPr>
                <w:rFonts w:hint="eastAsia" w:ascii="宋体" w:hAnsi="宋体"/>
                <w:color w:val="auto"/>
                <w:sz w:val="24"/>
              </w:rPr>
              <w:t>提供项目合同扫描件。合同内容须能体现上述关键词或项目实质内容（如EXCEL、凭证自动生成、NC等），若无法体现，须补充提供加盖业主公章的证明材料，不提供或提供不全的不得分。</w:t>
            </w:r>
          </w:p>
        </w:tc>
      </w:tr>
      <w:tr w14:paraId="0B6B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1F20B374">
            <w:pPr>
              <w:spacing w:line="360" w:lineRule="auto"/>
              <w:jc w:val="center"/>
              <w:rPr>
                <w:rFonts w:hint="default" w:ascii="宋体" w:hAnsi="宋体" w:eastAsia="宋体"/>
                <w:color w:val="auto"/>
                <w:sz w:val="24"/>
                <w:lang w:val="en-US" w:eastAsia="zh-CN"/>
              </w:rPr>
            </w:pPr>
            <w:r>
              <w:rPr>
                <w:rFonts w:hint="eastAsia" w:ascii="宋体" w:hAnsi="宋体"/>
                <w:color w:val="auto"/>
                <w:sz w:val="24"/>
                <w:lang w:val="en-US" w:eastAsia="zh-CN"/>
              </w:rPr>
              <w:t>项目配置</w:t>
            </w:r>
          </w:p>
        </w:tc>
        <w:tc>
          <w:tcPr>
            <w:tcW w:w="800" w:type="dxa"/>
            <w:tcBorders>
              <w:top w:val="single" w:color="auto" w:sz="4" w:space="0"/>
              <w:left w:val="single" w:color="auto" w:sz="4" w:space="0"/>
              <w:bottom w:val="single" w:color="auto" w:sz="4" w:space="0"/>
              <w:right w:val="single" w:color="auto" w:sz="4" w:space="0"/>
            </w:tcBorders>
            <w:vAlign w:val="center"/>
          </w:tcPr>
          <w:p w14:paraId="3A3EFE37">
            <w:pPr>
              <w:spacing w:line="360" w:lineRule="auto"/>
              <w:jc w:val="center"/>
              <w:rPr>
                <w:rFonts w:hint="eastAsia" w:ascii="宋体" w:hAnsi="宋体" w:eastAsia="宋体"/>
                <w:color w:val="auto"/>
                <w:sz w:val="24"/>
                <w:lang w:val="en-US" w:eastAsia="zh-CN"/>
              </w:rPr>
            </w:pPr>
            <w:r>
              <w:rPr>
                <w:rFonts w:hint="eastAsia" w:ascii="宋体" w:hAnsi="宋体"/>
                <w:color w:val="auto"/>
                <w:sz w:val="24"/>
                <w:lang w:val="en-US" w:eastAsia="zh-CN"/>
              </w:rPr>
              <w:t>4</w:t>
            </w:r>
          </w:p>
        </w:tc>
        <w:tc>
          <w:tcPr>
            <w:tcW w:w="8507" w:type="dxa"/>
            <w:tcBorders>
              <w:top w:val="single" w:color="auto" w:sz="4" w:space="0"/>
              <w:left w:val="single" w:color="auto" w:sz="4" w:space="0"/>
              <w:bottom w:val="single" w:color="auto" w:sz="4" w:space="0"/>
              <w:right w:val="single" w:color="auto" w:sz="4" w:space="0"/>
            </w:tcBorders>
            <w:vAlign w:val="center"/>
          </w:tcPr>
          <w:p w14:paraId="755C6D89">
            <w:pPr>
              <w:spacing w:line="360" w:lineRule="auto"/>
              <w:rPr>
                <w:rFonts w:hint="eastAsia" w:ascii="宋体" w:hAnsi="宋体" w:eastAsia="宋体"/>
                <w:color w:val="auto"/>
                <w:sz w:val="24"/>
                <w:lang w:eastAsia="zh-CN"/>
              </w:rPr>
            </w:pPr>
            <w:r>
              <w:rPr>
                <w:rFonts w:hint="default" w:ascii="宋体" w:hAnsi="宋体"/>
                <w:color w:val="auto"/>
                <w:sz w:val="24"/>
              </w:rPr>
              <w:t>项目经理具有用友NC或财务相关认证资格（如NC认证、CPA等），且主持过至少1个财务系统接口开发项目，得4分；否则得0分。</w:t>
            </w:r>
          </w:p>
        </w:tc>
      </w:tr>
      <w:tr w14:paraId="354F5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14:paraId="46B30BD5">
            <w:pPr>
              <w:spacing w:line="360" w:lineRule="auto"/>
              <w:jc w:val="center"/>
              <w:rPr>
                <w:rFonts w:hint="eastAsia" w:ascii="宋体" w:hAnsi="宋体" w:cs="宋体"/>
                <w:color w:val="auto"/>
                <w:sz w:val="24"/>
              </w:rPr>
            </w:pPr>
            <w:r>
              <w:rPr>
                <w:rFonts w:hint="eastAsia" w:ascii="宋体" w:hAnsi="宋体" w:cs="宋体"/>
                <w:color w:val="auto"/>
                <w:sz w:val="24"/>
              </w:rPr>
              <w:t>技术方案</w:t>
            </w:r>
          </w:p>
        </w:tc>
        <w:tc>
          <w:tcPr>
            <w:tcW w:w="800" w:type="dxa"/>
            <w:tcBorders>
              <w:top w:val="single" w:color="auto" w:sz="4" w:space="0"/>
              <w:left w:val="single" w:color="auto" w:sz="4" w:space="0"/>
              <w:bottom w:val="single" w:color="auto" w:sz="4" w:space="0"/>
              <w:right w:val="single" w:color="auto" w:sz="4" w:space="0"/>
            </w:tcBorders>
            <w:vAlign w:val="center"/>
          </w:tcPr>
          <w:p w14:paraId="7C947704">
            <w:pPr>
              <w:spacing w:line="360" w:lineRule="auto"/>
              <w:jc w:val="center"/>
              <w:rPr>
                <w:rFonts w:hint="eastAsia" w:ascii="宋体" w:hAnsi="宋体" w:cs="宋体"/>
                <w:color w:val="auto"/>
                <w:sz w:val="24"/>
              </w:rPr>
            </w:pPr>
            <w:r>
              <w:rPr>
                <w:rFonts w:hint="eastAsia" w:ascii="宋体" w:hAnsi="宋体" w:cs="宋体"/>
                <w:color w:val="auto"/>
                <w:sz w:val="24"/>
              </w:rPr>
              <w:t>30</w:t>
            </w:r>
          </w:p>
        </w:tc>
        <w:tc>
          <w:tcPr>
            <w:tcW w:w="8507" w:type="dxa"/>
            <w:tcBorders>
              <w:top w:val="single" w:color="auto" w:sz="4" w:space="0"/>
              <w:left w:val="single" w:color="auto" w:sz="4" w:space="0"/>
              <w:bottom w:val="single" w:color="auto" w:sz="4" w:space="0"/>
              <w:right w:val="single" w:color="auto" w:sz="4" w:space="0"/>
            </w:tcBorders>
            <w:vAlign w:val="center"/>
          </w:tcPr>
          <w:p w14:paraId="754FF4E8">
            <w:pPr>
              <w:spacing w:line="360" w:lineRule="auto"/>
              <w:rPr>
                <w:rFonts w:hint="eastAsia" w:ascii="宋体" w:hAnsi="宋体"/>
                <w:color w:val="auto"/>
                <w:sz w:val="24"/>
              </w:rPr>
            </w:pPr>
            <w:r>
              <w:rPr>
                <w:rFonts w:hint="eastAsia" w:ascii="宋体" w:hAnsi="宋体"/>
                <w:color w:val="auto"/>
                <w:sz w:val="24"/>
              </w:rPr>
              <w:t>1.技术总体方案达到或超越用户项目建设目标预期；</w:t>
            </w:r>
          </w:p>
          <w:p w14:paraId="46978C1B">
            <w:pPr>
              <w:spacing w:line="360" w:lineRule="auto"/>
              <w:rPr>
                <w:rFonts w:hint="eastAsia" w:ascii="宋体" w:hAnsi="宋体"/>
                <w:color w:val="auto"/>
                <w:sz w:val="24"/>
              </w:rPr>
            </w:pPr>
            <w:r>
              <w:rPr>
                <w:rFonts w:hint="eastAsia" w:ascii="宋体" w:hAnsi="宋体"/>
                <w:color w:val="auto"/>
                <w:sz w:val="24"/>
              </w:rPr>
              <w:t>2.针对本项目特点，提供详尽的技术方案体系（方案体系完备、技术服务承诺、服务内容及优惠条件）</w:t>
            </w:r>
            <w:r>
              <w:rPr>
                <w:rFonts w:hint="eastAsia" w:ascii="宋体" w:hAnsi="宋体"/>
                <w:color w:val="auto"/>
                <w:sz w:val="24"/>
                <w:lang w:eastAsia="zh-CN"/>
              </w:rPr>
              <w:t>；具</w:t>
            </w:r>
            <w:r>
              <w:rPr>
                <w:rFonts w:hint="eastAsia" w:ascii="宋体" w:hAnsi="宋体"/>
                <w:color w:val="auto"/>
                <w:sz w:val="24"/>
              </w:rPr>
              <w:t>有详细的技术团队资质和技术情况；现场处理问题的响应时间。评委将根据技术方案的优劣程度进行打分；</w:t>
            </w:r>
          </w:p>
          <w:p w14:paraId="3875FB47">
            <w:pPr>
              <w:spacing w:line="360" w:lineRule="auto"/>
              <w:rPr>
                <w:rFonts w:hint="eastAsia" w:ascii="宋体" w:hAnsi="宋体"/>
                <w:color w:val="auto"/>
                <w:sz w:val="24"/>
              </w:rPr>
            </w:pPr>
            <w:r>
              <w:rPr>
                <w:rFonts w:hint="eastAsia" w:ascii="宋体" w:hAnsi="宋体"/>
                <w:color w:val="auto"/>
                <w:sz w:val="24"/>
              </w:rPr>
              <w:t>3.服务方案贴近公用公司现状，对财务软件系统的运行情况适配，对方案的符合适应度进行打分；</w:t>
            </w:r>
          </w:p>
          <w:p w14:paraId="6D342C6A">
            <w:pPr>
              <w:spacing w:line="360" w:lineRule="auto"/>
              <w:rPr>
                <w:rFonts w:hint="eastAsia" w:ascii="宋体" w:hAnsi="宋体" w:cs="宋体"/>
                <w:color w:val="auto"/>
                <w:kern w:val="0"/>
                <w:sz w:val="28"/>
                <w:szCs w:val="28"/>
              </w:rPr>
            </w:pPr>
            <w:r>
              <w:rPr>
                <w:rFonts w:hint="eastAsia" w:ascii="宋体" w:hAnsi="宋体"/>
                <w:color w:val="auto"/>
                <w:sz w:val="24"/>
              </w:rPr>
              <w:t>业务方案适配情况达到或超越预期得20</w:t>
            </w:r>
            <w:r>
              <w:rPr>
                <w:rFonts w:hint="eastAsia" w:ascii="宋体" w:hAnsi="宋体"/>
                <w:color w:val="auto"/>
                <w:sz w:val="24"/>
                <w:lang w:eastAsia="zh-CN"/>
              </w:rPr>
              <w:t>—</w:t>
            </w:r>
            <w:r>
              <w:rPr>
                <w:rFonts w:hint="eastAsia" w:ascii="宋体" w:hAnsi="宋体"/>
                <w:color w:val="auto"/>
                <w:sz w:val="24"/>
              </w:rPr>
              <w:t>30分；业务方案适配情况基本满足需求的得10</w:t>
            </w:r>
            <w:r>
              <w:rPr>
                <w:rFonts w:hint="eastAsia" w:ascii="宋体" w:hAnsi="宋体"/>
                <w:color w:val="auto"/>
                <w:sz w:val="24"/>
                <w:lang w:eastAsia="zh-CN"/>
              </w:rPr>
              <w:t>—</w:t>
            </w:r>
            <w:r>
              <w:rPr>
                <w:rFonts w:hint="eastAsia" w:ascii="宋体" w:hAnsi="宋体"/>
                <w:color w:val="auto"/>
                <w:sz w:val="24"/>
              </w:rPr>
              <w:t>19分；业务方案适配情况有待完善的得0-9分。本项满分30分。</w:t>
            </w:r>
          </w:p>
        </w:tc>
      </w:tr>
      <w:tr w14:paraId="52CCF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tcBorders>
              <w:top w:val="single" w:color="auto" w:sz="4" w:space="0"/>
              <w:left w:val="single" w:color="auto" w:sz="4" w:space="0"/>
              <w:right w:val="single" w:color="auto" w:sz="4" w:space="0"/>
            </w:tcBorders>
            <w:vAlign w:val="center"/>
          </w:tcPr>
          <w:p w14:paraId="0A8739A0">
            <w:pPr>
              <w:spacing w:line="360" w:lineRule="auto"/>
              <w:jc w:val="center"/>
              <w:rPr>
                <w:rFonts w:hint="eastAsia" w:ascii="宋体" w:hAnsi="宋体" w:cs="宋体"/>
                <w:color w:val="auto"/>
                <w:sz w:val="24"/>
              </w:rPr>
            </w:pPr>
            <w:r>
              <w:rPr>
                <w:rFonts w:hint="eastAsia" w:ascii="宋体" w:hAnsi="宋体" w:cs="宋体"/>
                <w:color w:val="auto"/>
                <w:sz w:val="24"/>
              </w:rPr>
              <w:t>保密措施</w:t>
            </w:r>
          </w:p>
        </w:tc>
        <w:tc>
          <w:tcPr>
            <w:tcW w:w="800" w:type="dxa"/>
            <w:tcBorders>
              <w:top w:val="single" w:color="auto" w:sz="4" w:space="0"/>
              <w:left w:val="single" w:color="auto" w:sz="4" w:space="0"/>
              <w:right w:val="single" w:color="auto" w:sz="4" w:space="0"/>
            </w:tcBorders>
            <w:vAlign w:val="center"/>
          </w:tcPr>
          <w:p w14:paraId="1BCB75CD">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8507" w:type="dxa"/>
            <w:tcBorders>
              <w:top w:val="single" w:color="auto" w:sz="4" w:space="0"/>
              <w:left w:val="single" w:color="auto" w:sz="4" w:space="0"/>
              <w:right w:val="single" w:color="auto" w:sz="4" w:space="0"/>
            </w:tcBorders>
            <w:vAlign w:val="center"/>
          </w:tcPr>
          <w:p w14:paraId="3EF0F140">
            <w:pPr>
              <w:spacing w:line="360" w:lineRule="auto"/>
              <w:jc w:val="left"/>
              <w:rPr>
                <w:rFonts w:hint="eastAsia" w:ascii="宋体" w:hAnsi="宋体" w:cs="宋体"/>
                <w:color w:val="auto"/>
                <w:sz w:val="24"/>
              </w:rPr>
            </w:pPr>
            <w:r>
              <w:rPr>
                <w:rFonts w:hint="eastAsia" w:ascii="宋体" w:hAnsi="宋体" w:cs="宋体"/>
                <w:color w:val="auto"/>
                <w:sz w:val="24"/>
              </w:rPr>
              <w:t>根据供应商提供的“保密措施”进行综合评分：周密完整、科学合理、完全满足采购人要求的，得</w:t>
            </w:r>
            <w:r>
              <w:rPr>
                <w:rFonts w:hint="eastAsia" w:ascii="宋体" w:hAnsi="宋体" w:cs="宋体"/>
                <w:color w:val="auto"/>
                <w:sz w:val="24"/>
                <w:lang w:val="en-US" w:eastAsia="zh-CN"/>
              </w:rPr>
              <w:t>6—8</w:t>
            </w:r>
            <w:r>
              <w:rPr>
                <w:rFonts w:hint="eastAsia" w:ascii="宋体" w:hAnsi="宋体" w:cs="宋体"/>
                <w:color w:val="auto"/>
                <w:sz w:val="24"/>
              </w:rPr>
              <w:t>分；符合采购人要求并具有一定的可行性的，得</w:t>
            </w:r>
            <w:r>
              <w:rPr>
                <w:rFonts w:hint="eastAsia" w:ascii="宋体" w:hAnsi="宋体" w:cs="宋体"/>
                <w:color w:val="auto"/>
                <w:sz w:val="24"/>
                <w:lang w:val="en-US" w:eastAsia="zh-CN"/>
              </w:rPr>
              <w:t>3—5</w:t>
            </w:r>
            <w:r>
              <w:rPr>
                <w:rFonts w:hint="eastAsia" w:ascii="宋体" w:hAnsi="宋体" w:cs="宋体"/>
                <w:color w:val="auto"/>
                <w:sz w:val="24"/>
              </w:rPr>
              <w:t>分；基本符合要求并有待完善的，得</w:t>
            </w:r>
            <w:r>
              <w:rPr>
                <w:rFonts w:hint="eastAsia" w:ascii="宋体" w:hAnsi="宋体" w:cs="宋体"/>
                <w:color w:val="auto"/>
                <w:sz w:val="24"/>
                <w:lang w:val="en-US" w:eastAsia="zh-CN"/>
              </w:rPr>
              <w:t>1—2</w:t>
            </w:r>
            <w:r>
              <w:rPr>
                <w:rFonts w:hint="eastAsia" w:ascii="宋体" w:hAnsi="宋体" w:cs="宋体"/>
                <w:color w:val="auto"/>
                <w:sz w:val="24"/>
              </w:rPr>
              <w:t>分；差或未提供不得分。本项满分</w:t>
            </w:r>
            <w:r>
              <w:rPr>
                <w:rFonts w:hint="eastAsia" w:ascii="宋体" w:hAnsi="宋体" w:cs="宋体"/>
                <w:color w:val="auto"/>
                <w:sz w:val="24"/>
                <w:lang w:val="en-US" w:eastAsia="zh-CN"/>
              </w:rPr>
              <w:t>8</w:t>
            </w:r>
            <w:r>
              <w:rPr>
                <w:rFonts w:hint="eastAsia" w:ascii="宋体" w:hAnsi="宋体" w:cs="宋体"/>
                <w:color w:val="auto"/>
                <w:sz w:val="24"/>
              </w:rPr>
              <w:t>分。</w:t>
            </w:r>
          </w:p>
        </w:tc>
      </w:tr>
      <w:tr w14:paraId="19DD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vAlign w:val="center"/>
          </w:tcPr>
          <w:p w14:paraId="2E3E5934">
            <w:pPr>
              <w:spacing w:line="360" w:lineRule="auto"/>
              <w:jc w:val="center"/>
              <w:rPr>
                <w:rFonts w:hint="eastAsia" w:ascii="宋体" w:hAnsi="宋体" w:cs="宋体"/>
                <w:color w:val="auto"/>
                <w:sz w:val="24"/>
              </w:rPr>
            </w:pPr>
            <w:r>
              <w:rPr>
                <w:rFonts w:hint="eastAsia" w:ascii="宋体" w:hAnsi="宋体" w:cs="宋体"/>
                <w:color w:val="auto"/>
                <w:sz w:val="24"/>
              </w:rPr>
              <w:t>服务承诺</w:t>
            </w:r>
          </w:p>
        </w:tc>
        <w:tc>
          <w:tcPr>
            <w:tcW w:w="800" w:type="dxa"/>
            <w:vAlign w:val="center"/>
          </w:tcPr>
          <w:p w14:paraId="7443967F">
            <w:pPr>
              <w:spacing w:line="360" w:lineRule="auto"/>
              <w:jc w:val="center"/>
              <w:rPr>
                <w:rFonts w:hint="eastAsia" w:ascii="宋体" w:hAnsi="宋体" w:eastAsia="宋体" w:cs="宋体"/>
                <w:color w:val="auto"/>
                <w:sz w:val="24"/>
                <w:lang w:eastAsia="zh-CN"/>
              </w:rPr>
            </w:pPr>
            <w:r>
              <w:rPr>
                <w:rFonts w:hint="eastAsia" w:ascii="宋体" w:hAnsi="宋体" w:cs="宋体"/>
                <w:color w:val="auto"/>
                <w:sz w:val="24"/>
                <w:lang w:val="en-US" w:eastAsia="zh-CN"/>
              </w:rPr>
              <w:t>8</w:t>
            </w:r>
          </w:p>
        </w:tc>
        <w:tc>
          <w:tcPr>
            <w:tcW w:w="8507" w:type="dxa"/>
            <w:vAlign w:val="center"/>
          </w:tcPr>
          <w:p w14:paraId="731166D7">
            <w:pPr>
              <w:spacing w:line="360" w:lineRule="auto"/>
              <w:rPr>
                <w:rFonts w:hint="eastAsia" w:ascii="宋体" w:hAnsi="宋体"/>
                <w:color w:val="auto"/>
                <w:sz w:val="24"/>
                <w:lang w:val="en-US" w:eastAsia="zh-CN"/>
              </w:rPr>
            </w:pPr>
            <w:r>
              <w:rPr>
                <w:rFonts w:hint="eastAsia" w:ascii="宋体" w:hAnsi="宋体"/>
                <w:color w:val="auto"/>
                <w:sz w:val="24"/>
                <w:lang w:val="en-US" w:eastAsia="zh-CN"/>
              </w:rPr>
              <w:t>日常故障承诺</w:t>
            </w:r>
            <w:r>
              <w:rPr>
                <w:rFonts w:hint="default" w:ascii="宋体" w:hAnsi="宋体"/>
                <w:color w:val="auto"/>
                <w:sz w:val="24"/>
                <w:lang w:val="en-US" w:eastAsia="zh-CN"/>
              </w:rPr>
              <w:t>2小时内到达现场，4小时内解决问题；高峰期承诺在采购人业务高峰期（月末、年末及采购人指定的其他时段）提供7×24小时优先保障，且不额外收费；同时明确优先排单、专人对接、交付时效不降低等具体措施</w:t>
            </w:r>
            <w:r>
              <w:rPr>
                <w:rFonts w:hint="eastAsia" w:ascii="宋体" w:hAnsi="宋体"/>
                <w:color w:val="auto"/>
                <w:sz w:val="24"/>
                <w:lang w:val="en-US" w:eastAsia="zh-CN"/>
              </w:rPr>
              <w:t>，得8分。</w:t>
            </w:r>
          </w:p>
          <w:p w14:paraId="1D20D872">
            <w:pPr>
              <w:spacing w:line="360" w:lineRule="auto"/>
              <w:rPr>
                <w:rFonts w:hint="eastAsia" w:ascii="宋体" w:hAnsi="宋体"/>
                <w:color w:val="auto"/>
                <w:sz w:val="24"/>
                <w:lang w:val="en-US" w:eastAsia="zh-CN"/>
              </w:rPr>
            </w:pPr>
            <w:r>
              <w:rPr>
                <w:rFonts w:hint="eastAsia" w:ascii="宋体" w:hAnsi="宋体"/>
                <w:color w:val="auto"/>
                <w:sz w:val="24"/>
                <w:lang w:val="en-US" w:eastAsia="zh-CN"/>
              </w:rPr>
              <w:t>日常故障承诺</w:t>
            </w:r>
            <w:r>
              <w:rPr>
                <w:rFonts w:hint="default" w:ascii="宋体" w:hAnsi="宋体"/>
                <w:color w:val="auto"/>
                <w:sz w:val="24"/>
                <w:lang w:val="en-US" w:eastAsia="zh-CN"/>
              </w:rPr>
              <w:t>4小时内到达现场，8小时内解决问题</w:t>
            </w:r>
            <w:r>
              <w:rPr>
                <w:rFonts w:hint="eastAsia" w:ascii="宋体" w:hAnsi="宋体"/>
                <w:color w:val="auto"/>
                <w:sz w:val="24"/>
                <w:lang w:val="en-US" w:eastAsia="zh-CN"/>
              </w:rPr>
              <w:t>；</w:t>
            </w:r>
            <w:r>
              <w:rPr>
                <w:rFonts w:hint="default" w:ascii="宋体" w:hAnsi="宋体"/>
                <w:color w:val="auto"/>
                <w:sz w:val="24"/>
                <w:lang w:val="en-US" w:eastAsia="zh-CN"/>
              </w:rPr>
              <w:t>高峰期承诺在高峰期提供优先服务（仅原则性承诺，无具体措施）</w:t>
            </w:r>
            <w:r>
              <w:rPr>
                <w:rFonts w:hint="eastAsia" w:ascii="宋体" w:hAnsi="宋体"/>
                <w:color w:val="auto"/>
                <w:sz w:val="24"/>
                <w:lang w:val="en-US" w:eastAsia="zh-CN"/>
              </w:rPr>
              <w:t>，得5分。</w:t>
            </w:r>
          </w:p>
          <w:p w14:paraId="48B795CC">
            <w:pPr>
              <w:spacing w:line="360" w:lineRule="auto"/>
              <w:rPr>
                <w:rFonts w:hint="eastAsia" w:ascii="宋体" w:hAnsi="宋体"/>
                <w:color w:val="auto"/>
                <w:sz w:val="24"/>
              </w:rPr>
            </w:pPr>
            <w:r>
              <w:rPr>
                <w:rFonts w:hint="eastAsia" w:ascii="宋体" w:hAnsi="宋体"/>
                <w:color w:val="auto"/>
                <w:sz w:val="24"/>
                <w:lang w:val="en-US" w:eastAsia="zh-CN"/>
              </w:rPr>
              <w:t>日常故障响应时间超出上述标准，或不承诺高峰期优先服务，不得分。</w:t>
            </w:r>
          </w:p>
        </w:tc>
      </w:tr>
      <w:tr w14:paraId="1CE7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 w:hRule="atLeast"/>
          <w:jc w:val="center"/>
        </w:trPr>
        <w:tc>
          <w:tcPr>
            <w:tcW w:w="698" w:type="dxa"/>
            <w:vAlign w:val="center"/>
          </w:tcPr>
          <w:p w14:paraId="43625AD2">
            <w:pPr>
              <w:spacing w:line="360" w:lineRule="auto"/>
              <w:jc w:val="center"/>
              <w:rPr>
                <w:rFonts w:hint="eastAsia" w:ascii="宋体" w:hAnsi="宋体" w:cs="宋体"/>
                <w:color w:val="auto"/>
                <w:sz w:val="24"/>
              </w:rPr>
            </w:pPr>
            <w:r>
              <w:rPr>
                <w:rFonts w:hint="eastAsia" w:ascii="宋体" w:hAnsi="宋体" w:cs="宋体"/>
                <w:color w:val="auto"/>
                <w:sz w:val="24"/>
              </w:rPr>
              <w:t>价格分</w:t>
            </w:r>
          </w:p>
        </w:tc>
        <w:tc>
          <w:tcPr>
            <w:tcW w:w="800" w:type="dxa"/>
            <w:vAlign w:val="center"/>
          </w:tcPr>
          <w:p w14:paraId="1EB38784">
            <w:pPr>
              <w:spacing w:line="360" w:lineRule="auto"/>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25</w:t>
            </w:r>
          </w:p>
        </w:tc>
        <w:tc>
          <w:tcPr>
            <w:tcW w:w="8507" w:type="dxa"/>
            <w:vAlign w:val="center"/>
          </w:tcPr>
          <w:p w14:paraId="5172223A">
            <w:pPr>
              <w:spacing w:line="360" w:lineRule="auto"/>
              <w:rPr>
                <w:rFonts w:hint="eastAsia" w:ascii="宋体" w:hAnsi="宋体"/>
                <w:color w:val="auto"/>
                <w:sz w:val="24"/>
              </w:rPr>
            </w:pPr>
            <w:r>
              <w:rPr>
                <w:rFonts w:hint="eastAsia" w:ascii="宋体" w:hAnsi="宋体"/>
                <w:color w:val="auto"/>
                <w:sz w:val="24"/>
              </w:rPr>
              <w:t>1.基准价 = 通过初步评审的所有有效投标报价的算术平均值</w:t>
            </w:r>
          </w:p>
          <w:p w14:paraId="1E183450">
            <w:pPr>
              <w:spacing w:line="360" w:lineRule="auto"/>
              <w:jc w:val="left"/>
              <w:rPr>
                <w:rFonts w:hint="eastAsia" w:ascii="宋体" w:hAnsi="宋体" w:cs="宋体"/>
                <w:color w:val="auto"/>
                <w:sz w:val="28"/>
                <w:szCs w:val="28"/>
              </w:rPr>
            </w:pPr>
            <w:r>
              <w:rPr>
                <w:rFonts w:hint="eastAsia" w:ascii="宋体" w:hAnsi="宋体"/>
                <w:color w:val="auto"/>
                <w:sz w:val="24"/>
              </w:rPr>
              <w:t>2.</w:t>
            </w:r>
            <w:r>
              <w:rPr>
                <w:rFonts w:hint="eastAsia" w:ascii="宋体" w:hAnsi="宋体"/>
                <w:color w:val="auto"/>
                <w:sz w:val="24"/>
                <w:lang w:eastAsia="zh-Hans"/>
              </w:rPr>
              <w:t>投标报价得分</w:t>
            </w:r>
            <w:r>
              <w:rPr>
                <w:rFonts w:hint="eastAsia" w:ascii="宋体" w:hAnsi="宋体"/>
                <w:color w:val="auto"/>
                <w:sz w:val="24"/>
              </w:rPr>
              <w:t>=（基准价/投标报价）×</w:t>
            </w:r>
            <w:r>
              <w:rPr>
                <w:rFonts w:hint="eastAsia" w:ascii="宋体" w:hAnsi="宋体"/>
                <w:color w:val="auto"/>
                <w:sz w:val="24"/>
                <w:lang w:val="en-US" w:eastAsia="zh-CN"/>
              </w:rPr>
              <w:t>25</w:t>
            </w:r>
            <w:r>
              <w:rPr>
                <w:rFonts w:ascii="宋体" w:hAnsi="宋体"/>
                <w:color w:val="auto"/>
                <w:sz w:val="24"/>
              </w:rPr>
              <w:t>%</w:t>
            </w:r>
            <w:r>
              <w:rPr>
                <w:rFonts w:hint="eastAsia" w:ascii="宋体" w:hAnsi="宋体"/>
                <w:color w:val="auto"/>
                <w:sz w:val="24"/>
              </w:rPr>
              <w:t>×</w:t>
            </w:r>
            <w:r>
              <w:rPr>
                <w:rFonts w:ascii="宋体" w:hAnsi="宋体"/>
                <w:color w:val="auto"/>
                <w:sz w:val="24"/>
              </w:rPr>
              <w:t>100</w:t>
            </w:r>
            <w:r>
              <w:rPr>
                <w:rFonts w:hint="eastAsia" w:ascii="宋体" w:hAnsi="宋体"/>
                <w:color w:val="auto"/>
                <w:sz w:val="24"/>
              </w:rPr>
              <w:t>。投标报价明显低于其成本的，采购组有权否决其报价。若最高报价偏离平均报价超过</w:t>
            </w:r>
            <w:r>
              <w:rPr>
                <w:rFonts w:hint="eastAsia" w:ascii="宋体" w:hAnsi="宋体"/>
                <w:color w:val="auto"/>
                <w:sz w:val="24"/>
                <w:lang w:val="en-US" w:eastAsia="zh-CN"/>
              </w:rPr>
              <w:t>30</w:t>
            </w:r>
            <w:r>
              <w:rPr>
                <w:rFonts w:ascii="宋体" w:hAnsi="宋体"/>
                <w:color w:val="auto"/>
                <w:sz w:val="24"/>
              </w:rPr>
              <w:t>%</w:t>
            </w:r>
            <w:r>
              <w:rPr>
                <w:rFonts w:hint="eastAsia" w:ascii="宋体" w:hAnsi="宋体"/>
                <w:color w:val="auto"/>
                <w:sz w:val="24"/>
              </w:rPr>
              <w:t>的，则超过部分，每超一个百分点，额外扣一分，直至价格分扣完为止。</w:t>
            </w:r>
          </w:p>
        </w:tc>
      </w:tr>
    </w:tbl>
    <w:p w14:paraId="5A19A513">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2A173A7"/>
    <w:rsid w:val="03164B46"/>
    <w:rsid w:val="03C238C1"/>
    <w:rsid w:val="046D02C9"/>
    <w:rsid w:val="04AC7907"/>
    <w:rsid w:val="07D61CBB"/>
    <w:rsid w:val="08187346"/>
    <w:rsid w:val="08C218CD"/>
    <w:rsid w:val="09357310"/>
    <w:rsid w:val="09431CDD"/>
    <w:rsid w:val="09D85925"/>
    <w:rsid w:val="0B16599D"/>
    <w:rsid w:val="0B4E0F31"/>
    <w:rsid w:val="0B5F2C55"/>
    <w:rsid w:val="0CC51CA1"/>
    <w:rsid w:val="0D440F77"/>
    <w:rsid w:val="11D17728"/>
    <w:rsid w:val="12375F75"/>
    <w:rsid w:val="12E66D1C"/>
    <w:rsid w:val="132E7BF0"/>
    <w:rsid w:val="1474453F"/>
    <w:rsid w:val="147A6B5F"/>
    <w:rsid w:val="174146D6"/>
    <w:rsid w:val="174F3E72"/>
    <w:rsid w:val="19371A3D"/>
    <w:rsid w:val="1B562B38"/>
    <w:rsid w:val="1BBE6F12"/>
    <w:rsid w:val="1BE340FE"/>
    <w:rsid w:val="1CD51C99"/>
    <w:rsid w:val="1EA9518B"/>
    <w:rsid w:val="1EF02DBA"/>
    <w:rsid w:val="229D0F23"/>
    <w:rsid w:val="243B6972"/>
    <w:rsid w:val="2560638D"/>
    <w:rsid w:val="2888575B"/>
    <w:rsid w:val="288C7083"/>
    <w:rsid w:val="2A060596"/>
    <w:rsid w:val="2A6308E4"/>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277902"/>
    <w:rsid w:val="42331D89"/>
    <w:rsid w:val="425A3632"/>
    <w:rsid w:val="425C413F"/>
    <w:rsid w:val="42654155"/>
    <w:rsid w:val="44AD421E"/>
    <w:rsid w:val="475C491A"/>
    <w:rsid w:val="49521D16"/>
    <w:rsid w:val="4A180A44"/>
    <w:rsid w:val="4A630034"/>
    <w:rsid w:val="4A730277"/>
    <w:rsid w:val="4CE96B79"/>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4">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5">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7"/>
    <w:basedOn w:val="1"/>
    <w:autoRedefine/>
    <w:qFormat/>
    <w:uiPriority w:val="1"/>
    <w:pPr>
      <w:ind w:left="577"/>
      <w:outlineLvl w:val="6"/>
    </w:pPr>
    <w:rPr>
      <w:rFonts w:ascii="宋体" w:hAnsi="宋体"/>
      <w:b/>
      <w:bCs/>
      <w:sz w:val="21"/>
      <w:szCs w:val="21"/>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7">
    <w:name w:val="annotation text"/>
    <w:basedOn w:val="1"/>
    <w:link w:val="29"/>
    <w:autoRedefine/>
    <w:semiHidden/>
    <w:unhideWhenUsed/>
    <w:qFormat/>
    <w:uiPriority w:val="99"/>
    <w:pPr>
      <w:jc w:val="left"/>
    </w:pPr>
  </w:style>
  <w:style w:type="paragraph" w:styleId="8">
    <w:name w:val="Body Text"/>
    <w:basedOn w:val="1"/>
    <w:autoRedefine/>
    <w:qFormat/>
    <w:uiPriority w:val="1"/>
    <w:pPr>
      <w:ind w:left="140"/>
    </w:pPr>
    <w:rPr>
      <w:rFonts w:ascii="宋体" w:hAnsi="宋体"/>
      <w:sz w:val="21"/>
      <w:szCs w:val="21"/>
    </w:rPr>
  </w:style>
  <w:style w:type="paragraph" w:styleId="9">
    <w:name w:val="Body Text Indent"/>
    <w:basedOn w:val="1"/>
    <w:autoRedefine/>
    <w:qFormat/>
    <w:uiPriority w:val="0"/>
    <w:pPr>
      <w:ind w:firstLine="645"/>
    </w:pPr>
    <w:rPr>
      <w:rFonts w:ascii="楷体_GB2312" w:eastAsia="楷体_GB2312"/>
      <w:kern w:val="2"/>
      <w:sz w:val="32"/>
    </w:rPr>
  </w:style>
  <w:style w:type="paragraph" w:styleId="10">
    <w:name w:val="Plain Text"/>
    <w:basedOn w:val="1"/>
    <w:autoRedefine/>
    <w:qFormat/>
    <w:uiPriority w:val="0"/>
    <w:rPr>
      <w:rFonts w:hAnsi="Courier New"/>
      <w:kern w:val="2"/>
      <w:sz w:val="21"/>
    </w:rPr>
  </w:style>
  <w:style w:type="paragraph" w:styleId="11">
    <w:name w:val="Balloon Text"/>
    <w:basedOn w:val="1"/>
    <w:link w:val="31"/>
    <w:autoRedefine/>
    <w:semiHidden/>
    <w:unhideWhenUsed/>
    <w:qFormat/>
    <w:uiPriority w:val="99"/>
    <w:rPr>
      <w:sz w:val="18"/>
      <w:szCs w:val="18"/>
    </w:rPr>
  </w:style>
  <w:style w:type="paragraph" w:styleId="12">
    <w:name w:val="footer"/>
    <w:basedOn w:val="1"/>
    <w:link w:val="27"/>
    <w:autoRedefine/>
    <w:unhideWhenUsed/>
    <w:qFormat/>
    <w:uiPriority w:val="99"/>
    <w:pPr>
      <w:tabs>
        <w:tab w:val="center" w:pos="4153"/>
        <w:tab w:val="right" w:pos="8306"/>
      </w:tabs>
      <w:snapToGrid w:val="0"/>
      <w:jc w:val="left"/>
    </w:pPr>
    <w:rPr>
      <w:sz w:val="18"/>
      <w:szCs w:val="18"/>
    </w:rPr>
  </w:style>
  <w:style w:type="paragraph" w:styleId="13">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7"/>
    <w:next w:val="7"/>
    <w:link w:val="30"/>
    <w:autoRedefine/>
    <w:semiHidden/>
    <w:unhideWhenUsed/>
    <w:qFormat/>
    <w:uiPriority w:val="99"/>
    <w:rPr>
      <w:b/>
      <w:bCs/>
    </w:rPr>
  </w:style>
  <w:style w:type="paragraph" w:styleId="18">
    <w:name w:val="Body Text First Indent 2"/>
    <w:basedOn w:val="9"/>
    <w:autoRedefine/>
    <w:qFormat/>
    <w:uiPriority w:val="0"/>
    <w:pPr>
      <w:ind w:left="420" w:leftChars="200" w:firstLine="420" w:firstLineChars="200"/>
    </w:pPr>
  </w:style>
  <w:style w:type="table" w:styleId="20">
    <w:name w:val="Table Grid"/>
    <w:basedOn w:val="19"/>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autoRedefine/>
    <w:qFormat/>
    <w:uiPriority w:val="22"/>
    <w:rPr>
      <w:b/>
    </w:rPr>
  </w:style>
  <w:style w:type="character" w:styleId="23">
    <w:name w:val="page number"/>
    <w:basedOn w:val="21"/>
    <w:autoRedefine/>
    <w:qFormat/>
    <w:uiPriority w:val="0"/>
  </w:style>
  <w:style w:type="character" w:styleId="24">
    <w:name w:val="annotation reference"/>
    <w:basedOn w:val="21"/>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1"/>
    <w:link w:val="13"/>
    <w:autoRedefine/>
    <w:qFormat/>
    <w:uiPriority w:val="99"/>
    <w:rPr>
      <w:sz w:val="18"/>
      <w:szCs w:val="18"/>
    </w:rPr>
  </w:style>
  <w:style w:type="character" w:customStyle="1" w:styleId="27">
    <w:name w:val="页脚 Char"/>
    <w:basedOn w:val="21"/>
    <w:link w:val="12"/>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1"/>
    <w:link w:val="7"/>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1"/>
    <w:link w:val="11"/>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1"/>
    <w:autoRedefine/>
    <w:qFormat/>
    <w:uiPriority w:val="0"/>
    <w:rPr>
      <w:rFonts w:hint="eastAsia" w:ascii="宋体" w:hAnsi="宋体" w:eastAsia="宋体" w:cs="宋体"/>
      <w:b/>
      <w:bCs/>
      <w:color w:val="000000"/>
      <w:sz w:val="40"/>
      <w:szCs w:val="40"/>
      <w:u w:val="none"/>
    </w:rPr>
  </w:style>
  <w:style w:type="character" w:customStyle="1" w:styleId="37">
    <w:name w:val="font71"/>
    <w:basedOn w:val="21"/>
    <w:autoRedefine/>
    <w:qFormat/>
    <w:uiPriority w:val="0"/>
    <w:rPr>
      <w:rFonts w:hint="eastAsia" w:ascii="宋体" w:hAnsi="宋体" w:eastAsia="宋体" w:cs="宋体"/>
      <w:b/>
      <w:bCs/>
      <w:color w:val="000000"/>
      <w:sz w:val="40"/>
      <w:szCs w:val="40"/>
      <w:u w:val="single"/>
    </w:rPr>
  </w:style>
  <w:style w:type="character" w:customStyle="1" w:styleId="38">
    <w:name w:val="font91"/>
    <w:basedOn w:val="21"/>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1"/>
    <w:autoRedefine/>
    <w:qFormat/>
    <w:uiPriority w:val="0"/>
    <w:rPr>
      <w:rFonts w:hint="eastAsia" w:ascii="宋体" w:hAnsi="宋体" w:eastAsia="宋体" w:cs="宋体"/>
      <w:color w:val="000000"/>
      <w:sz w:val="40"/>
      <w:szCs w:val="40"/>
      <w:u w:val="single"/>
    </w:rPr>
  </w:style>
  <w:style w:type="character" w:customStyle="1" w:styleId="40">
    <w:name w:val="font141"/>
    <w:basedOn w:val="21"/>
    <w:autoRedefine/>
    <w:qFormat/>
    <w:uiPriority w:val="0"/>
    <w:rPr>
      <w:rFonts w:hint="eastAsia" w:ascii="宋体" w:hAnsi="宋体" w:eastAsia="宋体" w:cs="宋体"/>
      <w:color w:val="000000"/>
      <w:sz w:val="20"/>
      <w:szCs w:val="20"/>
      <w:u w:val="single"/>
    </w:rPr>
  </w:style>
  <w:style w:type="character" w:customStyle="1" w:styleId="41">
    <w:name w:val="font151"/>
    <w:basedOn w:val="21"/>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3">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1128</Words>
  <Characters>1130</Characters>
  <Lines>5</Lines>
  <Paragraphs>1</Paragraphs>
  <TotalTime>0</TotalTime>
  <ScaleCrop>false</ScaleCrop>
  <LinksUpToDate>false</LinksUpToDate>
  <CharactersWithSpaces>1312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2026-06-10T06:09:49Z</cp:lastPrinted>
  <dcterms:modified xsi:type="dcterms:W3CDTF">2026-06-10T08:06:34Z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