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5"/>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2"/>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6"/>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3"/>
        <w:tblpPr w:leftFromText="180" w:rightFromText="180" w:vertAnchor="text" w:horzAnchor="page" w:tblpX="1448" w:tblpY="282"/>
        <w:tblOverlap w:val="never"/>
        <w:tblW w:w="9299"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8"/>
        <w:gridCol w:w="838"/>
        <w:gridCol w:w="2087"/>
        <w:gridCol w:w="1913"/>
        <w:gridCol w:w="3663"/>
      </w:tblGrid>
      <w:tr w14:paraId="307C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1" w:hRule="atLeast"/>
          <w:tblCellSpacing w:w="0" w:type="dxa"/>
        </w:trPr>
        <w:tc>
          <w:tcPr>
            <w:tcW w:w="798"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4EB781D5">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序号</w:t>
            </w:r>
          </w:p>
        </w:tc>
        <w:tc>
          <w:tcPr>
            <w:tcW w:w="838"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6A2CE32F">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eastAsia="zh-CN"/>
              </w:rPr>
            </w:pPr>
            <w:r>
              <w:rPr>
                <w:rFonts w:hint="eastAsia" w:cs="宋体" w:asciiTheme="minorEastAsia" w:hAnsiTheme="minorEastAsia" w:eastAsiaTheme="minorEastAsia"/>
                <w:b w:val="0"/>
                <w:bCs/>
                <w:kern w:val="0"/>
                <w:sz w:val="24"/>
                <w:szCs w:val="24"/>
                <w:lang w:eastAsia="zh-CN"/>
              </w:rPr>
              <w:t>岗位</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29AD5B71">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lang w:eastAsia="zh-CN"/>
              </w:rPr>
              <w:t>控制</w:t>
            </w:r>
            <w:r>
              <w:rPr>
                <w:rFonts w:hint="eastAsia" w:cs="宋体" w:asciiTheme="minorEastAsia" w:hAnsiTheme="minorEastAsia" w:eastAsiaTheme="minorEastAsia"/>
                <w:b w:val="0"/>
                <w:bCs/>
                <w:kern w:val="0"/>
                <w:sz w:val="24"/>
                <w:szCs w:val="24"/>
              </w:rPr>
              <w:t>价</w:t>
            </w:r>
          </w:p>
          <w:p w14:paraId="7AF638A9">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（元/人/日）</w:t>
            </w:r>
          </w:p>
        </w:tc>
        <w:tc>
          <w:tcPr>
            <w:tcW w:w="1913"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5AD5D3AB">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报价</w:t>
            </w:r>
          </w:p>
          <w:p w14:paraId="4764A32E">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（元/月/</w:t>
            </w:r>
            <w:r>
              <w:rPr>
                <w:rFonts w:hint="default" w:cs="宋体" w:asciiTheme="minorEastAsia" w:hAnsiTheme="minorEastAsia" w:eastAsiaTheme="minorEastAsia"/>
                <w:b w:val="0"/>
                <w:bCs/>
                <w:kern w:val="0"/>
                <w:sz w:val="24"/>
                <w:szCs w:val="24"/>
              </w:rPr>
              <w:t>日</w:t>
            </w:r>
            <w:r>
              <w:rPr>
                <w:rFonts w:hint="eastAsia" w:cs="宋体" w:asciiTheme="minorEastAsia" w:hAnsiTheme="minorEastAsia" w:eastAsiaTheme="minorEastAsia"/>
                <w:b w:val="0"/>
                <w:bCs/>
                <w:kern w:val="0"/>
                <w:sz w:val="24"/>
                <w:szCs w:val="24"/>
              </w:rPr>
              <w:t>）</w:t>
            </w:r>
          </w:p>
        </w:tc>
        <w:tc>
          <w:tcPr>
            <w:tcW w:w="3663"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0D56FCD8">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default" w:cs="宋体" w:asciiTheme="minorEastAsia" w:hAnsiTheme="minorEastAsia" w:eastAsiaTheme="minorEastAsia"/>
                <w:b w:val="0"/>
                <w:bCs/>
                <w:kern w:val="0"/>
                <w:sz w:val="24"/>
                <w:szCs w:val="24"/>
                <w:lang w:eastAsia="zh-CN"/>
              </w:rPr>
              <w:t>岗位</w:t>
            </w:r>
            <w:r>
              <w:rPr>
                <w:rFonts w:hint="eastAsia" w:cs="宋体" w:asciiTheme="minorEastAsia" w:hAnsiTheme="minorEastAsia" w:eastAsiaTheme="minorEastAsia"/>
                <w:b w:val="0"/>
                <w:bCs/>
                <w:kern w:val="0"/>
                <w:sz w:val="24"/>
                <w:szCs w:val="24"/>
                <w:lang w:eastAsia="zh-CN"/>
              </w:rPr>
              <w:t>平均报价</w:t>
            </w:r>
          </w:p>
          <w:p w14:paraId="2C514207">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rPr>
              <w:t>（元/人/日）</w:t>
            </w:r>
          </w:p>
        </w:tc>
      </w:tr>
      <w:tr w14:paraId="23F5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blCellSpacing w:w="0" w:type="dxa"/>
        </w:trPr>
        <w:tc>
          <w:tcPr>
            <w:tcW w:w="79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339DE760">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1</w:t>
            </w:r>
          </w:p>
        </w:tc>
        <w:tc>
          <w:tcPr>
            <w:tcW w:w="83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7728CBD7">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秩序维护</w:t>
            </w:r>
          </w:p>
        </w:tc>
        <w:tc>
          <w:tcPr>
            <w:tcW w:w="2087" w:type="dxa"/>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06EE05C3">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200.00</w:t>
            </w:r>
          </w:p>
          <w:p w14:paraId="537BE435">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（正常工作日）</w:t>
            </w:r>
          </w:p>
        </w:tc>
        <w:tc>
          <w:tcPr>
            <w:tcW w:w="1913" w:type="dxa"/>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0557B780">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3663"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6733C338">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r w14:paraId="64F2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blCellSpacing w:w="0" w:type="dxa"/>
        </w:trPr>
        <w:tc>
          <w:tcPr>
            <w:tcW w:w="79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7C2F08C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83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3F27049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087" w:type="dxa"/>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7DFDB986">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220.00</w:t>
            </w:r>
          </w:p>
          <w:p w14:paraId="640377D3">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（双休日）</w:t>
            </w:r>
          </w:p>
        </w:tc>
        <w:tc>
          <w:tcPr>
            <w:tcW w:w="1913" w:type="dxa"/>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3F17738B">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3663"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7D7EF4BB">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r w14:paraId="2E0D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7" w:hRule="atLeast"/>
          <w:tblCellSpacing w:w="0" w:type="dxa"/>
        </w:trPr>
        <w:tc>
          <w:tcPr>
            <w:tcW w:w="79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72CC4F9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83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17A1A11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087" w:type="dxa"/>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5F374EF7">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240.00</w:t>
            </w:r>
          </w:p>
          <w:p w14:paraId="6243AF1E">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（法定节假日）</w:t>
            </w:r>
          </w:p>
        </w:tc>
        <w:tc>
          <w:tcPr>
            <w:tcW w:w="1913" w:type="dxa"/>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5E18752F">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3663"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646C1B94">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r w14:paraId="2269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7" w:hRule="atLeast"/>
          <w:tblCellSpacing w:w="0" w:type="dxa"/>
        </w:trPr>
        <w:tc>
          <w:tcPr>
            <w:tcW w:w="9299" w:type="dxa"/>
            <w:gridSpan w:val="5"/>
            <w:tcBorders>
              <w:top w:val="single" w:color="auto" w:sz="4" w:space="0"/>
              <w:left w:val="single" w:color="auto" w:sz="4" w:space="0"/>
              <w:bottom w:val="single" w:color="auto" w:sz="4" w:space="0"/>
              <w:right w:val="single" w:color="auto" w:sz="4" w:space="0"/>
            </w:tcBorders>
            <w:shd w:val="clear" w:color="auto" w:fill="auto"/>
            <w:tcMar>
              <w:top w:w="75" w:type="dxa"/>
              <w:left w:w="90" w:type="dxa"/>
              <w:bottom w:w="75" w:type="dxa"/>
              <w:right w:w="180" w:type="dxa"/>
            </w:tcMar>
            <w:vAlign w:val="center"/>
          </w:tcPr>
          <w:p w14:paraId="1A336D5E">
            <w:pPr>
              <w:keepNext w:val="0"/>
              <w:keepLines w:val="0"/>
              <w:pageBreakBefore w:val="0"/>
              <w:tabs>
                <w:tab w:val="left" w:pos="420"/>
              </w:tabs>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b/>
                <w:bCs/>
                <w:kern w:val="0"/>
                <w:sz w:val="24"/>
                <w:szCs w:val="24"/>
              </w:rPr>
            </w:pPr>
            <w:r>
              <w:rPr>
                <w:rFonts w:hint="eastAsia" w:cs="宋体" w:asciiTheme="minorEastAsia" w:hAnsiTheme="minorEastAsia" w:eastAsiaTheme="minorEastAsia"/>
                <w:sz w:val="24"/>
                <w:szCs w:val="24"/>
                <w:lang w:val="en-US" w:eastAsia="zh-CN"/>
              </w:rPr>
              <w:t>备注：</w:t>
            </w:r>
            <w:r>
              <w:rPr>
                <w:rFonts w:hint="eastAsia" w:cs="宋体" w:asciiTheme="minorEastAsia" w:hAnsiTheme="minorEastAsia" w:eastAsiaTheme="minorEastAsia"/>
                <w:sz w:val="24"/>
                <w:szCs w:val="24"/>
              </w:rPr>
              <w:t>本项目</w:t>
            </w:r>
            <w:r>
              <w:rPr>
                <w:rFonts w:hint="eastAsia" w:cs="宋体" w:asciiTheme="minorEastAsia" w:hAnsiTheme="minorEastAsia" w:eastAsiaTheme="minorEastAsia"/>
                <w:sz w:val="24"/>
                <w:szCs w:val="24"/>
                <w:lang w:eastAsia="zh-CN"/>
              </w:rPr>
              <w:t>年度预算为</w:t>
            </w:r>
            <w:r>
              <w:rPr>
                <w:rFonts w:hint="eastAsia" w:cs="宋体" w:asciiTheme="minorEastAsia" w:hAnsiTheme="minorEastAsia"/>
                <w:sz w:val="24"/>
                <w:szCs w:val="24"/>
                <w:lang w:val="en-US" w:eastAsia="zh-CN"/>
              </w:rPr>
              <w:t>13.656</w:t>
            </w:r>
            <w:r>
              <w:rPr>
                <w:rFonts w:hint="eastAsia" w:cs="宋体" w:asciiTheme="minorEastAsia" w:hAnsiTheme="minorEastAsia" w:eastAsiaTheme="minorEastAsia"/>
                <w:sz w:val="24"/>
                <w:szCs w:val="24"/>
                <w:lang w:val="en-US" w:eastAsia="zh-CN"/>
              </w:rPr>
              <w:t>万元，投标人</w:t>
            </w:r>
            <w:r>
              <w:rPr>
                <w:rFonts w:hint="eastAsia" w:cs="宋体" w:asciiTheme="minorEastAsia" w:hAnsiTheme="minorEastAsia" w:eastAsiaTheme="minorEastAsia"/>
                <w:sz w:val="24"/>
                <w:szCs w:val="24"/>
                <w:lang w:eastAsia="zh-CN"/>
              </w:rPr>
              <w:t>按岗位进行</w:t>
            </w:r>
            <w:r>
              <w:rPr>
                <w:rFonts w:hint="eastAsia" w:cs="宋体" w:asciiTheme="minorEastAsia" w:hAnsiTheme="minorEastAsia" w:eastAsiaTheme="minorEastAsia"/>
                <w:sz w:val="24"/>
                <w:szCs w:val="24"/>
              </w:rPr>
              <w:t>报价，</w:t>
            </w:r>
            <w:r>
              <w:rPr>
                <w:rFonts w:hint="eastAsia" w:cs="宋体" w:asciiTheme="minorEastAsia" w:hAnsiTheme="minorEastAsia" w:eastAsiaTheme="minorEastAsia"/>
                <w:sz w:val="24"/>
                <w:szCs w:val="24"/>
                <w:lang w:eastAsia="zh-CN"/>
              </w:rPr>
              <w:t>单项报价不得超过单项控制价，平均报价</w:t>
            </w:r>
            <w:r>
              <w:rPr>
                <w:rFonts w:hint="eastAsia" w:asciiTheme="minorEastAsia" w:hAnsiTheme="minorEastAsia" w:eastAsiaTheme="minorEastAsia"/>
                <w:bCs/>
                <w:kern w:val="0"/>
                <w:sz w:val="24"/>
                <w:szCs w:val="24"/>
              </w:rPr>
              <w:t>作为</w:t>
            </w:r>
            <w:r>
              <w:rPr>
                <w:rFonts w:hint="eastAsia" w:asciiTheme="minorEastAsia" w:hAnsiTheme="minorEastAsia" w:eastAsiaTheme="minorEastAsia"/>
                <w:b/>
                <w:bCs w:val="0"/>
                <w:kern w:val="0"/>
                <w:sz w:val="24"/>
                <w:szCs w:val="24"/>
              </w:rPr>
              <w:t>定标依据</w:t>
            </w:r>
            <w:r>
              <w:rPr>
                <w:rFonts w:hint="eastAsia" w:asciiTheme="minorEastAsia" w:hAnsiTheme="minorEastAsia" w:eastAsiaTheme="minorEastAsia"/>
                <w:bCs/>
                <w:kern w:val="0"/>
                <w:sz w:val="24"/>
                <w:szCs w:val="24"/>
              </w:rPr>
              <w:t>，单</w:t>
            </w:r>
            <w:r>
              <w:rPr>
                <w:rFonts w:hint="eastAsia" w:asciiTheme="minorEastAsia" w:hAnsiTheme="minorEastAsia" w:eastAsiaTheme="minorEastAsia"/>
                <w:bCs/>
                <w:kern w:val="0"/>
                <w:sz w:val="24"/>
                <w:szCs w:val="24"/>
                <w:lang w:eastAsia="zh-CN"/>
              </w:rPr>
              <w:t>项报</w:t>
            </w:r>
            <w:r>
              <w:rPr>
                <w:rFonts w:hint="eastAsia" w:asciiTheme="minorEastAsia" w:hAnsiTheme="minorEastAsia" w:eastAsiaTheme="minorEastAsia"/>
                <w:bCs/>
                <w:kern w:val="0"/>
                <w:sz w:val="24"/>
                <w:szCs w:val="24"/>
              </w:rPr>
              <w:t>价作为据实结算的依据（中标后，单价不变），本项目最终结算总金额不超过项目预算。</w:t>
            </w:r>
            <w:r>
              <w:rPr>
                <w:rFonts w:hint="eastAsia" w:asciiTheme="minorEastAsia" w:hAnsiTheme="minorEastAsia" w:eastAsiaTheme="minorEastAsia"/>
                <w:b/>
                <w:bCs/>
                <w:kern w:val="0"/>
                <w:sz w:val="24"/>
                <w:szCs w:val="24"/>
              </w:rPr>
              <w:t>未按要求报价的投标无效。</w:t>
            </w:r>
          </w:p>
          <w:p w14:paraId="7CDE69A4">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bl>
    <w:p w14:paraId="3D354693">
      <w:pPr>
        <w:snapToGrid w:val="0"/>
        <w:spacing w:line="360" w:lineRule="auto"/>
        <w:jc w:val="left"/>
        <w:rPr>
          <w:rFonts w:hint="eastAsia" w:hAnsi="宋体"/>
          <w:b/>
          <w:color w:val="000000"/>
          <w:sz w:val="24"/>
          <w:szCs w:val="24"/>
        </w:rPr>
      </w:pPr>
      <w:r>
        <w:rPr>
          <w:rFonts w:hint="eastAsia" w:ascii="宋体" w:hAnsi="宋体" w:eastAsia="宋体" w:cs="Arial"/>
          <w:b w:val="0"/>
          <w:bCs/>
          <w:kern w:val="0"/>
          <w:sz w:val="24"/>
          <w:szCs w:val="24"/>
          <w:highlight w:val="none"/>
          <w:lang w:val="en-US" w:eastAsia="zh-CN"/>
        </w:rPr>
        <w:t>说明：</w:t>
      </w: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9"/>
        <w:snapToGrid w:val="0"/>
        <w:spacing w:line="360" w:lineRule="auto"/>
        <w:ind w:firstLine="480" w:firstLineChars="200"/>
        <w:jc w:val="left"/>
        <w:rPr>
          <w:rFonts w:hAnsi="宋体"/>
          <w:color w:val="000000"/>
          <w:sz w:val="24"/>
        </w:rPr>
      </w:pPr>
    </w:p>
    <w:p w14:paraId="6A31BD0E">
      <w:pPr>
        <w:pStyle w:val="9"/>
        <w:snapToGrid w:val="0"/>
        <w:spacing w:line="360" w:lineRule="auto"/>
        <w:ind w:firstLine="480" w:firstLineChars="200"/>
        <w:jc w:val="left"/>
        <w:rPr>
          <w:rFonts w:hAnsi="宋体"/>
          <w:color w:val="000000"/>
          <w:sz w:val="24"/>
        </w:rPr>
      </w:pPr>
    </w:p>
    <w:p w14:paraId="45BCA0E0">
      <w:pPr>
        <w:pStyle w:val="9"/>
        <w:snapToGrid w:val="0"/>
        <w:spacing w:line="360" w:lineRule="auto"/>
        <w:ind w:firstLine="480" w:firstLineChars="200"/>
        <w:jc w:val="left"/>
        <w:rPr>
          <w:rFonts w:hAnsi="宋体"/>
          <w:color w:val="000000"/>
          <w:sz w:val="24"/>
        </w:rPr>
      </w:pPr>
    </w:p>
    <w:p w14:paraId="0A8E74A5">
      <w:pPr>
        <w:pStyle w:val="9"/>
        <w:snapToGrid w:val="0"/>
        <w:spacing w:line="360" w:lineRule="auto"/>
        <w:ind w:firstLine="480" w:firstLineChars="200"/>
        <w:jc w:val="left"/>
        <w:rPr>
          <w:rFonts w:hAnsi="宋体"/>
          <w:color w:val="000000"/>
          <w:sz w:val="24"/>
        </w:rPr>
      </w:pPr>
    </w:p>
    <w:p w14:paraId="52E6373D">
      <w:pPr>
        <w:pStyle w:val="9"/>
        <w:snapToGrid w:val="0"/>
        <w:spacing w:line="360" w:lineRule="auto"/>
        <w:ind w:firstLine="480" w:firstLineChars="200"/>
        <w:jc w:val="left"/>
        <w:rPr>
          <w:rFonts w:hAnsi="宋体"/>
          <w:color w:val="000000"/>
          <w:sz w:val="24"/>
        </w:rPr>
      </w:pPr>
    </w:p>
    <w:p w14:paraId="1B194622">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9"/>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2"/>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F82A6BB">
      <w:pPr>
        <w:rPr>
          <w:rFonts w:hint="eastAsia"/>
          <w:lang w:val="en-US" w:eastAsia="zh-CN"/>
        </w:rPr>
      </w:pPr>
    </w:p>
    <w:p w14:paraId="65A182AE">
      <w:pPr>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采购服务类项目需求表</w:t>
      </w:r>
    </w:p>
    <w:tbl>
      <w:tblPr>
        <w:tblStyle w:val="13"/>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6525"/>
      </w:tblGrid>
      <w:tr w14:paraId="2144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75" w:type="pct"/>
            <w:vAlign w:val="center"/>
          </w:tcPr>
          <w:p w14:paraId="65AD1659">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24" w:type="pct"/>
            <w:vAlign w:val="center"/>
          </w:tcPr>
          <w:p w14:paraId="592DC6E6">
            <w:pPr>
              <w:autoSpaceDE w:val="0"/>
              <w:autoSpaceDN w:val="0"/>
              <w:adjustRightInd w:val="0"/>
              <w:jc w:val="left"/>
              <w:rPr>
                <w:rFonts w:hint="eastAsia" w:ascii="宋体" w:hAnsi="宋体" w:eastAsia="宋体" w:cs="Times New Roman"/>
                <w:sz w:val="24"/>
                <w:szCs w:val="20"/>
                <w:lang w:val="en-US" w:eastAsia="zh-CN"/>
              </w:rPr>
            </w:pPr>
          </w:p>
          <w:p w14:paraId="4AAD4633">
            <w:pPr>
              <w:autoSpaceDE w:val="0"/>
              <w:autoSpaceDN w:val="0"/>
              <w:adjustRightInd w:val="0"/>
              <w:jc w:val="left"/>
              <w:rPr>
                <w:rFonts w:hint="eastAsia" w:ascii="宋体" w:hAnsi="宋体" w:eastAsia="宋体" w:cs="Times New Roman"/>
                <w:sz w:val="24"/>
                <w:szCs w:val="24"/>
                <w:lang w:val="en-US" w:eastAsia="zh-CN"/>
              </w:rPr>
            </w:pPr>
            <w:r>
              <w:rPr>
                <w:rFonts w:ascii="Arial" w:hAnsi="Arial" w:eastAsia="宋体" w:cs="Arial"/>
                <w:i w:val="0"/>
                <w:iCs w:val="0"/>
                <w:caps w:val="0"/>
                <w:color w:val="111111"/>
                <w:spacing w:val="0"/>
                <w:sz w:val="24"/>
                <w:szCs w:val="24"/>
                <w:shd w:val="clear" w:fill="FFFFFF"/>
              </w:rPr>
              <w:t>合肥经济技术开发区（北区）2026年重大祭祀节气临时秩序维护服务</w:t>
            </w:r>
          </w:p>
          <w:p w14:paraId="745BB36E">
            <w:pPr>
              <w:pStyle w:val="2"/>
              <w:rPr>
                <w:rFonts w:hint="default"/>
                <w:lang w:val="en-US" w:eastAsia="zh-CN"/>
              </w:rPr>
            </w:pPr>
          </w:p>
        </w:tc>
      </w:tr>
      <w:tr w14:paraId="2801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75" w:type="pct"/>
            <w:vAlign w:val="center"/>
          </w:tcPr>
          <w:p w14:paraId="6C264B52">
            <w:pPr>
              <w:jc w:val="center"/>
              <w:rPr>
                <w:rFonts w:ascii="宋体" w:hAnsi="宋体" w:eastAsia="宋体" w:cs="Times New Roman"/>
                <w:b/>
                <w:sz w:val="24"/>
                <w:szCs w:val="20"/>
              </w:rPr>
            </w:pPr>
            <w:r>
              <w:rPr>
                <w:rFonts w:hint="eastAsia" w:ascii="宋体" w:hAnsi="宋体" w:eastAsia="宋体" w:cs="Times New Roman"/>
                <w:b/>
                <w:sz w:val="24"/>
                <w:szCs w:val="20"/>
              </w:rPr>
              <w:t>项目预算</w:t>
            </w:r>
          </w:p>
        </w:tc>
        <w:tc>
          <w:tcPr>
            <w:tcW w:w="3924" w:type="pct"/>
            <w:vAlign w:val="center"/>
          </w:tcPr>
          <w:p w14:paraId="0C87D177">
            <w:pPr>
              <w:autoSpaceDE w:val="0"/>
              <w:autoSpaceDN w:val="0"/>
              <w:adjustRightInd w:val="0"/>
              <w:spacing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13.656</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万元</w:t>
            </w:r>
          </w:p>
        </w:tc>
      </w:tr>
      <w:tr w14:paraId="6DD2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pct"/>
            <w:vAlign w:val="center"/>
          </w:tcPr>
          <w:p w14:paraId="0C3798D8">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24" w:type="pct"/>
            <w:vAlign w:val="center"/>
          </w:tcPr>
          <w:p w14:paraId="6E77F131">
            <w:pPr>
              <w:autoSpaceDE w:val="0"/>
              <w:autoSpaceDN w:val="0"/>
              <w:adjustRightInd w:val="0"/>
              <w:jc w:val="left"/>
              <w:rPr>
                <w:rFonts w:hint="eastAsia" w:ascii="Times New Roman" w:hAnsi="Times New Roman" w:eastAsia="宋体" w:cs="宋体"/>
                <w:color w:val="000000"/>
                <w:sz w:val="24"/>
                <w:szCs w:val="18"/>
                <w:lang w:val="en-US" w:eastAsia="zh-CN"/>
              </w:rPr>
            </w:pPr>
          </w:p>
          <w:p w14:paraId="68237041">
            <w:pPr>
              <w:autoSpaceDE w:val="0"/>
              <w:autoSpaceDN w:val="0"/>
              <w:adjustRightInd w:val="0"/>
              <w:jc w:val="left"/>
              <w:rPr>
                <w:rFonts w:hint="eastAsia" w:ascii="Times New Roman" w:hAnsi="Times New Roman" w:eastAsia="宋体" w:cs="宋体"/>
                <w:color w:val="000000"/>
                <w:sz w:val="24"/>
                <w:szCs w:val="18"/>
                <w:lang w:val="en-US" w:eastAsia="zh-CN"/>
              </w:rPr>
            </w:pPr>
            <w:r>
              <w:rPr>
                <w:rFonts w:hint="eastAsia" w:ascii="Times New Roman" w:hAnsi="Times New Roman" w:eastAsia="宋体" w:cs="宋体"/>
                <w:color w:val="000000"/>
                <w:sz w:val="24"/>
                <w:szCs w:val="18"/>
                <w:lang w:val="en-US" w:eastAsia="zh-CN"/>
              </w:rPr>
              <w:t>合肥经济技术开发区万家桥生态文化陵园、南庄公墓园、洪店公墓园，清明、中元、冬至、大寒及除夕期间祭祀群众人数激增，为更好保障公墓陵园的正常运营和祭祀群众的生命财产安全，在重大祭祀保障节气临时秩序维护服务</w:t>
            </w:r>
          </w:p>
          <w:p w14:paraId="3E7F1C43">
            <w:pPr>
              <w:pStyle w:val="2"/>
            </w:pPr>
          </w:p>
        </w:tc>
      </w:tr>
      <w:tr w14:paraId="2B99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75" w:type="pct"/>
            <w:vAlign w:val="center"/>
          </w:tcPr>
          <w:p w14:paraId="3E769A2C">
            <w:pPr>
              <w:jc w:val="center"/>
              <w:rPr>
                <w:rFonts w:ascii="宋体" w:hAnsi="宋体" w:eastAsia="宋体" w:cs="Times New Roman"/>
                <w:b/>
                <w:sz w:val="24"/>
                <w:szCs w:val="20"/>
              </w:rPr>
            </w:pPr>
            <w:r>
              <w:rPr>
                <w:rFonts w:hint="eastAsia" w:ascii="宋体" w:hAnsi="宋体" w:eastAsia="宋体" w:cs="Times New Roman"/>
                <w:b/>
                <w:color w:val="000000" w:themeColor="text1"/>
                <w:sz w:val="24"/>
                <w:szCs w:val="24"/>
                <w14:textFill>
                  <w14:solidFill>
                    <w14:schemeClr w14:val="tx1"/>
                  </w14:solidFill>
                </w14:textFill>
              </w:rPr>
              <w:t>采购方式及评分办法选择（评分细则设置参见本表下述指引）</w:t>
            </w:r>
          </w:p>
        </w:tc>
        <w:tc>
          <w:tcPr>
            <w:tcW w:w="3924" w:type="pct"/>
            <w:vAlign w:val="center"/>
          </w:tcPr>
          <w:p w14:paraId="7C0D3E1E">
            <w:pPr>
              <w:autoSpaceDE w:val="0"/>
              <w:autoSpaceDN w:val="0"/>
              <w:adjustRightIn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1.采购方式：</w:t>
            </w:r>
            <w:r>
              <w:rPr>
                <w:rFonts w:hint="eastAsia" w:ascii="宋体" w:hAnsi="宋体" w:eastAsia="宋体" w:cs="Times New Roman"/>
                <w:sz w:val="24"/>
                <w:szCs w:val="24"/>
                <w:lang w:eastAsia="zh-CN"/>
              </w:rPr>
              <w:t>□</w:t>
            </w:r>
            <w:r>
              <w:rPr>
                <w:rFonts w:ascii="宋体" w:hAnsi="宋体" w:eastAsia="宋体" w:cs="Times New Roman"/>
                <w:sz w:val="24"/>
                <w:szCs w:val="24"/>
              </w:rPr>
              <w:t>公开招标</w:t>
            </w:r>
            <w:r>
              <w:rPr>
                <w:rFonts w:hint="eastAsia" w:ascii="宋体" w:hAnsi="宋体" w:eastAsia="宋体" w:cs="Times New Roman"/>
                <w:sz w:val="24"/>
                <w:szCs w:val="24"/>
              </w:rPr>
              <w:t xml:space="preserve"> □竞争性磋商 □竞争性谈判</w:t>
            </w:r>
          </w:p>
          <w:p w14:paraId="2F128091">
            <w:pPr>
              <w:autoSpaceDE w:val="0"/>
              <w:autoSpaceDN w:val="0"/>
              <w:adjustRightIn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最低评标价法  </w:t>
            </w:r>
            <w:r>
              <w:rPr>
                <w:rFonts w:hint="eastAsia" w:ascii="宋体" w:hAnsi="宋体" w:eastAsia="宋体" w:cs="Times New Roman"/>
                <w:sz w:val="24"/>
                <w:szCs w:val="24"/>
                <w:lang w:eastAsia="zh-CN"/>
              </w:rPr>
              <w:t>□</w:t>
            </w:r>
            <w:r>
              <w:rPr>
                <w:rFonts w:hint="eastAsia" w:ascii="宋体" w:hAnsi="宋体" w:eastAsia="宋体" w:cs="Times New Roman"/>
                <w:sz w:val="24"/>
                <w:szCs w:val="24"/>
              </w:rPr>
              <w:t>综合评分法（仅适用于公开招标、竞争性磋商项目）</w:t>
            </w:r>
          </w:p>
        </w:tc>
      </w:tr>
      <w:tr w14:paraId="1C52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075" w:type="pct"/>
            <w:vAlign w:val="center"/>
          </w:tcPr>
          <w:p w14:paraId="4240494D">
            <w:pPr>
              <w:jc w:val="center"/>
              <w:rPr>
                <w:rFonts w:ascii="宋体" w:hAnsi="宋体" w:eastAsia="宋体" w:cs="Times New Roman"/>
                <w:b/>
                <w:sz w:val="24"/>
                <w:szCs w:val="20"/>
              </w:rPr>
            </w:pPr>
            <w:r>
              <w:rPr>
                <w:rFonts w:hint="eastAsia" w:ascii="宋体" w:hAnsi="宋体" w:eastAsia="宋体" w:cs="Times New Roman"/>
                <w:b/>
                <w:sz w:val="24"/>
                <w:szCs w:val="20"/>
              </w:rPr>
              <w:t>项目是否分包</w:t>
            </w:r>
          </w:p>
          <w:p w14:paraId="32117C4F">
            <w:pPr>
              <w:jc w:val="center"/>
              <w:rPr>
                <w:rFonts w:ascii="宋体" w:hAnsi="宋体" w:eastAsia="宋体" w:cs="Times New Roman"/>
                <w:b/>
                <w:sz w:val="24"/>
                <w:szCs w:val="20"/>
              </w:rPr>
            </w:pPr>
            <w:r>
              <w:rPr>
                <w:rFonts w:hint="eastAsia" w:ascii="宋体" w:hAnsi="宋体" w:eastAsia="宋体" w:cs="Times New Roman"/>
                <w:b/>
                <w:sz w:val="24"/>
                <w:szCs w:val="20"/>
              </w:rPr>
              <w:t>分包预算</w:t>
            </w:r>
          </w:p>
        </w:tc>
        <w:tc>
          <w:tcPr>
            <w:tcW w:w="3924" w:type="pct"/>
            <w:vAlign w:val="center"/>
          </w:tcPr>
          <w:p w14:paraId="27B2932F">
            <w:pPr>
              <w:autoSpaceDE w:val="0"/>
              <w:autoSpaceDN w:val="0"/>
              <w:adjustRightInd w:val="0"/>
              <w:rPr>
                <w:rFonts w:ascii="宋体" w:hAnsi="宋体" w:eastAsia="宋体" w:cs="Times New Roman"/>
                <w:sz w:val="24"/>
                <w:szCs w:val="20"/>
              </w:rPr>
            </w:pPr>
            <w:r>
              <w:rPr>
                <w:rFonts w:hint="eastAsia" w:ascii="宋体" w:hAnsi="宋体" w:eastAsia="宋体"/>
                <w:sz w:val="24"/>
              </w:rPr>
              <w:t>不分包</w:t>
            </w:r>
          </w:p>
        </w:tc>
      </w:tr>
      <w:tr w14:paraId="0B7D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075" w:type="pct"/>
            <w:vAlign w:val="center"/>
          </w:tcPr>
          <w:p w14:paraId="5ED76AAB">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24" w:type="pct"/>
            <w:vAlign w:val="center"/>
          </w:tcPr>
          <w:p w14:paraId="24BDDD1E">
            <w:pPr>
              <w:autoSpaceDE w:val="0"/>
              <w:autoSpaceDN w:val="0"/>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1、符合《中华人民共和国政府采购法》第二十二条规定。</w:t>
            </w:r>
          </w:p>
          <w:p w14:paraId="7BAB4A2D">
            <w:pPr>
              <w:autoSpaceDE w:val="0"/>
              <w:autoSpaceDN w:val="0"/>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 具有合法有效的《劳务派遣经营许可证》及《保安服务许可证》；若为外省、自治区、直辖市公安机关颁发的《保安服务许可证》，须已在本地公安机关完成备案手续。</w:t>
            </w:r>
          </w:p>
          <w:p w14:paraId="2639ABEC">
            <w:pPr>
              <w:autoSpaceDE w:val="0"/>
              <w:autoSpaceDN w:val="0"/>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 业绩要求：自2022年1月1日至今，投标人至少承担过两项县级以上（含县级）政府相关职能部门购买的临时安保服务类项目，且单个合同金额不低于25万元。</w:t>
            </w:r>
          </w:p>
          <w:p w14:paraId="2123A21C">
            <w:pPr>
              <w:autoSpaceDE w:val="0"/>
              <w:autoSpaceDN w:val="0"/>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 具有良好的依法缴纳税收和社会保障资金记录，投标截止日前连续三个月单位社保缴纳人数均不少于100人。</w:t>
            </w:r>
          </w:p>
          <w:p w14:paraId="0D445CD3">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.本项目不接受联合体投标。</w:t>
            </w:r>
          </w:p>
        </w:tc>
      </w:tr>
      <w:tr w14:paraId="10C5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1075" w:type="pct"/>
            <w:vAlign w:val="center"/>
          </w:tcPr>
          <w:p w14:paraId="5D5BE5B8">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24" w:type="pct"/>
            <w:vAlign w:val="center"/>
          </w:tcPr>
          <w:p w14:paraId="0A289585">
            <w:pPr>
              <w:spacing w:line="520" w:lineRule="exact"/>
              <w:rPr>
                <w:rFonts w:hAnsi="宋体" w:cs="宋体"/>
                <w:sz w:val="24"/>
                <w:szCs w:val="24"/>
                <w:highlight w:val="none"/>
              </w:rPr>
            </w:pPr>
            <w:r>
              <w:rPr>
                <w:rFonts w:hAnsi="宋体" w:cs="宋体"/>
                <w:sz w:val="24"/>
                <w:szCs w:val="24"/>
                <w:highlight w:val="none"/>
              </w:rPr>
              <w:t>1、服务费用实行全额考核，按</w:t>
            </w:r>
            <w:r>
              <w:rPr>
                <w:rFonts w:hint="eastAsia" w:hAnsi="宋体" w:cs="宋体"/>
                <w:sz w:val="24"/>
                <w:szCs w:val="24"/>
                <w:highlight w:val="none"/>
                <w:lang w:eastAsia="zh-CN"/>
              </w:rPr>
              <w:t>季度</w:t>
            </w:r>
            <w:r>
              <w:rPr>
                <w:rFonts w:hAnsi="宋体" w:cs="宋体"/>
                <w:sz w:val="24"/>
                <w:szCs w:val="24"/>
                <w:highlight w:val="none"/>
              </w:rPr>
              <w:t>支付。</w:t>
            </w:r>
          </w:p>
          <w:p w14:paraId="205421F6">
            <w:pPr>
              <w:spacing w:line="520" w:lineRule="exact"/>
              <w:rPr>
                <w:rFonts w:hAnsi="宋体" w:cs="宋体"/>
                <w:sz w:val="24"/>
                <w:szCs w:val="24"/>
                <w:highlight w:val="none"/>
              </w:rPr>
            </w:pPr>
            <w:r>
              <w:rPr>
                <w:rFonts w:hAnsi="宋体" w:cs="宋体"/>
                <w:sz w:val="24"/>
                <w:szCs w:val="24"/>
                <w:highlight w:val="none"/>
              </w:rPr>
              <w:t>2、以每月</w:t>
            </w:r>
            <w:r>
              <w:rPr>
                <w:rFonts w:hint="eastAsia" w:hAnsi="宋体" w:cs="宋体"/>
                <w:sz w:val="24"/>
                <w:szCs w:val="24"/>
                <w:highlight w:val="none"/>
                <w:lang w:eastAsia="zh-CN"/>
              </w:rPr>
              <w:t>服务量和</w:t>
            </w:r>
            <w:r>
              <w:rPr>
                <w:rFonts w:hAnsi="宋体" w:cs="宋体"/>
                <w:sz w:val="24"/>
                <w:szCs w:val="24"/>
                <w:highlight w:val="none"/>
              </w:rPr>
              <w:t>考核结果作为服务费用拨付的依据，在扣除相应费用（如有）并在中标</w:t>
            </w:r>
            <w:r>
              <w:rPr>
                <w:rFonts w:hint="eastAsia" w:hAnsi="宋体" w:cs="宋体"/>
                <w:sz w:val="24"/>
                <w:szCs w:val="24"/>
                <w:highlight w:val="none"/>
              </w:rPr>
              <w:t>人</w:t>
            </w:r>
            <w:r>
              <w:rPr>
                <w:rFonts w:hAnsi="宋体" w:cs="宋体"/>
                <w:sz w:val="24"/>
                <w:szCs w:val="24"/>
                <w:highlight w:val="none"/>
              </w:rPr>
              <w:t>开具过发票后支付。</w:t>
            </w:r>
          </w:p>
          <w:p w14:paraId="3D269378">
            <w:pPr>
              <w:autoSpaceDE w:val="0"/>
              <w:autoSpaceDN w:val="0"/>
              <w:adjustRightInd w:val="0"/>
              <w:spacing w:line="360" w:lineRule="auto"/>
              <w:jc w:val="left"/>
            </w:pPr>
            <w:r>
              <w:rPr>
                <w:rFonts w:hAnsi="宋体" w:cs="宋体"/>
                <w:sz w:val="24"/>
                <w:szCs w:val="24"/>
                <w:highlight w:val="none"/>
              </w:rPr>
              <w:t>3、中标</w:t>
            </w:r>
            <w:r>
              <w:rPr>
                <w:rFonts w:hint="eastAsia" w:hAnsi="宋体" w:cs="宋体"/>
                <w:sz w:val="24"/>
                <w:szCs w:val="24"/>
                <w:highlight w:val="none"/>
              </w:rPr>
              <w:t>人</w:t>
            </w:r>
            <w:r>
              <w:rPr>
                <w:rFonts w:hAnsi="宋体" w:cs="宋体"/>
                <w:sz w:val="24"/>
                <w:szCs w:val="24"/>
                <w:highlight w:val="none"/>
              </w:rPr>
              <w:t>需开具增值税专用发票。</w:t>
            </w:r>
          </w:p>
        </w:tc>
      </w:tr>
      <w:tr w14:paraId="4E70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75" w:type="pct"/>
            <w:vAlign w:val="center"/>
          </w:tcPr>
          <w:p w14:paraId="63CDAF9F">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24" w:type="pct"/>
            <w:vAlign w:val="center"/>
          </w:tcPr>
          <w:p w14:paraId="7E7432A1">
            <w:pPr>
              <w:autoSpaceDE w:val="0"/>
              <w:autoSpaceDN w:val="0"/>
              <w:adjustRightInd w:val="0"/>
              <w:spacing w:line="360" w:lineRule="auto"/>
              <w:jc w:val="left"/>
              <w:rPr>
                <w:rFonts w:hint="default" w:ascii="宋体" w:hAnsi="宋体" w:eastAsia="宋体" w:cs="Times New Roman"/>
                <w:color w:val="000000" w:themeColor="text1"/>
                <w:sz w:val="24"/>
                <w:szCs w:val="18"/>
                <w:lang w:val="en-US" w:eastAsia="zh-CN"/>
                <w14:textFill>
                  <w14:solidFill>
                    <w14:schemeClr w14:val="tx1"/>
                  </w14:solidFill>
                </w14:textFill>
              </w:rPr>
            </w:pPr>
            <w:r>
              <w:rPr>
                <w:rFonts w:hint="eastAsia" w:ascii="宋体" w:hAnsi="宋体" w:eastAsia="宋体" w:cs="Times New Roman"/>
                <w:color w:val="000000" w:themeColor="text1"/>
                <w:sz w:val="24"/>
                <w:szCs w:val="18"/>
                <w:lang w:val="en-US" w:eastAsia="zh-CN"/>
                <w14:textFill>
                  <w14:solidFill>
                    <w14:schemeClr w14:val="tx1"/>
                  </w14:solidFill>
                </w14:textFill>
              </w:rPr>
              <w:t>合肥经济技术开发区</w:t>
            </w:r>
          </w:p>
        </w:tc>
      </w:tr>
      <w:tr w14:paraId="6B8E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075" w:type="pct"/>
            <w:vAlign w:val="center"/>
          </w:tcPr>
          <w:p w14:paraId="27EAC9F3">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24" w:type="pct"/>
            <w:vAlign w:val="center"/>
          </w:tcPr>
          <w:p w14:paraId="7109746B">
            <w:pPr>
              <w:autoSpaceDE w:val="0"/>
              <w:autoSpaceDN w:val="0"/>
              <w:adjustRightInd w:val="0"/>
              <w:spacing w:line="360" w:lineRule="auto"/>
              <w:jc w:val="left"/>
              <w:rPr>
                <w:rFonts w:ascii="宋体" w:hAnsi="宋体" w:eastAsia="宋体" w:cs="Times New Roman"/>
                <w:color w:val="000000" w:themeColor="text1"/>
                <w:sz w:val="24"/>
                <w:szCs w:val="18"/>
                <w14:textFill>
                  <w14:solidFill>
                    <w14:schemeClr w14:val="tx1"/>
                  </w14:solidFill>
                </w14:textFill>
              </w:rPr>
            </w:pPr>
            <w:r>
              <w:rPr>
                <w:rFonts w:hint="eastAsia" w:asciiTheme="minorEastAsia" w:hAnsiTheme="minorEastAsia" w:eastAsiaTheme="minorEastAsia"/>
                <w:b w:val="0"/>
                <w:color w:val="000000" w:themeColor="text1"/>
                <w:sz w:val="24"/>
                <w:szCs w:val="24"/>
                <w14:textFill>
                  <w14:solidFill>
                    <w14:schemeClr w14:val="tx1"/>
                  </w14:solidFill>
                </w14:textFill>
              </w:rPr>
              <w:t>合同签订后一年。合同到期后，经采购人年度考评合格（总分100分，均分90分及以上合格），在年度预算能保证的前提下，经双方同意，可续签下一年度合同，且续签合同中标价格不变，最多续签2次，合同一年一签。</w:t>
            </w:r>
          </w:p>
        </w:tc>
      </w:tr>
      <w:tr w14:paraId="12DA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75" w:type="pct"/>
            <w:vAlign w:val="center"/>
          </w:tcPr>
          <w:p w14:paraId="1282BF96">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24" w:type="pct"/>
            <w:vAlign w:val="center"/>
          </w:tcPr>
          <w:p w14:paraId="38256ABF">
            <w:pPr>
              <w:spacing w:line="360" w:lineRule="auto"/>
              <w:rPr>
                <w:rFonts w:ascii="宋体" w:hAnsi="宋体" w:eastAsia="宋体" w:cs="宋体"/>
                <w:sz w:val="24"/>
                <w:szCs w:val="24"/>
              </w:rPr>
            </w:pPr>
            <w:r>
              <w:rPr>
                <w:rFonts w:hint="eastAsia" w:ascii="宋体" w:hAnsi="宋体" w:eastAsia="宋体" w:cs="宋体"/>
                <w:sz w:val="24"/>
                <w:szCs w:val="24"/>
              </w:rPr>
              <w:t>否</w:t>
            </w:r>
          </w:p>
        </w:tc>
      </w:tr>
      <w:tr w14:paraId="29A1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75" w:type="pct"/>
            <w:vAlign w:val="center"/>
          </w:tcPr>
          <w:p w14:paraId="49FC8310">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24" w:type="pct"/>
            <w:vAlign w:val="center"/>
          </w:tcPr>
          <w:p w14:paraId="06C02398">
            <w:pPr>
              <w:autoSpaceDE w:val="0"/>
              <w:autoSpaceDN w:val="0"/>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无</w:t>
            </w:r>
          </w:p>
        </w:tc>
      </w:tr>
    </w:tbl>
    <w:p w14:paraId="4806B54E">
      <w:pPr>
        <w:keepNext/>
        <w:keepLines/>
        <w:numPr>
          <w:ilvl w:val="0"/>
          <w:numId w:val="0"/>
        </w:numPr>
        <w:spacing w:line="360" w:lineRule="auto"/>
        <w:ind w:firstLine="482" w:firstLineChars="200"/>
        <w:outlineLvl w:val="2"/>
        <w:rPr>
          <w:rFonts w:hint="eastAsia" w:ascii="Times New Roman" w:hAnsi="Times New Roman" w:eastAsia="宋体" w:cs="Times New Roman"/>
          <w:b/>
          <w:bCs w:val="0"/>
          <w:sz w:val="24"/>
          <w:szCs w:val="24"/>
          <w:lang w:val="en-US" w:eastAsia="zh-CN"/>
        </w:rPr>
      </w:pPr>
    </w:p>
    <w:p w14:paraId="5C19BF80">
      <w:pPr>
        <w:keepNext/>
        <w:keepLines/>
        <w:numPr>
          <w:ilvl w:val="0"/>
          <w:numId w:val="0"/>
        </w:numPr>
        <w:spacing w:line="360" w:lineRule="auto"/>
        <w:ind w:firstLine="482" w:firstLineChars="200"/>
        <w:outlineLvl w:val="2"/>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二、</w:t>
      </w:r>
      <w:r>
        <w:rPr>
          <w:rFonts w:hint="eastAsia" w:ascii="Times New Roman" w:hAnsi="Times New Roman" w:eastAsia="宋体" w:cs="Times New Roman"/>
          <w:b/>
          <w:bCs w:val="0"/>
          <w:sz w:val="24"/>
          <w:szCs w:val="24"/>
        </w:rPr>
        <w:t>项目概况</w:t>
      </w:r>
    </w:p>
    <w:p w14:paraId="2D8ED2DD">
      <w:pPr>
        <w:pStyle w:val="11"/>
        <w:spacing w:line="360" w:lineRule="auto"/>
        <w:ind w:left="0" w:firstLine="480" w:firstLineChars="200"/>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合肥经济技术开发区万家桥生态文化陵园、南庄公墓园、洪店公墓园，清明、中元、冬至、大寒及除夕期间祭祀群众人数激增，为更好保障公墓陵园的正常运营和祭祀群众的生命财产安全，在重大祭祀保障节气临时秩序维护服务。</w:t>
      </w:r>
    </w:p>
    <w:p w14:paraId="08B456C0">
      <w:pPr>
        <w:pStyle w:val="5"/>
        <w:numPr>
          <w:ilvl w:val="0"/>
          <w:numId w:val="0"/>
        </w:numPr>
        <w:spacing w:line="360" w:lineRule="auto"/>
        <w:ind w:leftChars="0" w:firstLine="480" w:firstLineChars="200"/>
        <w:jc w:val="both"/>
        <w:rPr>
          <w:rFonts w:hint="eastAsia"/>
          <w:b/>
          <w:bCs/>
          <w:sz w:val="24"/>
          <w:szCs w:val="24"/>
        </w:rPr>
      </w:pPr>
      <w:r>
        <w:rPr>
          <w:rFonts w:hint="eastAsia"/>
          <w:b/>
          <w:bCs/>
          <w:sz w:val="24"/>
          <w:szCs w:val="24"/>
          <w:lang w:val="en-US" w:eastAsia="zh-CN"/>
        </w:rPr>
        <w:t>三、服务</w:t>
      </w:r>
      <w:r>
        <w:rPr>
          <w:rFonts w:hint="eastAsia"/>
          <w:b/>
          <w:bCs/>
          <w:sz w:val="24"/>
          <w:szCs w:val="24"/>
        </w:rPr>
        <w:t>需求</w:t>
      </w:r>
    </w:p>
    <w:p w14:paraId="5CC8570F">
      <w:pPr>
        <w:autoSpaceDE w:val="0"/>
        <w:autoSpaceDN w:val="0"/>
        <w:adjustRightInd w:val="0"/>
        <w:spacing w:line="360" w:lineRule="auto"/>
        <w:ind w:firstLine="480" w:firstLineChars="200"/>
        <w:jc w:val="left"/>
        <w:rPr>
          <w:rFonts w:hint="eastAsia" w:ascii="宋体" w:hAnsi="宋体" w:eastAsia="宋体" w:cs="Times New Roman"/>
          <w:sz w:val="24"/>
          <w:szCs w:val="24"/>
          <w:lang w:val="en-US" w:eastAsia="zh-CN"/>
        </w:rPr>
      </w:pPr>
      <w:r>
        <w:rPr>
          <w:rFonts w:hint="eastAsia" w:asciiTheme="minorHAnsi" w:hAnsiTheme="minorHAnsi"/>
          <w:bCs/>
          <w:color w:val="000000" w:themeColor="text1"/>
          <w:sz w:val="24"/>
          <w:szCs w:val="24"/>
          <w:lang w:val="en-US" w:eastAsia="zh-CN"/>
          <w14:textFill>
            <w14:solidFill>
              <w14:schemeClr w14:val="tx1"/>
            </w14:solidFill>
          </w14:textFill>
        </w:rPr>
        <w:t>（一）需求范围：</w:t>
      </w:r>
      <w:r>
        <w:rPr>
          <w:rFonts w:hint="eastAsia" w:ascii="宋体" w:hAnsi="宋体" w:eastAsia="宋体" w:cs="Times New Roman"/>
          <w:sz w:val="24"/>
          <w:szCs w:val="20"/>
          <w:lang w:val="en-US" w:eastAsia="zh-CN"/>
        </w:rPr>
        <w:t>合肥经济技术开发区(北区)2026年度</w:t>
      </w:r>
      <w:r>
        <w:rPr>
          <w:rFonts w:ascii="Arial" w:hAnsi="Arial" w:eastAsia="宋体" w:cs="Arial"/>
          <w:i w:val="0"/>
          <w:iCs w:val="0"/>
          <w:caps w:val="0"/>
          <w:color w:val="111111"/>
          <w:spacing w:val="0"/>
          <w:sz w:val="24"/>
          <w:szCs w:val="24"/>
          <w:shd w:val="clear" w:fill="FFFFFF"/>
        </w:rPr>
        <w:t>重大祭祀节气临时秩序维护服务</w:t>
      </w:r>
    </w:p>
    <w:p w14:paraId="136A363A">
      <w:pPr>
        <w:pStyle w:val="1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（二）</w:t>
      </w:r>
      <w:r>
        <w:rPr>
          <w:rFonts w:hint="eastAsia" w:asciiTheme="minorHAnsi" w:hAnsiTheme="minorHAnsi"/>
          <w:bCs/>
          <w:color w:val="000000" w:themeColor="text1"/>
          <w:sz w:val="24"/>
          <w:szCs w:val="24"/>
          <w:lang w:val="en-US" w:eastAsia="zh-CN"/>
          <w14:textFill>
            <w14:solidFill>
              <w14:schemeClr w14:val="tx1"/>
            </w14:solidFill>
          </w14:textFill>
        </w:rPr>
        <w:t>合肥经济技术开发区（北区）2026年度重大祭祀保障节气（清明、中元、大寒、除夕）临时秩序维护人员需求计划如下表：</w:t>
      </w:r>
    </w:p>
    <w:tbl>
      <w:tblPr>
        <w:tblStyle w:val="13"/>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735"/>
        <w:gridCol w:w="1328"/>
        <w:gridCol w:w="1462"/>
        <w:gridCol w:w="925"/>
        <w:gridCol w:w="1138"/>
        <w:gridCol w:w="1175"/>
        <w:gridCol w:w="767"/>
      </w:tblGrid>
      <w:tr w14:paraId="4E11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085" w:type="dxa"/>
            <w:gridSpan w:val="8"/>
            <w:tcBorders>
              <w:top w:val="nil"/>
              <w:left w:val="nil"/>
              <w:bottom w:val="nil"/>
              <w:right w:val="nil"/>
            </w:tcBorders>
            <w:shd w:val="clear" w:color="auto" w:fill="auto"/>
            <w:vAlign w:val="center"/>
          </w:tcPr>
          <w:p w14:paraId="473F78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p w14:paraId="180F77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4"/>
                <w:szCs w:val="24"/>
                <w:u w:val="none"/>
                <w:lang w:val="en-US" w:eastAsia="zh-CN" w:bidi="ar"/>
              </w:rPr>
              <w:t>合肥经济技术开发区（北区）2026年度重大祭祀接待保障（清明、中元、冬至、大寒、除夕）临时秩序维护人员需求计划表</w:t>
            </w:r>
          </w:p>
        </w:tc>
      </w:tr>
      <w:tr w14:paraId="20CF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3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节气</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需求项目</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需求计划日期</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A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需求计划天数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C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秩序维护需求计划人数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秩序维护需求计划人数小计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26A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2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清明 2026年4月5日</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1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万家桥生态文化陵园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9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2026年4月2日-8日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5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B50">
            <w:pPr>
              <w:jc w:val="center"/>
              <w:rPr>
                <w:rFonts w:hint="eastAsia" w:ascii="宋体" w:hAnsi="宋体" w:eastAsia="宋体" w:cs="宋体"/>
                <w:i w:val="0"/>
                <w:iCs w:val="0"/>
                <w:color w:val="000000"/>
                <w:sz w:val="20"/>
                <w:szCs w:val="20"/>
                <w:u w:val="none"/>
              </w:rPr>
            </w:pPr>
          </w:p>
        </w:tc>
      </w:tr>
      <w:tr w14:paraId="7089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8837">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高刘街道南庄公墓园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2026年4月2日-8日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E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6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5A87">
            <w:pPr>
              <w:jc w:val="center"/>
              <w:rPr>
                <w:rFonts w:hint="eastAsia" w:ascii="宋体" w:hAnsi="宋体" w:eastAsia="宋体" w:cs="宋体"/>
                <w:i w:val="0"/>
                <w:iCs w:val="0"/>
                <w:color w:val="000000"/>
                <w:sz w:val="20"/>
                <w:szCs w:val="20"/>
                <w:u w:val="none"/>
              </w:rPr>
            </w:pPr>
          </w:p>
        </w:tc>
      </w:tr>
      <w:tr w14:paraId="6AF1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9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302">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高刘街道洪店公墓园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E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2026年4月2日-8日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9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62A1">
            <w:pPr>
              <w:jc w:val="center"/>
              <w:rPr>
                <w:rFonts w:hint="eastAsia" w:ascii="宋体" w:hAnsi="宋体" w:eastAsia="宋体" w:cs="宋体"/>
                <w:i w:val="0"/>
                <w:iCs w:val="0"/>
                <w:color w:val="000000"/>
                <w:sz w:val="20"/>
                <w:szCs w:val="20"/>
                <w:u w:val="none"/>
              </w:rPr>
            </w:pPr>
          </w:p>
        </w:tc>
      </w:tr>
      <w:tr w14:paraId="39D1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6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73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中元 2026年7月27日</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万家桥生态文化陵园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2026年7月27日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B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354D">
            <w:pPr>
              <w:jc w:val="center"/>
              <w:rPr>
                <w:rFonts w:hint="eastAsia" w:ascii="宋体" w:hAnsi="宋体" w:eastAsia="宋体" w:cs="宋体"/>
                <w:i w:val="0"/>
                <w:iCs w:val="0"/>
                <w:color w:val="000000"/>
                <w:sz w:val="20"/>
                <w:szCs w:val="20"/>
                <w:u w:val="none"/>
              </w:rPr>
            </w:pPr>
          </w:p>
        </w:tc>
      </w:tr>
      <w:tr w14:paraId="36E0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0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57D6">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C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高刘街道南庄公墓园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2026年7月27日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3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6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589">
            <w:pPr>
              <w:jc w:val="center"/>
              <w:rPr>
                <w:rFonts w:hint="eastAsia" w:ascii="宋体" w:hAnsi="宋体" w:eastAsia="宋体" w:cs="宋体"/>
                <w:i w:val="0"/>
                <w:iCs w:val="0"/>
                <w:color w:val="000000"/>
                <w:sz w:val="20"/>
                <w:szCs w:val="20"/>
                <w:u w:val="none"/>
              </w:rPr>
            </w:pPr>
          </w:p>
        </w:tc>
      </w:tr>
      <w:tr w14:paraId="31CD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6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9B0C">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高刘街道洪店公墓园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2026年7月27日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83E">
            <w:pPr>
              <w:jc w:val="center"/>
              <w:rPr>
                <w:rFonts w:hint="eastAsia" w:ascii="宋体" w:hAnsi="宋体" w:eastAsia="宋体" w:cs="宋体"/>
                <w:i w:val="0"/>
                <w:iCs w:val="0"/>
                <w:color w:val="000000"/>
                <w:sz w:val="20"/>
                <w:szCs w:val="20"/>
                <w:u w:val="none"/>
              </w:rPr>
            </w:pPr>
          </w:p>
        </w:tc>
      </w:tr>
      <w:tr w14:paraId="6ED4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2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大寒 2027年1月20日</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C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万家桥生态文化陵园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5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2027年1月17日-2月4日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8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4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8B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D74">
            <w:pPr>
              <w:jc w:val="center"/>
              <w:rPr>
                <w:rFonts w:hint="eastAsia" w:ascii="宋体" w:hAnsi="宋体" w:eastAsia="宋体" w:cs="宋体"/>
                <w:i w:val="0"/>
                <w:iCs w:val="0"/>
                <w:color w:val="000000"/>
                <w:sz w:val="20"/>
                <w:szCs w:val="20"/>
                <w:u w:val="none"/>
              </w:rPr>
            </w:pPr>
          </w:p>
        </w:tc>
      </w:tr>
      <w:tr w14:paraId="4299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695B">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高刘街道南庄公墓园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8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2027年1月17日-2月4日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35B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F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E0B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EAB">
            <w:pPr>
              <w:jc w:val="center"/>
              <w:rPr>
                <w:rFonts w:hint="eastAsia" w:ascii="宋体" w:hAnsi="宋体" w:eastAsia="宋体" w:cs="宋体"/>
                <w:i w:val="0"/>
                <w:iCs w:val="0"/>
                <w:color w:val="000000"/>
                <w:sz w:val="20"/>
                <w:szCs w:val="20"/>
                <w:u w:val="none"/>
              </w:rPr>
            </w:pPr>
          </w:p>
        </w:tc>
      </w:tr>
      <w:tr w14:paraId="3059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B4E0">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9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高刘街道洪店公墓园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5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2027年1月17日-2月4日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A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7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CA7">
            <w:pPr>
              <w:jc w:val="center"/>
              <w:rPr>
                <w:rFonts w:hint="eastAsia" w:ascii="宋体" w:hAnsi="宋体" w:eastAsia="宋体" w:cs="宋体"/>
                <w:i w:val="0"/>
                <w:iCs w:val="0"/>
                <w:color w:val="000000"/>
                <w:sz w:val="20"/>
                <w:szCs w:val="20"/>
                <w:u w:val="none"/>
              </w:rPr>
            </w:pPr>
          </w:p>
        </w:tc>
      </w:tr>
      <w:tr w14:paraId="3A13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8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B6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除夕 2027年2月5日</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8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万家桥生态文化陵园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6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2027年2月5日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6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23B">
            <w:pPr>
              <w:jc w:val="center"/>
              <w:rPr>
                <w:rFonts w:hint="eastAsia" w:ascii="宋体" w:hAnsi="宋体" w:eastAsia="宋体" w:cs="宋体"/>
                <w:i w:val="0"/>
                <w:iCs w:val="0"/>
                <w:color w:val="000000"/>
                <w:sz w:val="20"/>
                <w:szCs w:val="20"/>
                <w:u w:val="none"/>
              </w:rPr>
            </w:pPr>
          </w:p>
        </w:tc>
      </w:tr>
      <w:tr w14:paraId="58B6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6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213E">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5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高刘街道南庄公墓园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2027年2月5日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4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E918">
            <w:pPr>
              <w:jc w:val="center"/>
              <w:rPr>
                <w:rFonts w:hint="eastAsia" w:ascii="宋体" w:hAnsi="宋体" w:eastAsia="宋体" w:cs="宋体"/>
                <w:i w:val="0"/>
                <w:iCs w:val="0"/>
                <w:color w:val="000000"/>
                <w:sz w:val="20"/>
                <w:szCs w:val="20"/>
                <w:u w:val="none"/>
              </w:rPr>
            </w:pPr>
          </w:p>
        </w:tc>
      </w:tr>
      <w:tr w14:paraId="563A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9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81CA">
            <w:pPr>
              <w:jc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高刘街道洪店公墓园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2027年2月5日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F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65F">
            <w:pPr>
              <w:jc w:val="center"/>
              <w:rPr>
                <w:rFonts w:hint="eastAsia" w:ascii="宋体" w:hAnsi="宋体" w:eastAsia="宋体" w:cs="宋体"/>
                <w:i w:val="0"/>
                <w:iCs w:val="0"/>
                <w:color w:val="000000"/>
                <w:sz w:val="20"/>
                <w:szCs w:val="20"/>
                <w:u w:val="none"/>
              </w:rPr>
            </w:pPr>
          </w:p>
        </w:tc>
      </w:tr>
      <w:tr w14:paraId="5787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8BBF6">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合计人数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9F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632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33E">
            <w:pPr>
              <w:jc w:val="center"/>
              <w:rPr>
                <w:rFonts w:hint="eastAsia" w:ascii="宋体" w:hAnsi="宋体" w:eastAsia="宋体" w:cs="宋体"/>
                <w:i w:val="0"/>
                <w:iCs w:val="0"/>
                <w:color w:val="000000"/>
                <w:sz w:val="20"/>
                <w:szCs w:val="20"/>
                <w:u w:val="none"/>
              </w:rPr>
            </w:pPr>
          </w:p>
        </w:tc>
      </w:tr>
    </w:tbl>
    <w:p w14:paraId="44EB41C1">
      <w:pPr>
        <w:pStyle w:val="11"/>
        <w:keepNext w:val="0"/>
        <w:keepLines w:val="0"/>
        <w:pageBreakBefore w:val="0"/>
        <w:kinsoku/>
        <w:wordWrap/>
        <w:overflowPunct/>
        <w:topLinePunct w:val="0"/>
        <w:bidi w:val="0"/>
        <w:snapToGrid/>
        <w:spacing w:line="620" w:lineRule="exact"/>
        <w:ind w:left="0" w:firstLine="720" w:firstLineChars="300"/>
        <w:textAlignment w:val="auto"/>
        <w:rPr>
          <w:rFonts w:hint="eastAsia" w:asciiTheme="minorHAnsi" w:hAnsiTheme="minorHAnsi"/>
          <w:b/>
          <w:bCs w:val="0"/>
          <w:color w:val="000000" w:themeColor="text1"/>
          <w:sz w:val="24"/>
          <w:szCs w:val="24"/>
          <w:lang w:val="en-US" w:eastAsia="zh-CN"/>
          <w14:textFill>
            <w14:solidFill>
              <w14:schemeClr w14:val="tx1"/>
            </w14:solidFill>
          </w14:textFill>
        </w:rPr>
      </w:pPr>
      <w:r>
        <w:rPr>
          <w:rFonts w:hint="eastAsia" w:asciiTheme="minorHAnsi" w:hAnsiTheme="minorHAnsi"/>
          <w:b/>
          <w:bCs w:val="0"/>
          <w:color w:val="000000" w:themeColor="text1"/>
          <w:sz w:val="24"/>
          <w:szCs w:val="24"/>
          <w:lang w:val="en-US" w:eastAsia="zh-CN"/>
          <w14:textFill>
            <w14:solidFill>
              <w14:schemeClr w14:val="tx1"/>
            </w14:solidFill>
          </w14:textFill>
        </w:rPr>
        <w:t>注：</w:t>
      </w:r>
      <w:r>
        <w:rPr>
          <w:rFonts w:hint="eastAsia" w:ascii="Times New Roman" w:hAnsi="Times New Roman" w:eastAsia="宋体" w:cs="宋体"/>
          <w:b/>
          <w:bCs w:val="0"/>
          <w:color w:val="000000"/>
          <w:sz w:val="24"/>
          <w:szCs w:val="18"/>
          <w:lang w:val="en-US" w:eastAsia="zh-CN"/>
        </w:rPr>
        <w:t>万家桥生态文化陵园、南庄公墓园、洪店公墓园，</w:t>
      </w:r>
      <w:r>
        <w:rPr>
          <w:rFonts w:hint="eastAsia" w:asciiTheme="minorHAnsi" w:hAnsiTheme="minorHAnsi"/>
          <w:b/>
          <w:bCs w:val="0"/>
          <w:color w:val="000000" w:themeColor="text1"/>
          <w:sz w:val="24"/>
          <w:szCs w:val="24"/>
          <w:lang w:val="en-US" w:eastAsia="zh-CN"/>
          <w14:textFill>
            <w14:solidFill>
              <w14:schemeClr w14:val="tx1"/>
            </w14:solidFill>
          </w14:textFill>
        </w:rPr>
        <w:t>需求不确定性较大，请综合考虑。</w:t>
      </w:r>
    </w:p>
    <w:p w14:paraId="5CBF816F">
      <w:pPr>
        <w:pStyle w:val="11"/>
        <w:keepNext w:val="0"/>
        <w:keepLines w:val="0"/>
        <w:pageBreakBefore w:val="0"/>
        <w:kinsoku/>
        <w:wordWrap/>
        <w:overflowPunct/>
        <w:topLinePunct w:val="0"/>
        <w:bidi w:val="0"/>
        <w:snapToGrid/>
        <w:spacing w:line="520" w:lineRule="exact"/>
        <w:ind w:left="0" w:leftChars="0" w:firstLine="480" w:firstLineChars="200"/>
        <w:textAlignment w:val="auto"/>
        <w:rPr>
          <w:rFonts w:hint="eastAsia" w:asciiTheme="minorHAnsi" w:hAnsiTheme="minorHAnsi"/>
          <w:b w:val="0"/>
          <w:bCs w:val="0"/>
          <w:color w:val="000000" w:themeColor="text1"/>
          <w:sz w:val="24"/>
          <w:szCs w:val="24"/>
          <w:lang w:val="en-US" w:eastAsia="zh-CN"/>
          <w14:textFill>
            <w14:solidFill>
              <w14:schemeClr w14:val="tx1"/>
            </w14:solidFill>
          </w14:textFill>
        </w:rPr>
      </w:pPr>
      <w:r>
        <w:rPr>
          <w:rFonts w:hint="eastAsia" w:asciiTheme="minorHAnsi" w:hAnsiTheme="minorHAnsi"/>
          <w:b w:val="0"/>
          <w:bCs/>
          <w:color w:val="000000" w:themeColor="text1"/>
          <w:sz w:val="24"/>
          <w:szCs w:val="24"/>
          <w:lang w:val="en-US" w:eastAsia="zh-CN"/>
          <w14:textFill>
            <w14:solidFill>
              <w14:schemeClr w14:val="tx1"/>
            </w14:solidFill>
          </w14:textFill>
        </w:rPr>
        <w:t>（三）</w:t>
      </w:r>
      <w:r>
        <w:rPr>
          <w:rFonts w:hint="eastAsia" w:asciiTheme="minorHAnsi" w:hAnsiTheme="minorHAnsi"/>
          <w:b w:val="0"/>
          <w:bCs w:val="0"/>
          <w:color w:val="000000" w:themeColor="text1"/>
          <w:sz w:val="24"/>
          <w:szCs w:val="24"/>
          <w:lang w:val="en-US" w:eastAsia="zh-CN"/>
          <w14:textFill>
            <w14:solidFill>
              <w14:schemeClr w14:val="tx1"/>
            </w14:solidFill>
          </w14:textFill>
        </w:rPr>
        <w:t>服务标准及具体要求：</w:t>
      </w:r>
    </w:p>
    <w:p w14:paraId="380C9238">
      <w:pPr>
        <w:keepNext w:val="0"/>
        <w:keepLines w:val="0"/>
        <w:pageBreakBefore w:val="0"/>
        <w:widowControl/>
        <w:kinsoku/>
        <w:wordWrap/>
        <w:overflowPunct/>
        <w:topLinePunct w:val="0"/>
        <w:bidi w:val="0"/>
        <w:snapToGrid/>
        <w:spacing w:line="520" w:lineRule="exact"/>
        <w:ind w:firstLine="480" w:firstLineChars="200"/>
        <w:jc w:val="left"/>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负责项目范围内</w:t>
      </w:r>
      <w:r>
        <w:rPr>
          <w:rFonts w:hint="eastAsia" w:cs="Times New Roman" w:asciiTheme="minorEastAsia" w:hAnsiTheme="minorEastAsia"/>
          <w:color w:val="000000" w:themeColor="text1"/>
          <w:sz w:val="24"/>
          <w:szCs w:val="24"/>
          <w:lang w:eastAsia="zh-CN"/>
          <w14:textFill>
            <w14:solidFill>
              <w14:schemeClr w14:val="tx1"/>
            </w14:solidFill>
          </w14:textFill>
        </w:rPr>
        <w:t>祭祀接待</w:t>
      </w:r>
      <w:r>
        <w:rPr>
          <w:rFonts w:hint="eastAsia" w:cs="Times New Roman" w:asciiTheme="minorEastAsia" w:hAnsiTheme="minorEastAsia" w:eastAsiaTheme="minorEastAsia"/>
          <w:color w:val="000000" w:themeColor="text1"/>
          <w:sz w:val="24"/>
          <w:szCs w:val="24"/>
          <w14:textFill>
            <w14:solidFill>
              <w14:schemeClr w14:val="tx1"/>
            </w14:solidFill>
          </w14:textFill>
        </w:rPr>
        <w:t>秩序维护、防火、防盗等工作,实行进出人员</w:t>
      </w:r>
      <w:r>
        <w:rPr>
          <w:rFonts w:hint="eastAsia" w:cs="Times New Roman" w:asciiTheme="minorEastAsia" w:hAnsiTheme="minorEastAsia"/>
          <w:color w:val="000000" w:themeColor="text1"/>
          <w:sz w:val="24"/>
          <w:szCs w:val="24"/>
          <w:lang w:eastAsia="zh-CN"/>
          <w14:textFill>
            <w14:solidFill>
              <w14:schemeClr w14:val="tx1"/>
            </w14:solidFill>
          </w14:textFill>
        </w:rPr>
        <w:t>及</w:t>
      </w:r>
      <w:r>
        <w:rPr>
          <w:rFonts w:hint="eastAsia" w:cs="Times New Roman" w:asciiTheme="minorEastAsia" w:hAnsiTheme="minorEastAsia" w:eastAsiaTheme="minorEastAsia"/>
          <w:color w:val="000000" w:themeColor="text1"/>
          <w:sz w:val="24"/>
          <w:szCs w:val="24"/>
          <w14:textFill>
            <w14:solidFill>
              <w14:schemeClr w14:val="tx1"/>
            </w14:solidFill>
          </w14:textFill>
        </w:rPr>
        <w:t>车辆管理</w:t>
      </w:r>
      <w:r>
        <w:rPr>
          <w:rFonts w:hint="eastAsia" w:cs="Times New Roman" w:asciiTheme="minorEastAsia" w:hAnsiTheme="minorEastAsia"/>
          <w:color w:val="000000" w:themeColor="text1"/>
          <w:sz w:val="24"/>
          <w:szCs w:val="24"/>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引导车辆有序停放，做好</w:t>
      </w:r>
      <w:r>
        <w:rPr>
          <w:rFonts w:hint="eastAsia" w:cs="Times New Roman" w:asciiTheme="minorEastAsia" w:hAnsiTheme="minorEastAsia"/>
          <w:color w:val="000000" w:themeColor="text1"/>
          <w:sz w:val="24"/>
          <w:szCs w:val="24"/>
          <w:lang w:eastAsia="zh-CN"/>
          <w14:textFill>
            <w14:solidFill>
              <w14:schemeClr w14:val="tx1"/>
            </w14:solidFill>
          </w14:textFill>
        </w:rPr>
        <w:t>人员</w:t>
      </w:r>
      <w:r>
        <w:rPr>
          <w:rFonts w:hint="eastAsia" w:cs="Times New Roman" w:asciiTheme="minorEastAsia" w:hAnsiTheme="minorEastAsia" w:eastAsiaTheme="minorEastAsia"/>
          <w:color w:val="000000" w:themeColor="text1"/>
          <w:sz w:val="24"/>
          <w:szCs w:val="24"/>
          <w14:textFill>
            <w14:solidFill>
              <w14:schemeClr w14:val="tx1"/>
            </w14:solidFill>
          </w14:textFill>
        </w:rPr>
        <w:t>问询、登记和规定区域接待等工作，实行24小时监控</w:t>
      </w:r>
      <w:r>
        <w:rPr>
          <w:rFonts w:hint="eastAsia" w:cs="Times New Roman" w:asciiTheme="minorEastAsia" w:hAnsiTheme="minorEastAsia"/>
          <w:color w:val="000000" w:themeColor="text1"/>
          <w:sz w:val="24"/>
          <w:szCs w:val="24"/>
          <w:lang w:eastAsia="zh-CN"/>
          <w14:textFill>
            <w14:solidFill>
              <w14:schemeClr w14:val="tx1"/>
            </w14:solidFill>
          </w14:textFill>
        </w:rPr>
        <w:t>及</w:t>
      </w:r>
      <w:r>
        <w:rPr>
          <w:rFonts w:hint="eastAsia" w:cs="Times New Roman" w:asciiTheme="minorEastAsia" w:hAnsiTheme="minorEastAsia" w:eastAsiaTheme="minorEastAsia"/>
          <w:color w:val="000000" w:themeColor="text1"/>
          <w:sz w:val="24"/>
          <w:szCs w:val="24"/>
          <w14:textFill>
            <w14:solidFill>
              <w14:schemeClr w14:val="tx1"/>
            </w14:solidFill>
          </w14:textFill>
        </w:rPr>
        <w:t>巡更执勤。</w:t>
      </w:r>
    </w:p>
    <w:p w14:paraId="62D0CA4A">
      <w:pPr>
        <w:keepNext w:val="0"/>
        <w:keepLines w:val="0"/>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Times New Roman" w:eastAsia="宋体" w:cs="宋体"/>
          <w:color w:val="000000"/>
          <w:sz w:val="24"/>
          <w:szCs w:val="18"/>
          <w:highlight w:val="none"/>
          <w:lang w:val="en-US" w:eastAsia="zh-CN"/>
        </w:rPr>
      </w:pPr>
      <w:r>
        <w:rPr>
          <w:rFonts w:hint="eastAsia" w:ascii="Times New Roman" w:hAnsi="Times New Roman" w:eastAsia="宋体" w:cs="宋体"/>
          <w:color w:val="000000"/>
          <w:sz w:val="24"/>
          <w:szCs w:val="18"/>
          <w:highlight w:val="none"/>
          <w:lang w:val="en-US" w:eastAsia="zh-CN"/>
        </w:rPr>
        <w:t>2. 每个公墓须配备一名驻场负责人，负责人须提前半天到达现场进行对接。每个重要节气期间负责人不得更换，除采购人要求外，临时人员更换比例不得超过30%。服务期间须留存相关水印照片、视频及签到表等资料，作为费用结算依据。</w:t>
      </w:r>
    </w:p>
    <w:p w14:paraId="50F360AF">
      <w:pPr>
        <w:keepNext w:val="0"/>
        <w:keepLines w:val="0"/>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Times New Roman" w:eastAsia="宋体" w:cs="宋体"/>
          <w:color w:val="000000"/>
          <w:sz w:val="24"/>
          <w:szCs w:val="18"/>
          <w:lang w:val="en-US"/>
        </w:rPr>
      </w:pPr>
      <w:r>
        <w:rPr>
          <w:rFonts w:hint="eastAsia" w:ascii="Times New Roman" w:hAnsi="Times New Roman" w:eastAsia="宋体" w:cs="宋体"/>
          <w:color w:val="000000"/>
          <w:sz w:val="24"/>
          <w:szCs w:val="18"/>
          <w:lang w:val="en-US" w:eastAsia="zh-CN"/>
        </w:rPr>
        <w:t>3、</w:t>
      </w:r>
      <w:r>
        <w:rPr>
          <w:rFonts w:hint="eastAsia" w:ascii="Times New Roman" w:hAnsi="Times New Roman" w:eastAsia="宋体" w:cs="宋体"/>
          <w:color w:val="000000"/>
          <w:sz w:val="24"/>
          <w:szCs w:val="18"/>
          <w:lang w:val="en-US"/>
        </w:rPr>
        <w:t>必须服从采购人的统一安排，未经采购人的同意不得随意改变采购人已制定的工作计划和意图，遇工作中特殊情况及时与采购人保持沟通。因成交供应商擅自做主造成采购人的损失及其他影响，成交供应商要承担相应责任及损失。</w:t>
      </w:r>
    </w:p>
    <w:p w14:paraId="08F16A11">
      <w:pPr>
        <w:keepNext w:val="0"/>
        <w:keepLines w:val="0"/>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Times New Roman" w:eastAsia="宋体" w:cs="宋体"/>
          <w:color w:val="000000"/>
          <w:sz w:val="24"/>
          <w:szCs w:val="18"/>
          <w:lang w:val="en-US"/>
        </w:rPr>
      </w:pPr>
      <w:r>
        <w:rPr>
          <w:rFonts w:hint="eastAsia" w:ascii="Times New Roman" w:hAnsi="Times New Roman" w:eastAsia="宋体" w:cs="宋体"/>
          <w:color w:val="000000"/>
          <w:sz w:val="24"/>
          <w:szCs w:val="18"/>
          <w:lang w:val="en-US" w:eastAsia="zh-CN"/>
        </w:rPr>
        <w:t>4、</w:t>
      </w:r>
      <w:r>
        <w:rPr>
          <w:rFonts w:hint="eastAsia" w:ascii="Times New Roman" w:hAnsi="Times New Roman" w:eastAsia="宋体" w:cs="宋体"/>
          <w:color w:val="000000"/>
          <w:sz w:val="24"/>
          <w:szCs w:val="18"/>
          <w:lang w:val="en-US"/>
        </w:rPr>
        <w:t>成交供应商负责对作业人员进行思想教育，专业培训，安全生产教育，并要求作业人员做到遵纪守法，统一穿着工作服并</w:t>
      </w:r>
      <w:r>
        <w:rPr>
          <w:rFonts w:hint="eastAsia" w:ascii="Times New Roman" w:hAnsi="Times New Roman" w:eastAsia="宋体" w:cs="宋体"/>
          <w:color w:val="000000"/>
          <w:sz w:val="24"/>
          <w:szCs w:val="18"/>
          <w:lang w:val="en-US" w:eastAsia="zh-CN"/>
        </w:rPr>
        <w:t>持</w:t>
      </w:r>
      <w:r>
        <w:rPr>
          <w:rFonts w:hint="eastAsia" w:ascii="Times New Roman" w:hAnsi="Times New Roman" w:eastAsia="宋体" w:cs="宋体"/>
          <w:color w:val="000000"/>
          <w:sz w:val="24"/>
          <w:szCs w:val="18"/>
          <w:lang w:val="en-US"/>
        </w:rPr>
        <w:t>证上岗</w:t>
      </w:r>
      <w:r>
        <w:rPr>
          <w:rFonts w:hint="eastAsia" w:ascii="Times New Roman" w:hAnsi="Times New Roman" w:eastAsia="宋体" w:cs="宋体"/>
          <w:color w:val="000000"/>
          <w:sz w:val="24"/>
          <w:szCs w:val="18"/>
          <w:lang w:val="en-US" w:eastAsia="zh-CN"/>
        </w:rPr>
        <w:t>，上岗时不得携带手机，需统一配发对讲机（须额外为采购人现场人员准备至少5部同型号对讲机便于沟通联系），</w:t>
      </w:r>
      <w:r>
        <w:rPr>
          <w:rFonts w:hint="eastAsia" w:ascii="Times New Roman" w:hAnsi="Times New Roman" w:eastAsia="宋体" w:cs="宋体"/>
          <w:color w:val="000000"/>
          <w:sz w:val="24"/>
          <w:szCs w:val="18"/>
          <w:lang w:val="en-US"/>
        </w:rPr>
        <w:t>成交供应商所有参与劳务服务人员需投保意外伤害保险。</w:t>
      </w:r>
    </w:p>
    <w:p w14:paraId="0497E798">
      <w:pPr>
        <w:keepNext w:val="0"/>
        <w:keepLines w:val="0"/>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Times New Roman" w:eastAsia="宋体" w:cs="宋体"/>
          <w:color w:val="000000"/>
          <w:sz w:val="24"/>
          <w:szCs w:val="18"/>
          <w:lang w:val="en-US"/>
        </w:rPr>
      </w:pPr>
      <w:r>
        <w:rPr>
          <w:rFonts w:hint="eastAsia" w:ascii="Times New Roman" w:hAnsi="Times New Roman" w:eastAsia="宋体" w:cs="宋体"/>
          <w:color w:val="000000"/>
          <w:sz w:val="24"/>
          <w:szCs w:val="18"/>
          <w:lang w:val="en-US" w:eastAsia="zh-CN"/>
        </w:rPr>
        <w:t>5、</w:t>
      </w:r>
      <w:r>
        <w:rPr>
          <w:rFonts w:hint="eastAsia" w:ascii="Times New Roman" w:hAnsi="Times New Roman" w:eastAsia="宋体" w:cs="宋体"/>
          <w:color w:val="000000"/>
          <w:sz w:val="24"/>
          <w:szCs w:val="18"/>
          <w:lang w:val="en-US"/>
        </w:rPr>
        <w:t>成交供应商在承包期内所发生的有关民事、刑事、安全事故、劳资纠纷等一切责任及经济损失均由成交供应商自行承担。合同期间因成交供应商自身原因造成的上访、投诉对采购人造成不良影响的，采购人有权并有权解除合同，不予支付已完成部分的费用。</w:t>
      </w:r>
    </w:p>
    <w:p w14:paraId="72C67F57">
      <w:pPr>
        <w:keepNext w:val="0"/>
        <w:keepLines w:val="0"/>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Times New Roman" w:eastAsia="宋体" w:cs="宋体"/>
          <w:b/>
          <w:bCs/>
          <w:color w:val="000000" w:themeColor="text1"/>
          <w:sz w:val="24"/>
          <w:szCs w:val="18"/>
          <w:highlight w:val="none"/>
          <w:lang w:val="en-US" w:eastAsia="zh-CN"/>
          <w14:textFill>
            <w14:solidFill>
              <w14:schemeClr w14:val="tx1"/>
            </w14:solidFill>
          </w14:textFill>
        </w:rPr>
      </w:pPr>
      <w:r>
        <w:rPr>
          <w:rFonts w:hint="eastAsia" w:ascii="Times New Roman" w:hAnsi="Times New Roman" w:eastAsia="宋体" w:cs="宋体"/>
          <w:color w:val="000000"/>
          <w:sz w:val="24"/>
          <w:szCs w:val="18"/>
          <w:lang w:val="en-US" w:eastAsia="zh-CN"/>
        </w:rPr>
        <w:t>6、成交供应商临时秩序维护的主要职责为：负责墓区大门的看护和巡逻工作，及时发现、规范引导处置焚烧冥纸冥币和燃放烟花鞭炮行为； 引导停车场交通，协助做好停车秩序维护；维护祭扫秩序，守护墓区、墓穴、墓碑安全，防止偷盗破坏等情况发生；预防并妥善处理纠纷、火灾等突发事件；</w:t>
      </w:r>
      <w:r>
        <w:rPr>
          <w:rFonts w:hint="eastAsia" w:ascii="Times New Roman" w:hAnsi="Times New Roman" w:eastAsia="宋体" w:cs="宋体"/>
          <w:b/>
          <w:bCs/>
          <w:color w:val="000000" w:themeColor="text1"/>
          <w:sz w:val="24"/>
          <w:szCs w:val="18"/>
          <w:highlight w:val="none"/>
          <w:lang w:val="en-US" w:eastAsia="zh-CN"/>
          <w14:textFill>
            <w14:solidFill>
              <w14:schemeClr w14:val="tx1"/>
            </w14:solidFill>
          </w14:textFill>
        </w:rPr>
        <w:t>完成采购人交办的其他工作任务。</w:t>
      </w:r>
    </w:p>
    <w:p w14:paraId="15AADDD8">
      <w:pPr>
        <w:keepNext w:val="0"/>
        <w:keepLines w:val="0"/>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Times New Roman" w:hAnsi="Times New Roman" w:eastAsia="宋体" w:cs="宋体"/>
          <w:color w:val="000000"/>
          <w:sz w:val="24"/>
          <w:szCs w:val="18"/>
          <w:lang w:val="en-US" w:eastAsia="zh-CN"/>
        </w:rPr>
      </w:pPr>
      <w:r>
        <w:rPr>
          <w:rFonts w:hint="eastAsia" w:ascii="Times New Roman" w:hAnsi="Times New Roman" w:eastAsia="宋体" w:cs="宋体"/>
          <w:color w:val="000000"/>
          <w:sz w:val="24"/>
          <w:szCs w:val="18"/>
          <w:lang w:val="en-US" w:eastAsia="zh-CN"/>
        </w:rPr>
        <w:t xml:space="preserve">7、合同签订后成交供应商及时踏勘现场，按照审批后的方案执行临时秩序维护任务。 </w:t>
      </w:r>
    </w:p>
    <w:p w14:paraId="3BF5375B">
      <w:pPr>
        <w:pStyle w:val="11"/>
        <w:keepNext w:val="0"/>
        <w:keepLines w:val="0"/>
        <w:pageBreakBefore w:val="0"/>
        <w:kinsoku/>
        <w:wordWrap/>
        <w:overflowPunct/>
        <w:topLinePunct w:val="0"/>
        <w:bidi w:val="0"/>
        <w:snapToGrid/>
        <w:spacing w:line="520" w:lineRule="exact"/>
        <w:ind w:left="0" w:firstLine="480" w:firstLineChars="200"/>
        <w:textAlignment w:val="auto"/>
        <w:rPr>
          <w:rFonts w:hint="eastAsia" w:ascii="Times New Roman" w:hAnsi="Times New Roman" w:eastAsia="宋体" w:cs="宋体"/>
          <w:color w:val="000000"/>
          <w:sz w:val="24"/>
          <w:szCs w:val="18"/>
          <w:lang w:val="en-US" w:eastAsia="zh-CN"/>
        </w:rPr>
      </w:pPr>
      <w:r>
        <w:rPr>
          <w:rFonts w:hint="eastAsia" w:ascii="Times New Roman" w:hAnsi="Times New Roman" w:eastAsia="宋体" w:cs="宋体"/>
          <w:color w:val="000000"/>
          <w:sz w:val="24"/>
          <w:szCs w:val="18"/>
          <w:lang w:val="en-US" w:eastAsia="zh-CN"/>
        </w:rPr>
        <w:t>8、成交供应商的临保人员年龄在 30 岁至60 岁之间；身体健康，无重大疾病及不良嗜好；具备良好的职业道德和敬业精神，责任心强；采购方要求退还不符合要求或者履职不尽责的临保人员，成交供应商必须无条件服从。</w:t>
      </w:r>
    </w:p>
    <w:p w14:paraId="3CD1E6A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9、</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员工工作服和作业所需工具、机械、车辆等提供服务所需物资由中标人自备。</w:t>
      </w:r>
    </w:p>
    <w:p w14:paraId="3A6623F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lang w:eastAsia="zh-CN"/>
        </w:rPr>
        <w:t>、报价要求</w:t>
      </w:r>
    </w:p>
    <w:p w14:paraId="1CCAB151">
      <w:pPr>
        <w:keepNext w:val="0"/>
        <w:keepLines w:val="0"/>
        <w:pageBreakBefore w:val="0"/>
        <w:tabs>
          <w:tab w:val="left" w:pos="420"/>
        </w:tabs>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b/>
          <w:bCs/>
          <w:kern w:val="0"/>
          <w:sz w:val="24"/>
          <w:szCs w:val="24"/>
        </w:rPr>
      </w:pPr>
      <w:r>
        <w:rPr>
          <w:rFonts w:hint="eastAsia" w:cs="宋体" w:asciiTheme="minorEastAsia" w:hAnsiTheme="minorEastAsia" w:eastAsiaTheme="minorEastAsia"/>
          <w:sz w:val="24"/>
          <w:szCs w:val="24"/>
        </w:rPr>
        <w:t>1、本项目</w:t>
      </w:r>
      <w:r>
        <w:rPr>
          <w:rFonts w:hint="eastAsia" w:cs="宋体" w:asciiTheme="minorEastAsia" w:hAnsiTheme="minorEastAsia" w:eastAsiaTheme="minorEastAsia"/>
          <w:sz w:val="24"/>
          <w:szCs w:val="24"/>
          <w:lang w:eastAsia="zh-CN"/>
        </w:rPr>
        <w:t>年度预算为</w:t>
      </w:r>
      <w:r>
        <w:rPr>
          <w:rFonts w:hint="eastAsia" w:cs="宋体" w:asciiTheme="minorEastAsia" w:hAnsiTheme="minorEastAsia"/>
          <w:sz w:val="24"/>
          <w:szCs w:val="24"/>
          <w:lang w:val="en-US" w:eastAsia="zh-CN"/>
        </w:rPr>
        <w:t>13.656</w:t>
      </w:r>
      <w:r>
        <w:rPr>
          <w:rFonts w:hint="eastAsia" w:cs="宋体" w:asciiTheme="minorEastAsia" w:hAnsiTheme="minorEastAsia" w:eastAsiaTheme="minorEastAsia"/>
          <w:sz w:val="24"/>
          <w:szCs w:val="24"/>
          <w:lang w:val="en-US" w:eastAsia="zh-CN"/>
        </w:rPr>
        <w:t>万元，投标人</w:t>
      </w:r>
      <w:r>
        <w:rPr>
          <w:rFonts w:hint="eastAsia" w:cs="宋体" w:asciiTheme="minorEastAsia" w:hAnsiTheme="minorEastAsia" w:eastAsiaTheme="minorEastAsia"/>
          <w:sz w:val="24"/>
          <w:szCs w:val="24"/>
          <w:lang w:eastAsia="zh-CN"/>
        </w:rPr>
        <w:t>按岗位进行</w:t>
      </w:r>
      <w:r>
        <w:rPr>
          <w:rFonts w:hint="eastAsia" w:cs="宋体" w:asciiTheme="minorEastAsia" w:hAnsiTheme="minorEastAsia" w:eastAsiaTheme="minorEastAsia"/>
          <w:sz w:val="24"/>
          <w:szCs w:val="24"/>
        </w:rPr>
        <w:t>报价（详见</w:t>
      </w:r>
      <w:r>
        <w:rPr>
          <w:rFonts w:hint="eastAsia" w:cs="宋体" w:asciiTheme="minorEastAsia" w:hAnsiTheme="minorEastAsia"/>
          <w:sz w:val="24"/>
          <w:szCs w:val="24"/>
          <w:lang w:eastAsia="zh-CN"/>
        </w:rPr>
        <w:t>附件</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lang w:val="en-US" w:eastAsia="zh-CN"/>
        </w:rPr>
        <w:t>报价表</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eastAsia="zh-CN"/>
        </w:rPr>
        <w:t>单项报价不得超过单项控制价，平均报价</w:t>
      </w:r>
      <w:r>
        <w:rPr>
          <w:rFonts w:hint="eastAsia" w:asciiTheme="minorEastAsia" w:hAnsiTheme="minorEastAsia" w:eastAsiaTheme="minorEastAsia"/>
          <w:bCs/>
          <w:kern w:val="0"/>
          <w:sz w:val="24"/>
          <w:szCs w:val="24"/>
        </w:rPr>
        <w:t>作为定标依据，单</w:t>
      </w:r>
      <w:r>
        <w:rPr>
          <w:rFonts w:hint="eastAsia" w:asciiTheme="minorEastAsia" w:hAnsiTheme="minorEastAsia" w:eastAsiaTheme="minorEastAsia"/>
          <w:bCs/>
          <w:kern w:val="0"/>
          <w:sz w:val="24"/>
          <w:szCs w:val="24"/>
          <w:lang w:eastAsia="zh-CN"/>
        </w:rPr>
        <w:t>项报</w:t>
      </w:r>
      <w:r>
        <w:rPr>
          <w:rFonts w:hint="eastAsia" w:asciiTheme="minorEastAsia" w:hAnsiTheme="minorEastAsia" w:eastAsiaTheme="minorEastAsia"/>
          <w:bCs/>
          <w:kern w:val="0"/>
          <w:sz w:val="24"/>
          <w:szCs w:val="24"/>
        </w:rPr>
        <w:t>价作为据实结算的依据（中标后，单价不变），本项目最终结算总金额不超过项目预算。</w:t>
      </w:r>
      <w:r>
        <w:rPr>
          <w:rFonts w:hint="eastAsia" w:asciiTheme="minorEastAsia" w:hAnsiTheme="minorEastAsia" w:eastAsiaTheme="minorEastAsia"/>
          <w:b/>
          <w:bCs/>
          <w:kern w:val="0"/>
          <w:sz w:val="24"/>
          <w:szCs w:val="24"/>
        </w:rPr>
        <w:t>未按要求报价的投标无效。</w:t>
      </w:r>
    </w:p>
    <w:p w14:paraId="206B1B01">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2</w:t>
      </w:r>
      <w:r>
        <w:rPr>
          <w:rFonts w:hint="eastAsia" w:cs="Arial" w:asciiTheme="minorEastAsia" w:hAnsiTheme="minorEastAsia" w:eastAsiaTheme="minorEastAsia"/>
          <w:kern w:val="0"/>
          <w:sz w:val="24"/>
          <w:szCs w:val="24"/>
        </w:rPr>
        <w:t>、投标人报价应建立在对项目服务范围、要求充分了解的基础上，成交后签订合同及履约过程中，投标人不得以不完全了解现场情况等为由，提出任何形式的增加合同外费用或其他的要求。</w:t>
      </w:r>
    </w:p>
    <w:p w14:paraId="3125F26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3</w:t>
      </w:r>
      <w:r>
        <w:rPr>
          <w:rFonts w:hint="eastAsia" w:cs="Arial" w:asciiTheme="minorEastAsia" w:hAnsiTheme="minorEastAsia" w:eastAsiaTheme="minorEastAsia"/>
          <w:kern w:val="0"/>
          <w:sz w:val="24"/>
          <w:szCs w:val="24"/>
        </w:rPr>
        <w:t>、采购人将按</w:t>
      </w:r>
      <w:r>
        <w:rPr>
          <w:rFonts w:hint="eastAsia" w:asciiTheme="minorEastAsia" w:hAnsiTheme="minorEastAsia" w:eastAsiaTheme="minorEastAsia"/>
          <w:sz w:val="24"/>
          <w:szCs w:val="24"/>
        </w:rPr>
        <w:t>采购需求前附表规定的支付方式进行支付，</w:t>
      </w:r>
      <w:r>
        <w:rPr>
          <w:rFonts w:hint="eastAsia" w:cs="Arial" w:asciiTheme="minorEastAsia" w:hAnsiTheme="minorEastAsia" w:eastAsiaTheme="minorEastAsia"/>
          <w:kern w:val="0"/>
          <w:sz w:val="24"/>
          <w:szCs w:val="24"/>
        </w:rPr>
        <w:t>中标人自行</w:t>
      </w:r>
      <w:r>
        <w:rPr>
          <w:rFonts w:hint="eastAsia" w:cs="宋体" w:asciiTheme="minorEastAsia" w:hAnsiTheme="minorEastAsia" w:eastAsiaTheme="minorEastAsia"/>
          <w:sz w:val="24"/>
          <w:szCs w:val="24"/>
        </w:rPr>
        <w:t>垫付采购人未支付前所发生的一切相关费用（如垫付</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个月及以上人员工资等）</w:t>
      </w:r>
      <w:r>
        <w:rPr>
          <w:rFonts w:hint="eastAsia" w:cs="Arial" w:asciiTheme="minorEastAsia" w:hAnsiTheme="minorEastAsia" w:eastAsiaTheme="minorEastAsia"/>
          <w:kern w:val="0"/>
          <w:sz w:val="24"/>
          <w:szCs w:val="24"/>
        </w:rPr>
        <w:t>。</w:t>
      </w:r>
    </w:p>
    <w:p w14:paraId="705C12A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cs="宋体"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rPr>
        <w:t>、</w:t>
      </w: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sz w:val="24"/>
          <w:szCs w:val="24"/>
        </w:rPr>
        <w:t>自行踏勘服务现场，如</w:t>
      </w: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sz w:val="24"/>
          <w:szCs w:val="24"/>
        </w:rPr>
        <w:t>因未及时踏勘现场而导致的报价缺项漏项、或成交后无法兑现服务，</w:t>
      </w:r>
      <w:r>
        <w:rPr>
          <w:rFonts w:hint="eastAsia" w:cs="宋体" w:asciiTheme="minorEastAsia" w:hAnsiTheme="minorEastAsia" w:eastAsiaTheme="minorEastAsia"/>
          <w:kern w:val="0"/>
          <w:sz w:val="24"/>
          <w:szCs w:val="24"/>
        </w:rPr>
        <w:t>投标人</w:t>
      </w:r>
      <w:r>
        <w:rPr>
          <w:rFonts w:hint="eastAsia" w:cs="宋体" w:asciiTheme="minorEastAsia" w:hAnsiTheme="minorEastAsia" w:eastAsiaTheme="minorEastAsia"/>
          <w:sz w:val="24"/>
          <w:szCs w:val="24"/>
        </w:rPr>
        <w:t>自行承担一切后果。</w:t>
      </w:r>
    </w:p>
    <w:p w14:paraId="4D0B165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eastAsiaTheme="minorEastAsia"/>
          <w:kern w:val="0"/>
          <w:sz w:val="24"/>
          <w:szCs w:val="24"/>
        </w:rPr>
      </w:pP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中标人在服务期内应按相关规定及时足额发放人员工资和有关福利待遇，如发生劳资纠纷，由中标人自行承担和解决。服务期内发生的一切事故，如治安、</w:t>
      </w:r>
      <w:r>
        <w:rPr>
          <w:rFonts w:hint="eastAsia" w:cs="Arial" w:asciiTheme="minorEastAsia" w:hAnsiTheme="minorEastAsia" w:eastAsiaTheme="minorEastAsia"/>
          <w:kern w:val="0"/>
          <w:sz w:val="24"/>
          <w:szCs w:val="24"/>
        </w:rPr>
        <w:t>交通事故和劳资纠纷等，均由中标人承担。</w:t>
      </w:r>
    </w:p>
    <w:p w14:paraId="4A462E5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6、</w:t>
      </w:r>
      <w:r>
        <w:rPr>
          <w:rFonts w:hint="eastAsia" w:cs="Arial" w:asciiTheme="minorEastAsia" w:hAnsiTheme="minorEastAsia" w:eastAsiaTheme="minorEastAsia"/>
          <w:kern w:val="0"/>
          <w:sz w:val="24"/>
          <w:szCs w:val="24"/>
        </w:rPr>
        <w:t>其他未尽事宜，双方协商解决，经协商不成的，按合同有关规定处理。</w:t>
      </w:r>
    </w:p>
    <w:p w14:paraId="0D87ECA8">
      <w:pPr>
        <w:pStyle w:val="2"/>
        <w:keepNext w:val="0"/>
        <w:keepLines w:val="0"/>
        <w:pageBreakBefore w:val="0"/>
        <w:kinsoku/>
        <w:wordWrap/>
        <w:overflowPunct/>
        <w:topLinePunct w:val="0"/>
        <w:bidi w:val="0"/>
        <w:snapToGrid/>
        <w:spacing w:line="620" w:lineRule="exact"/>
        <w:ind w:left="0" w:leftChars="0" w:firstLine="241" w:firstLineChars="100"/>
        <w:textAlignment w:val="auto"/>
        <w:rPr>
          <w:rFonts w:hint="eastAsia" w:asciiTheme="minorEastAsia" w:hAnsiTheme="minorEastAsia"/>
          <w:b/>
          <w:bCs/>
          <w:kern w:val="0"/>
          <w:sz w:val="24"/>
          <w:szCs w:val="24"/>
          <w:lang w:val="en-US" w:eastAsia="zh-CN"/>
        </w:rPr>
      </w:pPr>
      <w:r>
        <w:rPr>
          <w:rFonts w:hint="eastAsia" w:asciiTheme="minorEastAsia" w:hAnsiTheme="minorEastAsia"/>
          <w:b/>
          <w:bCs/>
          <w:kern w:val="0"/>
          <w:sz w:val="24"/>
          <w:szCs w:val="24"/>
          <w:lang w:eastAsia="zh-CN"/>
        </w:rPr>
        <w:t>附件</w:t>
      </w:r>
      <w:r>
        <w:rPr>
          <w:rFonts w:hint="eastAsia" w:asciiTheme="minorEastAsia" w:hAnsiTheme="minorEastAsia"/>
          <w:b/>
          <w:bCs/>
          <w:kern w:val="0"/>
          <w:sz w:val="24"/>
          <w:szCs w:val="24"/>
          <w:lang w:val="en-US" w:eastAsia="zh-CN"/>
        </w:rPr>
        <w:t>1：报价表</w:t>
      </w:r>
    </w:p>
    <w:tbl>
      <w:tblPr>
        <w:tblStyle w:val="13"/>
        <w:tblpPr w:leftFromText="180" w:rightFromText="180" w:vertAnchor="text" w:horzAnchor="page" w:tblpX="1448" w:tblpY="282"/>
        <w:tblOverlap w:val="never"/>
        <w:tblW w:w="8684"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8"/>
        <w:gridCol w:w="900"/>
        <w:gridCol w:w="2861"/>
        <w:gridCol w:w="1845"/>
        <w:gridCol w:w="2280"/>
      </w:tblGrid>
      <w:tr w14:paraId="43EC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1" w:hRule="atLeast"/>
          <w:tblCellSpacing w:w="0" w:type="dxa"/>
        </w:trPr>
        <w:tc>
          <w:tcPr>
            <w:tcW w:w="798"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5EC2ECE4">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序号</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4210CA3F">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eastAsia="zh-CN"/>
              </w:rPr>
            </w:pPr>
            <w:r>
              <w:rPr>
                <w:rFonts w:hint="eastAsia" w:cs="宋体" w:asciiTheme="minorEastAsia" w:hAnsiTheme="minorEastAsia" w:eastAsiaTheme="minorEastAsia"/>
                <w:b w:val="0"/>
                <w:bCs/>
                <w:kern w:val="0"/>
                <w:sz w:val="24"/>
                <w:szCs w:val="24"/>
                <w:lang w:eastAsia="zh-CN"/>
              </w:rPr>
              <w:t>岗位</w:t>
            </w:r>
          </w:p>
        </w:tc>
        <w:tc>
          <w:tcPr>
            <w:tcW w:w="2861"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77E81456">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lang w:eastAsia="zh-CN"/>
              </w:rPr>
              <w:t>控制</w:t>
            </w:r>
            <w:r>
              <w:rPr>
                <w:rFonts w:hint="eastAsia" w:cs="宋体" w:asciiTheme="minorEastAsia" w:hAnsiTheme="minorEastAsia" w:eastAsiaTheme="minorEastAsia"/>
                <w:b w:val="0"/>
                <w:bCs/>
                <w:kern w:val="0"/>
                <w:sz w:val="24"/>
                <w:szCs w:val="24"/>
              </w:rPr>
              <w:t>价</w:t>
            </w:r>
          </w:p>
          <w:p w14:paraId="49F605C9">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（元/人/日）</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03C1805D">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报价</w:t>
            </w:r>
          </w:p>
          <w:p w14:paraId="4771A772">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（元/月/</w:t>
            </w:r>
            <w:r>
              <w:rPr>
                <w:rFonts w:hint="default" w:cs="宋体" w:asciiTheme="minorEastAsia" w:hAnsiTheme="minorEastAsia" w:eastAsiaTheme="minorEastAsia"/>
                <w:b w:val="0"/>
                <w:bCs/>
                <w:kern w:val="0"/>
                <w:sz w:val="24"/>
                <w:szCs w:val="24"/>
              </w:rPr>
              <w:t>日</w:t>
            </w:r>
            <w:r>
              <w:rPr>
                <w:rFonts w:hint="eastAsia" w:cs="宋体" w:asciiTheme="minorEastAsia" w:hAnsiTheme="minorEastAsia" w:eastAsiaTheme="minorEastAsia"/>
                <w:b w:val="0"/>
                <w:bCs/>
                <w:kern w:val="0"/>
                <w:sz w:val="24"/>
                <w:szCs w:val="24"/>
              </w:rPr>
              <w:t>）</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0CC68E02">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rPr>
            </w:pPr>
            <w:r>
              <w:rPr>
                <w:rFonts w:hint="default" w:cs="宋体" w:asciiTheme="minorEastAsia" w:hAnsiTheme="minorEastAsia" w:eastAsiaTheme="minorEastAsia"/>
                <w:b w:val="0"/>
                <w:bCs/>
                <w:kern w:val="0"/>
                <w:sz w:val="24"/>
                <w:szCs w:val="24"/>
                <w:lang w:eastAsia="zh-CN"/>
              </w:rPr>
              <w:t>岗位</w:t>
            </w:r>
            <w:r>
              <w:rPr>
                <w:rFonts w:hint="eastAsia" w:cs="宋体" w:asciiTheme="minorEastAsia" w:hAnsiTheme="minorEastAsia" w:eastAsiaTheme="minorEastAsia"/>
                <w:b w:val="0"/>
                <w:bCs/>
                <w:kern w:val="0"/>
                <w:sz w:val="24"/>
                <w:szCs w:val="24"/>
                <w:lang w:eastAsia="zh-CN"/>
              </w:rPr>
              <w:t>平均报价</w:t>
            </w:r>
          </w:p>
          <w:p w14:paraId="6468A454">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rPr>
              <w:t>（元/人/日）</w:t>
            </w:r>
          </w:p>
        </w:tc>
      </w:tr>
      <w:tr w14:paraId="1EBE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 w:hRule="atLeast"/>
          <w:tblCellSpacing w:w="0" w:type="dxa"/>
        </w:trPr>
        <w:tc>
          <w:tcPr>
            <w:tcW w:w="798"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7270D9B4">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1</w:t>
            </w:r>
          </w:p>
        </w:tc>
        <w:tc>
          <w:tcPr>
            <w:tcW w:w="90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43DBDBCF">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秩序维护</w:t>
            </w:r>
          </w:p>
        </w:tc>
        <w:tc>
          <w:tcPr>
            <w:tcW w:w="2861"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66EA7F4B">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200.00</w:t>
            </w:r>
          </w:p>
          <w:p w14:paraId="1224612A">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（正常工作日）</w:t>
            </w:r>
          </w:p>
        </w:tc>
        <w:tc>
          <w:tcPr>
            <w:tcW w:w="1845" w:type="dxa"/>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581E3374">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28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2198153B">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r w14:paraId="3396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blCellSpacing w:w="0" w:type="dxa"/>
        </w:trPr>
        <w:tc>
          <w:tcPr>
            <w:tcW w:w="798" w:type="dxa"/>
            <w:vMerge w:val="continue"/>
            <w:tcBorders>
              <w:top w:val="nil"/>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6629E09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900" w:type="dxa"/>
            <w:vMerge w:val="continue"/>
            <w:tcBorders>
              <w:top w:val="nil"/>
              <w:left w:val="nil"/>
              <w:bottom w:val="single" w:color="000000" w:sz="6" w:space="0"/>
              <w:right w:val="single" w:color="000000" w:sz="6" w:space="0"/>
            </w:tcBorders>
            <w:shd w:val="clear" w:color="auto" w:fill="auto"/>
            <w:tcMar>
              <w:top w:w="75" w:type="dxa"/>
              <w:left w:w="90" w:type="dxa"/>
              <w:bottom w:w="75" w:type="dxa"/>
              <w:right w:w="180" w:type="dxa"/>
            </w:tcMar>
            <w:vAlign w:val="center"/>
          </w:tcPr>
          <w:p w14:paraId="351B05E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861" w:type="dxa"/>
            <w:tcBorders>
              <w:top w:val="nil"/>
              <w:left w:val="nil"/>
              <w:bottom w:val="single" w:color="000000" w:sz="6" w:space="0"/>
              <w:right w:val="single" w:color="auto" w:sz="4" w:space="0"/>
            </w:tcBorders>
            <w:shd w:val="clear" w:color="auto" w:fill="auto"/>
            <w:tcMar>
              <w:top w:w="75" w:type="dxa"/>
              <w:left w:w="90" w:type="dxa"/>
              <w:bottom w:w="75" w:type="dxa"/>
              <w:right w:w="180" w:type="dxa"/>
            </w:tcMar>
            <w:vAlign w:val="center"/>
          </w:tcPr>
          <w:p w14:paraId="03627F55">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220.00</w:t>
            </w:r>
          </w:p>
          <w:p w14:paraId="26E65432">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（双休日）</w:t>
            </w:r>
          </w:p>
        </w:tc>
        <w:tc>
          <w:tcPr>
            <w:tcW w:w="1845" w:type="dxa"/>
            <w:tcBorders>
              <w:top w:val="nil"/>
              <w:left w:val="single" w:color="auto" w:sz="4" w:space="0"/>
              <w:bottom w:val="single" w:color="000000" w:sz="6" w:space="0"/>
              <w:right w:val="single" w:color="auto" w:sz="4" w:space="0"/>
            </w:tcBorders>
            <w:shd w:val="clear" w:color="auto" w:fill="auto"/>
            <w:tcMar>
              <w:top w:w="75" w:type="dxa"/>
              <w:left w:w="90" w:type="dxa"/>
              <w:bottom w:w="75" w:type="dxa"/>
              <w:right w:w="180" w:type="dxa"/>
            </w:tcMar>
            <w:vAlign w:val="center"/>
          </w:tcPr>
          <w:p w14:paraId="11584BDA">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280" w:type="dxa"/>
            <w:vMerge w:val="continue"/>
            <w:tcBorders>
              <w:left w:val="single" w:color="auto" w:sz="4" w:space="0"/>
              <w:right w:val="single" w:color="000000" w:sz="6" w:space="0"/>
            </w:tcBorders>
            <w:shd w:val="clear" w:color="auto" w:fill="auto"/>
            <w:tcMar>
              <w:top w:w="75" w:type="dxa"/>
              <w:left w:w="90" w:type="dxa"/>
              <w:bottom w:w="75" w:type="dxa"/>
              <w:right w:w="180" w:type="dxa"/>
            </w:tcMar>
            <w:vAlign w:val="center"/>
          </w:tcPr>
          <w:p w14:paraId="4A80A1E0">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r w14:paraId="5F73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blCellSpacing w:w="0" w:type="dxa"/>
        </w:trPr>
        <w:tc>
          <w:tcPr>
            <w:tcW w:w="798" w:type="dxa"/>
            <w:vMerge w:val="continue"/>
            <w:tcBorders>
              <w:top w:val="nil"/>
              <w:left w:val="single" w:color="000000" w:sz="6" w:space="0"/>
              <w:bottom w:val="single" w:color="000000" w:sz="6" w:space="0"/>
              <w:right w:val="single" w:color="000000" w:sz="6" w:space="0"/>
            </w:tcBorders>
            <w:shd w:val="clear" w:color="auto" w:fill="auto"/>
            <w:tcMar>
              <w:top w:w="75" w:type="dxa"/>
              <w:left w:w="90" w:type="dxa"/>
              <w:bottom w:w="75" w:type="dxa"/>
              <w:right w:w="180" w:type="dxa"/>
            </w:tcMar>
            <w:vAlign w:val="center"/>
          </w:tcPr>
          <w:p w14:paraId="779A91E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900" w:type="dxa"/>
            <w:vMerge w:val="continue"/>
            <w:tcBorders>
              <w:top w:val="nil"/>
              <w:left w:val="nil"/>
              <w:bottom w:val="single" w:color="000000" w:sz="6" w:space="0"/>
              <w:right w:val="single" w:color="000000" w:sz="6" w:space="0"/>
            </w:tcBorders>
            <w:shd w:val="clear" w:color="auto" w:fill="auto"/>
            <w:tcMar>
              <w:top w:w="75" w:type="dxa"/>
              <w:left w:w="90" w:type="dxa"/>
              <w:bottom w:w="75" w:type="dxa"/>
              <w:right w:w="180" w:type="dxa"/>
            </w:tcMar>
            <w:vAlign w:val="center"/>
          </w:tcPr>
          <w:p w14:paraId="23984EC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861" w:type="dxa"/>
            <w:tcBorders>
              <w:top w:val="nil"/>
              <w:left w:val="nil"/>
              <w:bottom w:val="single" w:color="000000" w:sz="6" w:space="0"/>
              <w:right w:val="single" w:color="auto" w:sz="4" w:space="0"/>
            </w:tcBorders>
            <w:shd w:val="clear" w:color="auto" w:fill="auto"/>
            <w:tcMar>
              <w:top w:w="75" w:type="dxa"/>
              <w:left w:w="90" w:type="dxa"/>
              <w:bottom w:w="75" w:type="dxa"/>
              <w:right w:w="180" w:type="dxa"/>
            </w:tcMar>
            <w:vAlign w:val="center"/>
          </w:tcPr>
          <w:p w14:paraId="17E58523">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default"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240.00</w:t>
            </w:r>
          </w:p>
          <w:p w14:paraId="528379C5">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r>
              <w:rPr>
                <w:rFonts w:hint="eastAsia" w:cs="宋体" w:asciiTheme="minorEastAsia" w:hAnsiTheme="minorEastAsia" w:eastAsiaTheme="minorEastAsia"/>
                <w:b w:val="0"/>
                <w:bCs/>
                <w:kern w:val="0"/>
                <w:sz w:val="24"/>
                <w:szCs w:val="24"/>
                <w:lang w:val="en-US" w:eastAsia="zh-CN" w:bidi="ar"/>
              </w:rPr>
              <w:t>（法定节假日）</w:t>
            </w:r>
          </w:p>
        </w:tc>
        <w:tc>
          <w:tcPr>
            <w:tcW w:w="1845" w:type="dxa"/>
            <w:tcBorders>
              <w:top w:val="nil"/>
              <w:left w:val="single" w:color="auto" w:sz="4" w:space="0"/>
              <w:bottom w:val="single" w:color="000000" w:sz="6" w:space="0"/>
              <w:right w:val="single" w:color="auto" w:sz="4" w:space="0"/>
            </w:tcBorders>
            <w:shd w:val="clear" w:color="auto" w:fill="auto"/>
            <w:tcMar>
              <w:top w:w="75" w:type="dxa"/>
              <w:left w:w="90" w:type="dxa"/>
              <w:bottom w:w="75" w:type="dxa"/>
              <w:right w:w="180" w:type="dxa"/>
            </w:tcMar>
            <w:vAlign w:val="center"/>
          </w:tcPr>
          <w:p w14:paraId="62BF6F03">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c>
          <w:tcPr>
            <w:tcW w:w="2280" w:type="dxa"/>
            <w:vMerge w:val="continue"/>
            <w:tcBorders>
              <w:left w:val="single" w:color="auto" w:sz="4" w:space="0"/>
              <w:bottom w:val="single" w:color="000000" w:sz="6" w:space="0"/>
              <w:right w:val="single" w:color="000000" w:sz="6" w:space="0"/>
            </w:tcBorders>
            <w:shd w:val="clear" w:color="auto" w:fill="auto"/>
            <w:tcMar>
              <w:top w:w="75" w:type="dxa"/>
              <w:left w:w="90" w:type="dxa"/>
              <w:bottom w:w="75" w:type="dxa"/>
              <w:right w:w="180" w:type="dxa"/>
            </w:tcMar>
            <w:vAlign w:val="center"/>
          </w:tcPr>
          <w:p w14:paraId="3247DD17">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center"/>
              <w:textAlignment w:val="auto"/>
              <w:rPr>
                <w:rFonts w:hint="eastAsia" w:cs="宋体" w:asciiTheme="minorEastAsia" w:hAnsiTheme="minorEastAsia" w:eastAsiaTheme="minorEastAsia"/>
                <w:b w:val="0"/>
                <w:bCs/>
                <w:kern w:val="0"/>
                <w:sz w:val="24"/>
                <w:szCs w:val="24"/>
                <w:lang w:val="en-US" w:eastAsia="zh-CN" w:bidi="ar"/>
              </w:rPr>
            </w:pPr>
          </w:p>
        </w:tc>
      </w:tr>
    </w:tbl>
    <w:p w14:paraId="6C956F63">
      <w:pPr>
        <w:rPr>
          <w:rFonts w:hint="default"/>
          <w:lang w:val="en-US" w:eastAsia="zh-CN"/>
        </w:rPr>
      </w:pPr>
    </w:p>
    <w:p w14:paraId="0FFD63F8">
      <w:pPr>
        <w:spacing w:line="360" w:lineRule="auto"/>
        <w:ind w:firstLine="480"/>
        <w:jc w:val="left"/>
        <w:rPr>
          <w:rFonts w:hint="eastAsia" w:ascii="宋体" w:hAnsi="宋体" w:eastAsia="宋体" w:cs="Arial"/>
          <w:kern w:val="0"/>
          <w:sz w:val="24"/>
          <w:szCs w:val="24"/>
          <w:highlight w:val="none"/>
          <w:lang w:val="en-US" w:eastAsia="zh-CN"/>
        </w:rPr>
      </w:pPr>
      <w:r>
        <w:rPr>
          <w:rFonts w:hint="eastAsia" w:ascii="宋体" w:hAnsi="宋体" w:eastAsia="宋体" w:cs="Arial"/>
          <w:b w:val="0"/>
          <w:bCs/>
          <w:kern w:val="0"/>
          <w:sz w:val="24"/>
          <w:szCs w:val="24"/>
          <w:highlight w:val="none"/>
          <w:lang w:val="en-US" w:eastAsia="zh-CN"/>
        </w:rPr>
        <w:t>说明：</w:t>
      </w:r>
    </w:p>
    <w:p w14:paraId="067CAD2A">
      <w:pPr>
        <w:spacing w:line="360" w:lineRule="auto"/>
        <w:ind w:firstLine="480"/>
        <w:jc w:val="left"/>
        <w:rPr>
          <w:rFonts w:hint="default"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1、报价不超过控制价，岗位平均报价为单个岗位3种报价的平均值。</w:t>
      </w:r>
    </w:p>
    <w:p w14:paraId="22D69120">
      <w:pPr>
        <w:spacing w:line="360" w:lineRule="auto"/>
        <w:ind w:firstLine="480"/>
        <w:jc w:val="left"/>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2、发票提供增值税专用全额发票。</w:t>
      </w:r>
    </w:p>
    <w:p w14:paraId="74F2F909">
      <w:pPr>
        <w:spacing w:line="360" w:lineRule="auto"/>
        <w:ind w:firstLine="480"/>
        <w:jc w:val="left"/>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3、以上报价为每天8小时的标准，另不足4小时按半个工日计算，超过4小时不足8小时按一个工日计算。</w:t>
      </w:r>
    </w:p>
    <w:p w14:paraId="0964CD83">
      <w:pPr>
        <w:spacing w:line="360" w:lineRule="auto"/>
        <w:ind w:firstLine="480"/>
        <w:jc w:val="left"/>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4、中标单位须使用我司认可的人员，人数和上岗时间以我司认可的为准。</w:t>
      </w:r>
    </w:p>
    <w:p w14:paraId="2AA5900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kern w:val="0"/>
          <w:sz w:val="24"/>
          <w:szCs w:val="24"/>
          <w:highlight w:val="none"/>
          <w:lang w:val="en-US" w:eastAsia="zh-CN"/>
        </w:rPr>
      </w:pPr>
      <w:bookmarkStart w:id="8" w:name="_GoBack"/>
      <w:bookmarkEnd w:id="8"/>
      <w:r>
        <w:rPr>
          <w:rFonts w:hint="eastAsia" w:ascii="宋体" w:hAnsi="宋体" w:eastAsia="宋体" w:cs="宋体"/>
          <w:b/>
          <w:bCs w:val="0"/>
          <w:kern w:val="0"/>
          <w:sz w:val="24"/>
          <w:szCs w:val="24"/>
          <w:highlight w:val="none"/>
          <w:lang w:val="en-US" w:eastAsia="zh-CN"/>
        </w:rPr>
        <w:t>五、费用结算要求</w:t>
      </w:r>
    </w:p>
    <w:p w14:paraId="59C63F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本项目中采购人依据岗位报价和各项目实际需求人数</w:t>
      </w:r>
      <w:r>
        <w:rPr>
          <w:rFonts w:hint="eastAsia" w:cs="Arial" w:asciiTheme="minorEastAsia" w:hAnsiTheme="minorEastAsia" w:eastAsiaTheme="minorEastAsia"/>
          <w:kern w:val="0"/>
          <w:sz w:val="24"/>
          <w:szCs w:val="24"/>
          <w:lang w:eastAsia="zh-CN"/>
        </w:rPr>
        <w:t>，</w:t>
      </w:r>
      <w:r>
        <w:rPr>
          <w:rFonts w:hint="eastAsia" w:ascii="Times New Roman" w:hAnsi="Times New Roman" w:eastAsia="宋体" w:cs="宋体"/>
          <w:b/>
          <w:bCs/>
          <w:color w:val="000000"/>
          <w:sz w:val="24"/>
          <w:szCs w:val="18"/>
          <w:highlight w:val="none"/>
          <w:lang w:val="en-US" w:eastAsia="zh-CN"/>
        </w:rPr>
        <w:t>相关水印照片、视频及签到表，按季度</w:t>
      </w:r>
      <w:r>
        <w:rPr>
          <w:rFonts w:hint="eastAsia" w:cs="Arial" w:asciiTheme="minorEastAsia" w:hAnsiTheme="minorEastAsia" w:eastAsiaTheme="minorEastAsia"/>
          <w:b/>
          <w:bCs/>
          <w:kern w:val="0"/>
          <w:sz w:val="24"/>
          <w:szCs w:val="24"/>
          <w:highlight w:val="none"/>
        </w:rPr>
        <w:t>据实结算</w:t>
      </w:r>
      <w:r>
        <w:rPr>
          <w:rFonts w:hint="eastAsia" w:cs="Arial" w:asciiTheme="minorEastAsia" w:hAnsiTheme="minorEastAsia" w:eastAsiaTheme="minorEastAsia"/>
          <w:b/>
          <w:bCs/>
          <w:kern w:val="0"/>
          <w:sz w:val="24"/>
          <w:szCs w:val="24"/>
          <w:highlight w:val="none"/>
          <w:lang w:eastAsia="zh-CN"/>
        </w:rPr>
        <w:t>临时用工费用</w:t>
      </w:r>
      <w:r>
        <w:rPr>
          <w:rFonts w:hint="eastAsia" w:cs="Arial" w:asciiTheme="minorEastAsia" w:hAnsiTheme="minorEastAsia" w:eastAsiaTheme="minorEastAsia"/>
          <w:b/>
          <w:bCs/>
          <w:kern w:val="0"/>
          <w:sz w:val="24"/>
          <w:szCs w:val="24"/>
          <w:highlight w:val="none"/>
        </w:rPr>
        <w:t>。报价包含人员工资（含福利）、</w:t>
      </w:r>
      <w:r>
        <w:rPr>
          <w:rFonts w:hint="eastAsia" w:cs="Arial" w:asciiTheme="minorEastAsia" w:hAnsiTheme="minorEastAsia"/>
          <w:b/>
          <w:bCs/>
          <w:kern w:val="0"/>
          <w:sz w:val="24"/>
          <w:szCs w:val="24"/>
          <w:highlight w:val="none"/>
          <w:lang w:eastAsia="zh-CN"/>
        </w:rPr>
        <w:t>交通、</w:t>
      </w:r>
      <w:r>
        <w:rPr>
          <w:rFonts w:hint="eastAsia" w:cs="Arial" w:asciiTheme="minorEastAsia" w:hAnsiTheme="minorEastAsia" w:eastAsiaTheme="minorEastAsia"/>
          <w:b/>
          <w:bCs/>
          <w:kern w:val="0"/>
          <w:sz w:val="24"/>
          <w:szCs w:val="24"/>
          <w:highlight w:val="none"/>
        </w:rPr>
        <w:t>保险、管理费[包括:劳保费用、税金(提供全额增值税专用发票)、利润、服装费、</w:t>
      </w:r>
      <w:r>
        <w:rPr>
          <w:rFonts w:hint="eastAsia" w:cs="Arial" w:asciiTheme="minorEastAsia" w:hAnsiTheme="minorEastAsia"/>
          <w:b/>
          <w:bCs/>
          <w:kern w:val="0"/>
          <w:sz w:val="24"/>
          <w:szCs w:val="24"/>
          <w:highlight w:val="none"/>
          <w:lang w:eastAsia="zh-CN"/>
        </w:rPr>
        <w:t>用餐、</w:t>
      </w:r>
      <w:r>
        <w:rPr>
          <w:rFonts w:hint="eastAsia" w:cs="Arial" w:asciiTheme="minorEastAsia" w:hAnsiTheme="minorEastAsia" w:eastAsiaTheme="minorEastAsia"/>
          <w:b/>
          <w:bCs/>
          <w:kern w:val="0"/>
          <w:sz w:val="24"/>
          <w:szCs w:val="24"/>
          <w:highlight w:val="none"/>
        </w:rPr>
        <w:t>作业工具、用工风险、人员招聘等所有用人单位应承担的费用]</w:t>
      </w:r>
      <w:r>
        <w:rPr>
          <w:rFonts w:hint="eastAsia" w:cs="Arial" w:asciiTheme="minorEastAsia" w:hAnsiTheme="minorEastAsia" w:eastAsiaTheme="minorEastAsia"/>
          <w:b/>
          <w:bCs/>
          <w:kern w:val="0"/>
          <w:sz w:val="24"/>
          <w:szCs w:val="24"/>
          <w:highlight w:val="none"/>
          <w:lang w:eastAsia="zh-CN"/>
        </w:rPr>
        <w:t>等为完成本项目所发生的一切费用</w:t>
      </w:r>
      <w:r>
        <w:rPr>
          <w:rFonts w:hint="eastAsia" w:cs="Arial" w:asciiTheme="minorEastAsia" w:hAnsiTheme="minorEastAsia" w:eastAsiaTheme="minorEastAsia"/>
          <w:b/>
          <w:bCs/>
          <w:kern w:val="0"/>
          <w:sz w:val="24"/>
          <w:szCs w:val="24"/>
          <w:highlight w:val="none"/>
        </w:rPr>
        <w:t>。</w:t>
      </w:r>
      <w:r>
        <w:rPr>
          <w:rFonts w:hint="eastAsia" w:cs="Arial" w:asciiTheme="minorEastAsia" w:hAnsiTheme="minorEastAsia" w:eastAsiaTheme="minorEastAsia"/>
          <w:kern w:val="0"/>
          <w:sz w:val="24"/>
          <w:szCs w:val="24"/>
        </w:rPr>
        <w:t>投标单位报价时应自行考虑合肥市最低工资</w:t>
      </w:r>
      <w:r>
        <w:rPr>
          <w:rFonts w:hint="eastAsia" w:cs="Arial" w:asciiTheme="minorEastAsia" w:hAnsiTheme="minorEastAsia" w:eastAsiaTheme="minorEastAsia"/>
          <w:kern w:val="0"/>
          <w:sz w:val="24"/>
          <w:szCs w:val="24"/>
          <w:lang w:eastAsia="zh-CN"/>
        </w:rPr>
        <w:t>标准</w:t>
      </w:r>
      <w:r>
        <w:rPr>
          <w:rFonts w:hint="eastAsia" w:cs="Arial" w:asciiTheme="minorEastAsia" w:hAnsiTheme="minorEastAsia" w:eastAsiaTheme="minorEastAsia"/>
          <w:kern w:val="0"/>
          <w:sz w:val="24"/>
          <w:szCs w:val="24"/>
        </w:rPr>
        <w:t>增长等因素，合同期内不得以任何理由调整价格或拒绝服务。</w:t>
      </w:r>
      <w:r>
        <w:rPr>
          <w:rFonts w:hint="eastAsia" w:cs="Arial" w:asciiTheme="minorEastAsia" w:hAnsiTheme="minorEastAsia" w:eastAsiaTheme="minorEastAsia"/>
          <w:kern w:val="0"/>
          <w:sz w:val="24"/>
          <w:szCs w:val="24"/>
          <w:lang w:eastAsia="zh-CN"/>
        </w:rPr>
        <w:t>年度</w:t>
      </w:r>
      <w:r>
        <w:rPr>
          <w:rFonts w:hint="eastAsia" w:cs="Arial" w:asciiTheme="minorEastAsia" w:hAnsiTheme="minorEastAsia" w:eastAsiaTheme="minorEastAsia"/>
          <w:kern w:val="0"/>
          <w:sz w:val="24"/>
          <w:szCs w:val="24"/>
        </w:rPr>
        <w:t>累计结算总金额不超过项目预算。</w:t>
      </w:r>
    </w:p>
    <w:p w14:paraId="0C49B57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Arial"/>
          <w:b/>
          <w:bCs/>
          <w:kern w:val="0"/>
          <w:sz w:val="24"/>
          <w:szCs w:val="24"/>
          <w:highlight w:val="none"/>
        </w:rPr>
      </w:pPr>
      <w:r>
        <w:rPr>
          <w:rFonts w:hint="eastAsia" w:hAnsi="宋体" w:cs="宋体"/>
          <w:b/>
          <w:kern w:val="0"/>
          <w:sz w:val="24"/>
          <w:szCs w:val="24"/>
          <w:highlight w:val="none"/>
          <w:lang w:val="en-US" w:eastAsia="zh-CN"/>
        </w:rPr>
        <w:t>六</w:t>
      </w:r>
      <w:r>
        <w:rPr>
          <w:rFonts w:hint="eastAsia" w:ascii="宋体" w:hAnsi="宋体" w:eastAsia="宋体" w:cs="宋体"/>
          <w:b/>
          <w:kern w:val="0"/>
          <w:sz w:val="24"/>
          <w:szCs w:val="24"/>
          <w:highlight w:val="none"/>
          <w:lang w:val="en-US" w:eastAsia="zh-CN"/>
        </w:rPr>
        <w:t>、管理、监督和考核</w:t>
      </w:r>
      <w:r>
        <w:rPr>
          <w:rFonts w:hint="eastAsia" w:ascii="宋体" w:hAnsi="宋体" w:eastAsia="宋体" w:cs="Arial"/>
          <w:b/>
          <w:bCs/>
          <w:kern w:val="0"/>
          <w:sz w:val="24"/>
          <w:szCs w:val="24"/>
          <w:highlight w:val="none"/>
        </w:rPr>
        <w:t xml:space="preserve"> </w:t>
      </w:r>
    </w:p>
    <w:p w14:paraId="0FCFACB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0"/>
          <w:sz w:val="24"/>
          <w:szCs w:val="24"/>
          <w:highlight w:val="none"/>
          <w:lang w:val="en-US" w:eastAsia="zh-CN"/>
        </w:rPr>
      </w:pPr>
      <w:r>
        <w:rPr>
          <w:rFonts w:hint="eastAsia" w:ascii="宋体" w:hAnsi="宋体" w:eastAsia="宋体" w:cs="Arial"/>
          <w:color w:val="auto"/>
          <w:kern w:val="0"/>
          <w:sz w:val="24"/>
          <w:szCs w:val="24"/>
          <w:highlight w:val="none"/>
          <w:lang w:val="en-US" w:eastAsia="zh-CN"/>
        </w:rPr>
        <w:t>1、</w:t>
      </w:r>
      <w:r>
        <w:rPr>
          <w:rFonts w:hint="eastAsia" w:ascii="宋体" w:hAnsi="宋体" w:eastAsia="宋体" w:cs="Arial"/>
          <w:kern w:val="0"/>
          <w:sz w:val="24"/>
          <w:szCs w:val="24"/>
          <w:highlight w:val="none"/>
          <w:lang w:val="en-US" w:eastAsia="zh-CN"/>
        </w:rPr>
        <w:t>依据招标人和中标人签订的合同及</w:t>
      </w:r>
      <w:r>
        <w:rPr>
          <w:rFonts w:hint="eastAsia" w:ascii="宋体" w:hAnsi="宋体" w:cs="Arial"/>
          <w:kern w:val="0"/>
          <w:sz w:val="24"/>
          <w:szCs w:val="24"/>
          <w:highlight w:val="none"/>
          <w:lang w:val="en-US" w:eastAsia="zh-CN"/>
        </w:rPr>
        <w:t>《</w:t>
      </w:r>
      <w:r>
        <w:rPr>
          <w:rFonts w:hint="eastAsia" w:ascii="宋体" w:hAnsi="宋体" w:eastAsia="宋体" w:cs="Arial"/>
          <w:kern w:val="0"/>
          <w:sz w:val="24"/>
          <w:szCs w:val="24"/>
          <w:highlight w:val="none"/>
          <w:lang w:val="en-US" w:eastAsia="zh-CN"/>
        </w:rPr>
        <w:t>考核标准》（详见附件2、3）等有关规定对中标人进行考核，并将考核结果作为支付服务费用及奖惩的依据。</w:t>
      </w:r>
    </w:p>
    <w:p w14:paraId="5607E6A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Arial"/>
          <w:color w:val="auto"/>
          <w:kern w:val="0"/>
          <w:sz w:val="24"/>
          <w:szCs w:val="24"/>
          <w:highlight w:val="none"/>
          <w:lang w:val="en-US" w:eastAsia="zh-CN"/>
        </w:rPr>
      </w:pPr>
      <w:r>
        <w:rPr>
          <w:rFonts w:hint="eastAsia" w:ascii="宋体" w:hAnsi="宋体" w:eastAsia="宋体" w:cs="Arial"/>
          <w:color w:val="auto"/>
          <w:kern w:val="0"/>
          <w:sz w:val="24"/>
          <w:szCs w:val="24"/>
          <w:highlight w:val="none"/>
          <w:lang w:val="en-US" w:eastAsia="zh-CN"/>
        </w:rPr>
        <w:t>2、合同履行期间，中标人未能按合同约定履行义务，并经招标人函告后仍然未整改的，招标人可以单方面终止合同。</w:t>
      </w:r>
    </w:p>
    <w:p w14:paraId="163ABE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Arial"/>
          <w:kern w:val="0"/>
          <w:sz w:val="24"/>
          <w:szCs w:val="24"/>
          <w:highlight w:val="none"/>
        </w:rPr>
      </w:pPr>
      <w:r>
        <w:rPr>
          <w:rFonts w:hint="eastAsia" w:ascii="宋体" w:hAnsi="宋体" w:eastAsia="宋体" w:cs="Arial"/>
          <w:kern w:val="0"/>
          <w:sz w:val="24"/>
          <w:szCs w:val="24"/>
          <w:highlight w:val="none"/>
          <w:lang w:val="en-US" w:eastAsia="zh-CN"/>
        </w:rPr>
        <w:t>3、合同履行期间，中标单位因违反法律、法规、规章及规定引起群体上访事件或歇工事件影响招标方项目工作开展</w:t>
      </w:r>
      <w:r>
        <w:rPr>
          <w:rFonts w:hint="eastAsia" w:ascii="宋体" w:hAnsi="宋体" w:eastAsia="宋体" w:cs="Arial"/>
          <w:kern w:val="0"/>
          <w:sz w:val="24"/>
          <w:szCs w:val="24"/>
          <w:highlight w:val="none"/>
        </w:rPr>
        <w:t>的，招标人可单方面解除合同</w:t>
      </w:r>
      <w:r>
        <w:rPr>
          <w:rFonts w:hint="eastAsia" w:ascii="宋体" w:hAnsi="宋体" w:eastAsia="宋体" w:cs="Arial"/>
          <w:kern w:val="0"/>
          <w:sz w:val="24"/>
          <w:szCs w:val="24"/>
          <w:highlight w:val="none"/>
          <w:lang w:eastAsia="zh-CN"/>
        </w:rPr>
        <w:t>，</w:t>
      </w:r>
      <w:r>
        <w:rPr>
          <w:rFonts w:hint="eastAsia" w:ascii="宋体" w:hAnsi="宋体" w:eastAsia="宋体" w:cs="Arial"/>
          <w:kern w:val="0"/>
          <w:sz w:val="24"/>
          <w:szCs w:val="24"/>
          <w:highlight w:val="none"/>
        </w:rPr>
        <w:t>由此产生的经济损失和法律责任均由中标单位承担。</w:t>
      </w:r>
    </w:p>
    <w:p w14:paraId="28058A0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Arial"/>
          <w:kern w:val="0"/>
          <w:sz w:val="24"/>
          <w:szCs w:val="24"/>
          <w:highlight w:val="none"/>
        </w:rPr>
      </w:pPr>
      <w:r>
        <w:rPr>
          <w:rFonts w:hint="eastAsia" w:ascii="宋体" w:hAnsi="宋体" w:eastAsia="宋体" w:cs="Arial"/>
          <w:kern w:val="0"/>
          <w:sz w:val="24"/>
          <w:szCs w:val="24"/>
          <w:highlight w:val="none"/>
          <w:lang w:val="en-US" w:eastAsia="zh-CN"/>
        </w:rPr>
        <w:t>4、</w:t>
      </w:r>
      <w:r>
        <w:rPr>
          <w:rFonts w:hint="eastAsia" w:ascii="宋体" w:hAnsi="宋体" w:eastAsia="宋体" w:cs="Arial"/>
          <w:kern w:val="0"/>
          <w:sz w:val="24"/>
          <w:szCs w:val="24"/>
          <w:highlight w:val="none"/>
        </w:rPr>
        <w:t>严禁中标单位对</w:t>
      </w:r>
      <w:r>
        <w:rPr>
          <w:rFonts w:hint="eastAsia" w:ascii="宋体" w:hAnsi="宋体" w:eastAsia="宋体" w:cs="Arial"/>
          <w:kern w:val="0"/>
          <w:sz w:val="24"/>
          <w:szCs w:val="24"/>
          <w:highlight w:val="none"/>
          <w:lang w:val="en-US" w:eastAsia="zh-CN"/>
        </w:rPr>
        <w:t>本项目</w:t>
      </w:r>
      <w:r>
        <w:rPr>
          <w:rFonts w:hint="eastAsia" w:ascii="宋体" w:hAnsi="宋体" w:eastAsia="宋体" w:cs="Arial"/>
          <w:kern w:val="0"/>
          <w:sz w:val="24"/>
          <w:szCs w:val="24"/>
          <w:highlight w:val="none"/>
        </w:rPr>
        <w:t>进行转包或分包</w:t>
      </w:r>
      <w:r>
        <w:rPr>
          <w:rFonts w:hint="eastAsia" w:ascii="宋体" w:hAnsi="宋体" w:eastAsia="宋体" w:cs="Arial"/>
          <w:kern w:val="0"/>
          <w:sz w:val="24"/>
          <w:szCs w:val="24"/>
          <w:highlight w:val="none"/>
          <w:lang w:eastAsia="zh-CN"/>
        </w:rPr>
        <w:t>。</w:t>
      </w:r>
      <w:r>
        <w:rPr>
          <w:rFonts w:hint="eastAsia" w:ascii="宋体" w:hAnsi="宋体" w:eastAsia="宋体" w:cs="Arial"/>
          <w:kern w:val="0"/>
          <w:sz w:val="24"/>
          <w:szCs w:val="24"/>
          <w:highlight w:val="none"/>
        </w:rPr>
        <w:t>中标单位擅自将</w:t>
      </w:r>
      <w:r>
        <w:rPr>
          <w:rFonts w:hint="eastAsia" w:ascii="宋体" w:hAnsi="宋体" w:eastAsia="宋体" w:cs="Arial"/>
          <w:kern w:val="0"/>
          <w:sz w:val="24"/>
          <w:szCs w:val="24"/>
          <w:highlight w:val="none"/>
          <w:lang w:val="en-US" w:eastAsia="zh-CN"/>
        </w:rPr>
        <w:t>本项目</w:t>
      </w:r>
      <w:r>
        <w:rPr>
          <w:rFonts w:hint="eastAsia" w:ascii="宋体" w:hAnsi="宋体" w:eastAsia="宋体" w:cs="Arial"/>
          <w:kern w:val="0"/>
          <w:sz w:val="24"/>
          <w:szCs w:val="24"/>
          <w:highlight w:val="none"/>
        </w:rPr>
        <w:t>转包或分包给第三人的，招标人可以单方面解除合同而无须向中标单位支付任何费用或承担其他的任何责任，由此产生的经济损失和法律责任均由中标单位承担。</w:t>
      </w:r>
    </w:p>
    <w:p w14:paraId="7D478D7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Arial"/>
          <w:kern w:val="0"/>
          <w:sz w:val="24"/>
          <w:szCs w:val="24"/>
          <w:highlight w:val="none"/>
        </w:rPr>
      </w:pPr>
      <w:r>
        <w:rPr>
          <w:rFonts w:hint="eastAsia" w:ascii="宋体" w:hAnsi="宋体" w:eastAsia="宋体" w:cs="Arial"/>
          <w:kern w:val="0"/>
          <w:sz w:val="24"/>
          <w:szCs w:val="24"/>
          <w:highlight w:val="none"/>
          <w:lang w:val="en-US" w:eastAsia="zh-CN"/>
        </w:rPr>
        <w:t>5、</w:t>
      </w:r>
      <w:r>
        <w:rPr>
          <w:rFonts w:hint="eastAsia" w:ascii="宋体" w:hAnsi="宋体" w:eastAsia="宋体" w:cs="Arial"/>
          <w:kern w:val="0"/>
          <w:sz w:val="24"/>
          <w:szCs w:val="24"/>
          <w:highlight w:val="none"/>
        </w:rPr>
        <w:t>对于工作服务质量不符合要求的，</w:t>
      </w:r>
      <w:r>
        <w:rPr>
          <w:rFonts w:hint="eastAsia" w:ascii="宋体" w:hAnsi="宋体" w:eastAsia="宋体" w:cs="Arial"/>
          <w:kern w:val="0"/>
          <w:sz w:val="24"/>
          <w:szCs w:val="24"/>
          <w:highlight w:val="none"/>
          <w:lang w:eastAsia="zh-CN"/>
        </w:rPr>
        <w:t>招标人</w:t>
      </w:r>
      <w:r>
        <w:rPr>
          <w:rFonts w:hint="eastAsia" w:ascii="宋体" w:hAnsi="宋体" w:eastAsia="宋体" w:cs="Arial"/>
          <w:kern w:val="0"/>
          <w:sz w:val="24"/>
          <w:szCs w:val="24"/>
          <w:highlight w:val="none"/>
          <w:lang w:val="en-US" w:eastAsia="zh-CN"/>
        </w:rPr>
        <w:t>有权提出</w:t>
      </w:r>
      <w:r>
        <w:rPr>
          <w:rFonts w:hint="eastAsia" w:ascii="宋体" w:hAnsi="宋体" w:eastAsia="宋体" w:cs="Arial"/>
          <w:kern w:val="0"/>
          <w:sz w:val="24"/>
          <w:szCs w:val="24"/>
          <w:highlight w:val="none"/>
        </w:rPr>
        <w:t>限期整改，未整改或整改效果不符合要求的，招标人可以单方面解除合同而无须向中标单位支付任何费用或承担其他的任何责任，由此产生的经济损失和法律责任均由中标单位承担。</w:t>
      </w:r>
    </w:p>
    <w:p w14:paraId="031D188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
          <w:kern w:val="0"/>
          <w:sz w:val="28"/>
          <w:szCs w:val="28"/>
        </w:rPr>
      </w:pPr>
      <w:r>
        <w:rPr>
          <w:rFonts w:hint="eastAsia" w:ascii="宋体" w:hAnsi="宋体" w:eastAsia="宋体" w:cs="Arial"/>
          <w:kern w:val="0"/>
          <w:sz w:val="24"/>
          <w:szCs w:val="24"/>
          <w:highlight w:val="none"/>
          <w:lang w:val="en-US" w:eastAsia="zh-CN"/>
        </w:rPr>
        <w:t>6、招标人有权根据项目的服务需要制订相应的服务规范、考评办法，并要求中标人执行；服务规范、考评办法的解释权属招标人所有；招标人有权要求中标单位服务人员遵照招标人的服务规范和合同的约定为招标人提供服务。</w:t>
      </w:r>
    </w:p>
    <w:p w14:paraId="5845D898">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left"/>
        <w:textAlignment w:val="auto"/>
        <w:rPr>
          <w:rFonts w:hint="default" w:cs="宋体" w:asciiTheme="minorEastAsia" w:hAnsiTheme="minorEastAsia" w:eastAsiaTheme="minorEastAsia"/>
          <w:b/>
          <w:kern w:val="0"/>
          <w:sz w:val="24"/>
          <w:szCs w:val="24"/>
          <w:lang w:val="en-US" w:eastAsia="zh-CN"/>
        </w:rPr>
      </w:pPr>
      <w:r>
        <w:rPr>
          <w:rFonts w:hint="eastAsia" w:cs="宋体" w:asciiTheme="minorEastAsia" w:hAnsiTheme="minorEastAsia" w:eastAsiaTheme="minorEastAsia"/>
          <w:b/>
          <w:kern w:val="0"/>
          <w:sz w:val="24"/>
          <w:szCs w:val="24"/>
          <w:lang w:eastAsia="zh-CN"/>
        </w:rPr>
        <w:t>附件</w:t>
      </w:r>
      <w:r>
        <w:rPr>
          <w:rFonts w:hint="eastAsia" w:cs="宋体" w:asciiTheme="minorEastAsia" w:hAnsiTheme="minorEastAsia" w:eastAsiaTheme="minorEastAsia"/>
          <w:b/>
          <w:kern w:val="0"/>
          <w:sz w:val="24"/>
          <w:szCs w:val="24"/>
          <w:lang w:val="en-US" w:eastAsia="zh-CN"/>
        </w:rPr>
        <w:t>2：临时用工外包单位监督考核标准</w:t>
      </w:r>
    </w:p>
    <w:tbl>
      <w:tblPr>
        <w:tblStyle w:val="13"/>
        <w:tblW w:w="10467" w:type="dxa"/>
        <w:tblInd w:w="-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4217"/>
        <w:gridCol w:w="4766"/>
        <w:gridCol w:w="834"/>
      </w:tblGrid>
      <w:tr w14:paraId="6D78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50" w:type="dxa"/>
            <w:noWrap w:val="0"/>
            <w:vAlign w:val="center"/>
          </w:tcPr>
          <w:p w14:paraId="00A590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4217" w:type="dxa"/>
            <w:noWrap w:val="0"/>
            <w:vAlign w:val="center"/>
          </w:tcPr>
          <w:p w14:paraId="76F13D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考核内容</w:t>
            </w:r>
          </w:p>
        </w:tc>
        <w:tc>
          <w:tcPr>
            <w:tcW w:w="4766" w:type="dxa"/>
            <w:noWrap w:val="0"/>
            <w:vAlign w:val="center"/>
          </w:tcPr>
          <w:p w14:paraId="186A97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处罚</w:t>
            </w:r>
            <w:r>
              <w:rPr>
                <w:rFonts w:hint="eastAsia" w:asciiTheme="minorEastAsia" w:hAnsiTheme="minorEastAsia" w:eastAsiaTheme="minorEastAsia" w:cstheme="minorEastAsia"/>
                <w:b/>
                <w:sz w:val="21"/>
                <w:szCs w:val="21"/>
                <w:lang w:val="en-US" w:eastAsia="zh-CN"/>
              </w:rPr>
              <w:t>和考核扣分</w:t>
            </w:r>
            <w:r>
              <w:rPr>
                <w:rFonts w:hint="eastAsia" w:asciiTheme="minorEastAsia" w:hAnsiTheme="minorEastAsia" w:eastAsiaTheme="minorEastAsia" w:cstheme="minorEastAsia"/>
                <w:b/>
                <w:sz w:val="21"/>
                <w:szCs w:val="21"/>
              </w:rPr>
              <w:t>标准</w:t>
            </w:r>
          </w:p>
        </w:tc>
        <w:tc>
          <w:tcPr>
            <w:tcW w:w="834" w:type="dxa"/>
            <w:noWrap w:val="0"/>
            <w:vAlign w:val="center"/>
          </w:tcPr>
          <w:p w14:paraId="71DDA3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14:paraId="43B1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trPr>
        <w:tc>
          <w:tcPr>
            <w:tcW w:w="650" w:type="dxa"/>
            <w:noWrap w:val="0"/>
            <w:vAlign w:val="center"/>
          </w:tcPr>
          <w:p w14:paraId="4AA345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p>
        </w:tc>
        <w:tc>
          <w:tcPr>
            <w:tcW w:w="4217" w:type="dxa"/>
            <w:noWrap w:val="0"/>
            <w:vAlign w:val="center"/>
          </w:tcPr>
          <w:p w14:paraId="38DBF49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岗位配备人数须达到</w:t>
            </w:r>
            <w:r>
              <w:rPr>
                <w:rFonts w:hint="eastAsia" w:asciiTheme="minorEastAsia" w:hAnsiTheme="minorEastAsia" w:eastAsiaTheme="minorEastAsia" w:cstheme="minorEastAsia"/>
                <w:sz w:val="21"/>
                <w:szCs w:val="21"/>
                <w:lang w:eastAsia="zh-CN"/>
              </w:rPr>
              <w:t>管理处需求</w:t>
            </w:r>
            <w:r>
              <w:rPr>
                <w:rFonts w:hint="eastAsia" w:asciiTheme="minorEastAsia" w:hAnsiTheme="minorEastAsia" w:eastAsiaTheme="minorEastAsia" w:cstheme="minorEastAsia"/>
                <w:sz w:val="21"/>
                <w:szCs w:val="21"/>
              </w:rPr>
              <w:t>人数。</w:t>
            </w:r>
            <w:r>
              <w:rPr>
                <w:rFonts w:hint="eastAsia"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rPr>
              <w:t>派驻</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人员须同现场实际到岗人员一致，未经招标方同意，</w:t>
            </w:r>
            <w:r>
              <w:rPr>
                <w:rFonts w:hint="eastAsia" w:asciiTheme="minorEastAsia" w:hAnsiTheme="minorEastAsia" w:eastAsiaTheme="minorEastAsia" w:cstheme="minorEastAsia"/>
                <w:sz w:val="21"/>
                <w:szCs w:val="21"/>
                <w:lang w:val="en-US" w:eastAsia="zh-CN"/>
              </w:rPr>
              <w:t>不得</w:t>
            </w:r>
            <w:r>
              <w:rPr>
                <w:rFonts w:hint="eastAsia" w:asciiTheme="minorEastAsia" w:hAnsiTheme="minorEastAsia" w:eastAsiaTheme="minorEastAsia" w:cstheme="minorEastAsia"/>
                <w:sz w:val="21"/>
                <w:szCs w:val="21"/>
              </w:rPr>
              <w:t>擅自更换人员</w:t>
            </w:r>
            <w:r>
              <w:rPr>
                <w:rFonts w:hint="eastAsia" w:asciiTheme="minorEastAsia" w:hAnsiTheme="minorEastAsia" w:eastAsiaTheme="minorEastAsia" w:cstheme="minorEastAsia"/>
                <w:sz w:val="21"/>
                <w:szCs w:val="21"/>
                <w:lang w:eastAsia="zh-CN"/>
              </w:rPr>
              <w:t>。</w:t>
            </w:r>
          </w:p>
        </w:tc>
        <w:tc>
          <w:tcPr>
            <w:tcW w:w="4766" w:type="dxa"/>
            <w:noWrap w:val="0"/>
            <w:vAlign w:val="center"/>
          </w:tcPr>
          <w:p w14:paraId="7FA23290">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经</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核查，每少一人</w:t>
            </w:r>
            <w:r>
              <w:rPr>
                <w:rFonts w:hint="eastAsia" w:asciiTheme="minorEastAsia" w:hAnsiTheme="minorEastAsia" w:eastAsiaTheme="minorEastAsia" w:cstheme="minorEastAsia"/>
                <w:sz w:val="21"/>
                <w:szCs w:val="21"/>
                <w:lang w:val="en-US" w:eastAsia="zh-CN"/>
              </w:rPr>
              <w:t>或擅自更换一人次的</w:t>
            </w:r>
            <w:r>
              <w:rPr>
                <w:rFonts w:hint="eastAsia" w:asciiTheme="minorEastAsia" w:hAnsiTheme="minorEastAsia" w:eastAsiaTheme="minorEastAsia" w:cstheme="minorEastAsia"/>
                <w:sz w:val="21"/>
                <w:szCs w:val="21"/>
              </w:rPr>
              <w:t>从服务费用中</w:t>
            </w:r>
            <w:r>
              <w:rPr>
                <w:rFonts w:hint="eastAsia" w:asciiTheme="minorEastAsia" w:hAnsiTheme="minorEastAsia" w:eastAsiaTheme="minorEastAsia" w:cstheme="minorEastAsia"/>
                <w:sz w:val="21"/>
                <w:szCs w:val="21"/>
                <w:lang w:val="en-US" w:eastAsia="zh-CN"/>
              </w:rPr>
              <w:t>扣除500</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val="en-US" w:eastAsia="zh-CN"/>
              </w:rPr>
              <w:t>/人次，</w:t>
            </w:r>
            <w:r>
              <w:rPr>
                <w:rFonts w:hint="eastAsia" w:asciiTheme="minorEastAsia" w:hAnsiTheme="minorEastAsia" w:eastAsiaTheme="minorEastAsia" w:cstheme="minorEastAsia"/>
                <w:sz w:val="21"/>
                <w:szCs w:val="21"/>
              </w:rPr>
              <w:t>并限期5天内补足</w:t>
            </w:r>
            <w:r>
              <w:rPr>
                <w:rFonts w:hint="eastAsia" w:asciiTheme="minorEastAsia" w:hAnsiTheme="minorEastAsia" w:eastAsiaTheme="minorEastAsia" w:cstheme="minorEastAsia"/>
                <w:sz w:val="21"/>
                <w:szCs w:val="21"/>
                <w:lang w:val="en-US" w:eastAsia="zh-CN"/>
              </w:rPr>
              <w:t>调整</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给招标方造成损失的由中标人负责赔偿</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752F512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46DB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650" w:type="dxa"/>
            <w:noWrap w:val="0"/>
            <w:vAlign w:val="center"/>
          </w:tcPr>
          <w:p w14:paraId="3C30A3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p>
        </w:tc>
        <w:tc>
          <w:tcPr>
            <w:tcW w:w="4217" w:type="dxa"/>
            <w:noWrap w:val="0"/>
            <w:vAlign w:val="center"/>
          </w:tcPr>
          <w:p w14:paraId="7EBF6A7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配备人员须达到合同约定标准</w:t>
            </w:r>
            <w:r>
              <w:rPr>
                <w:rFonts w:hint="eastAsia" w:asciiTheme="minorEastAsia" w:hAnsiTheme="minorEastAsia" w:eastAsiaTheme="minorEastAsia" w:cstheme="minorEastAsia"/>
                <w:sz w:val="21"/>
                <w:szCs w:val="21"/>
                <w:lang w:eastAsia="zh-CN"/>
              </w:rPr>
              <w:t>。不达标准</w:t>
            </w:r>
            <w:r>
              <w:rPr>
                <w:rFonts w:hint="eastAsia" w:asciiTheme="minorEastAsia" w:hAnsiTheme="minorEastAsia" w:eastAsiaTheme="minorEastAsia" w:cstheme="minorEastAsia"/>
                <w:sz w:val="21"/>
                <w:szCs w:val="21"/>
              </w:rPr>
              <w:t>或经考核不胜任工作的，限期予以调换合适人员。</w:t>
            </w:r>
          </w:p>
        </w:tc>
        <w:tc>
          <w:tcPr>
            <w:tcW w:w="4766" w:type="dxa"/>
            <w:noWrap w:val="0"/>
            <w:vAlign w:val="center"/>
          </w:tcPr>
          <w:p w14:paraId="0CA8CF4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未按期调换，或经调换1次后仍达不到约定标准的，从当月服务费用中扣除</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00元/例。</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24C3327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2BCD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50" w:type="dxa"/>
            <w:noWrap w:val="0"/>
            <w:vAlign w:val="center"/>
          </w:tcPr>
          <w:p w14:paraId="402A90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p>
        </w:tc>
        <w:tc>
          <w:tcPr>
            <w:tcW w:w="4217" w:type="dxa"/>
            <w:noWrap w:val="0"/>
            <w:vAlign w:val="center"/>
          </w:tcPr>
          <w:p w14:paraId="6097223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人员不得与</w:t>
            </w:r>
            <w:r>
              <w:rPr>
                <w:rFonts w:hint="eastAsia" w:asciiTheme="minorEastAsia" w:hAnsiTheme="minorEastAsia" w:eastAsiaTheme="minorEastAsia" w:cstheme="minorEastAsia"/>
                <w:sz w:val="21"/>
                <w:szCs w:val="21"/>
                <w:lang w:val="en-US" w:eastAsia="zh-CN"/>
              </w:rPr>
              <w:t>业主</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eastAsia="zh-CN"/>
              </w:rPr>
              <w:t>祭祀人员</w:t>
            </w:r>
            <w:r>
              <w:rPr>
                <w:rFonts w:hint="eastAsia" w:asciiTheme="minorEastAsia" w:hAnsiTheme="minorEastAsia" w:eastAsiaTheme="minorEastAsia" w:cstheme="minorEastAsia"/>
                <w:sz w:val="21"/>
                <w:szCs w:val="21"/>
              </w:rPr>
              <w:t>发生因我方责任引起的正面冲突。</w:t>
            </w:r>
          </w:p>
        </w:tc>
        <w:tc>
          <w:tcPr>
            <w:tcW w:w="4766" w:type="dxa"/>
            <w:noWrap w:val="0"/>
            <w:vAlign w:val="center"/>
          </w:tcPr>
          <w:p w14:paraId="76F7385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每发现一例从服务费用中扣除</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00元。</w:t>
            </w:r>
            <w:r>
              <w:rPr>
                <w:rFonts w:hint="eastAsia" w:asciiTheme="minorEastAsia" w:hAnsiTheme="minorEastAsia" w:eastAsiaTheme="minorEastAsia" w:cstheme="minorEastAsia"/>
                <w:sz w:val="21"/>
                <w:szCs w:val="21"/>
                <w:lang w:val="en-US" w:eastAsia="zh-CN"/>
              </w:rPr>
              <w:t>扣考核评分1分/例。</w:t>
            </w:r>
          </w:p>
        </w:tc>
        <w:tc>
          <w:tcPr>
            <w:tcW w:w="834" w:type="dxa"/>
            <w:noWrap w:val="0"/>
            <w:vAlign w:val="center"/>
          </w:tcPr>
          <w:p w14:paraId="0EA9B88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7ACA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650" w:type="dxa"/>
            <w:noWrap w:val="0"/>
            <w:vAlign w:val="center"/>
          </w:tcPr>
          <w:p w14:paraId="4302C50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p>
        </w:tc>
        <w:tc>
          <w:tcPr>
            <w:tcW w:w="4217" w:type="dxa"/>
            <w:noWrap w:val="0"/>
            <w:vAlign w:val="center"/>
          </w:tcPr>
          <w:p w14:paraId="5DBA89A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人员需经岗前培训，考核合格后方可上岗。</w:t>
            </w:r>
          </w:p>
        </w:tc>
        <w:tc>
          <w:tcPr>
            <w:tcW w:w="4766" w:type="dxa"/>
            <w:noWrap w:val="0"/>
            <w:vAlign w:val="center"/>
          </w:tcPr>
          <w:p w14:paraId="275EA16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经查未进行岗前培训上岗人员一人，从服务费用中扣除100元</w:t>
            </w:r>
            <w:r>
              <w:rPr>
                <w:rFonts w:hint="eastAsia" w:asciiTheme="minorEastAsia" w:hAnsiTheme="minorEastAsia" w:eastAsiaTheme="minorEastAsia" w:cstheme="minorEastAsia"/>
                <w:sz w:val="21"/>
                <w:szCs w:val="21"/>
                <w:lang w:val="en-US" w:eastAsia="zh-CN"/>
              </w:rPr>
              <w:t>/人次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79CAFE4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5F1F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650" w:type="dxa"/>
            <w:noWrap w:val="0"/>
            <w:vAlign w:val="center"/>
          </w:tcPr>
          <w:p w14:paraId="773307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w:t>
            </w:r>
          </w:p>
        </w:tc>
        <w:tc>
          <w:tcPr>
            <w:tcW w:w="4217" w:type="dxa"/>
            <w:noWrap w:val="0"/>
            <w:vAlign w:val="center"/>
          </w:tcPr>
          <w:p w14:paraId="7804058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人员入场后，</w:t>
            </w: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需提供有关人员身份证明、岗位操作证、人员</w:t>
            </w:r>
            <w:r>
              <w:rPr>
                <w:rFonts w:hint="eastAsia" w:asciiTheme="minorEastAsia" w:hAnsiTheme="minorEastAsia" w:eastAsiaTheme="minorEastAsia" w:cstheme="minorEastAsia"/>
                <w:sz w:val="21"/>
                <w:szCs w:val="21"/>
                <w:lang w:eastAsia="zh-CN"/>
              </w:rPr>
              <w:t>花</w:t>
            </w:r>
            <w:r>
              <w:rPr>
                <w:rFonts w:hint="eastAsia" w:asciiTheme="minorEastAsia" w:hAnsiTheme="minorEastAsia" w:eastAsiaTheme="minorEastAsia" w:cstheme="minorEastAsia"/>
                <w:sz w:val="21"/>
                <w:szCs w:val="21"/>
              </w:rPr>
              <w:t>名册等材料。</w:t>
            </w:r>
          </w:p>
        </w:tc>
        <w:tc>
          <w:tcPr>
            <w:tcW w:w="4766" w:type="dxa"/>
            <w:noWrap w:val="0"/>
            <w:vAlign w:val="center"/>
          </w:tcPr>
          <w:p w14:paraId="4AA9ABB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未及时提供的从服务费用中扣除200元</w:t>
            </w:r>
            <w:r>
              <w:rPr>
                <w:rFonts w:hint="eastAsia" w:asciiTheme="minorEastAsia" w:hAnsiTheme="minorEastAsia" w:eastAsiaTheme="minorEastAsia" w:cstheme="minorEastAsia"/>
                <w:sz w:val="21"/>
                <w:szCs w:val="21"/>
                <w:lang w:val="en-US" w:eastAsia="zh-CN"/>
              </w:rPr>
              <w:t>/人次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0E9B45D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4347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50" w:type="dxa"/>
            <w:noWrap w:val="0"/>
            <w:vAlign w:val="center"/>
          </w:tcPr>
          <w:p w14:paraId="59B1EC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4217" w:type="dxa"/>
            <w:noWrap w:val="0"/>
            <w:vAlign w:val="center"/>
          </w:tcPr>
          <w:p w14:paraId="005DDE3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发生人员变动的，</w:t>
            </w:r>
            <w:r>
              <w:rPr>
                <w:rFonts w:hint="eastAsia" w:asciiTheme="minorEastAsia" w:hAnsiTheme="minorEastAsia" w:cstheme="minorEastAsia"/>
                <w:sz w:val="21"/>
                <w:szCs w:val="21"/>
                <w:lang w:eastAsia="zh-CN"/>
              </w:rPr>
              <w:t>当天</w:t>
            </w:r>
            <w:r>
              <w:rPr>
                <w:rFonts w:hint="eastAsia" w:asciiTheme="minorEastAsia" w:hAnsiTheme="minorEastAsia" w:eastAsiaTheme="minorEastAsia" w:cstheme="minorEastAsia"/>
                <w:sz w:val="21"/>
                <w:szCs w:val="21"/>
              </w:rPr>
              <w:t>变更有关材料并报</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w:t>
            </w:r>
          </w:p>
        </w:tc>
        <w:tc>
          <w:tcPr>
            <w:tcW w:w="4766" w:type="dxa"/>
            <w:noWrap w:val="0"/>
            <w:vAlign w:val="center"/>
          </w:tcPr>
          <w:p w14:paraId="49011FF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未及时变更的从服务费用中扣除100元</w:t>
            </w:r>
            <w:r>
              <w:rPr>
                <w:rFonts w:hint="eastAsia" w:asciiTheme="minorEastAsia" w:hAnsiTheme="minorEastAsia" w:eastAsiaTheme="minorEastAsia" w:cstheme="minorEastAsia"/>
                <w:sz w:val="21"/>
                <w:szCs w:val="21"/>
                <w:lang w:val="en-US" w:eastAsia="zh-CN"/>
              </w:rPr>
              <w:t>/人次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5946498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5D00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50" w:type="dxa"/>
            <w:noWrap w:val="0"/>
            <w:vAlign w:val="center"/>
          </w:tcPr>
          <w:p w14:paraId="01A040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w:t>
            </w:r>
          </w:p>
        </w:tc>
        <w:tc>
          <w:tcPr>
            <w:tcW w:w="4217" w:type="dxa"/>
            <w:noWrap w:val="0"/>
            <w:vAlign w:val="center"/>
          </w:tcPr>
          <w:p w14:paraId="3456E5D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人员无交接班记录或记录不完整。</w:t>
            </w:r>
          </w:p>
        </w:tc>
        <w:tc>
          <w:tcPr>
            <w:tcW w:w="4766" w:type="dxa"/>
            <w:noWrap w:val="0"/>
            <w:vAlign w:val="center"/>
          </w:tcPr>
          <w:p w14:paraId="7A98211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发现后根据整改情况扣除100元</w:t>
            </w:r>
            <w:r>
              <w:rPr>
                <w:rFonts w:hint="eastAsia" w:asciiTheme="minorEastAsia" w:hAnsiTheme="minorEastAsia" w:eastAsiaTheme="minorEastAsia" w:cstheme="minorEastAsia"/>
                <w:sz w:val="21"/>
                <w:szCs w:val="21"/>
                <w:highlight w:val="none"/>
                <w:lang w:val="en-US" w:eastAsia="zh-CN"/>
              </w:rPr>
              <w:t>/人次</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扣考核评分1分/人次。</w:t>
            </w:r>
          </w:p>
        </w:tc>
        <w:tc>
          <w:tcPr>
            <w:tcW w:w="834" w:type="dxa"/>
            <w:noWrap w:val="0"/>
            <w:vAlign w:val="center"/>
          </w:tcPr>
          <w:p w14:paraId="4D7823A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4958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650" w:type="dxa"/>
            <w:noWrap w:val="0"/>
            <w:vAlign w:val="center"/>
          </w:tcPr>
          <w:p w14:paraId="4BDAC4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p>
        </w:tc>
        <w:tc>
          <w:tcPr>
            <w:tcW w:w="4217" w:type="dxa"/>
            <w:noWrap w:val="0"/>
            <w:vAlign w:val="center"/>
          </w:tcPr>
          <w:p w14:paraId="2A9E435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人员须遵守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管理规定，不得迟到、早退、脱岗、缺岗及做与工作无关的事。</w:t>
            </w:r>
          </w:p>
        </w:tc>
        <w:tc>
          <w:tcPr>
            <w:tcW w:w="4766" w:type="dxa"/>
            <w:noWrap w:val="0"/>
            <w:vAlign w:val="center"/>
          </w:tcPr>
          <w:p w14:paraId="78C7193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每发现一例从当月服务费用中扣除200元。</w:t>
            </w:r>
            <w:r>
              <w:rPr>
                <w:rFonts w:hint="eastAsia" w:asciiTheme="minorEastAsia" w:hAnsiTheme="minorEastAsia" w:eastAsiaTheme="minorEastAsia" w:cstheme="minorEastAsia"/>
                <w:sz w:val="21"/>
                <w:szCs w:val="21"/>
                <w:lang w:val="en-US" w:eastAsia="zh-CN"/>
              </w:rPr>
              <w:t>扣考核评分1分/例。</w:t>
            </w:r>
          </w:p>
        </w:tc>
        <w:tc>
          <w:tcPr>
            <w:tcW w:w="834" w:type="dxa"/>
            <w:noWrap w:val="0"/>
            <w:vAlign w:val="center"/>
          </w:tcPr>
          <w:p w14:paraId="7829408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3990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50" w:type="dxa"/>
            <w:noWrap w:val="0"/>
            <w:vAlign w:val="center"/>
          </w:tcPr>
          <w:p w14:paraId="4DCE90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9</w:t>
            </w:r>
          </w:p>
        </w:tc>
        <w:tc>
          <w:tcPr>
            <w:tcW w:w="4217" w:type="dxa"/>
            <w:noWrap w:val="0"/>
            <w:vAlign w:val="center"/>
          </w:tcPr>
          <w:p w14:paraId="186B1EB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人员仪容仪表规范，按规定着装，佩戴标志，制服整洁。</w:t>
            </w:r>
          </w:p>
        </w:tc>
        <w:tc>
          <w:tcPr>
            <w:tcW w:w="4766" w:type="dxa"/>
            <w:noWrap w:val="0"/>
            <w:vAlign w:val="center"/>
          </w:tcPr>
          <w:p w14:paraId="2B4EF49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不符合规定的每发现一例从当月服务费用中扣除100元。</w:t>
            </w:r>
            <w:r>
              <w:rPr>
                <w:rFonts w:hint="eastAsia" w:asciiTheme="minorEastAsia" w:hAnsiTheme="minorEastAsia" w:eastAsiaTheme="minorEastAsia" w:cstheme="minorEastAsia"/>
                <w:sz w:val="21"/>
                <w:szCs w:val="21"/>
                <w:lang w:val="en-US" w:eastAsia="zh-CN"/>
              </w:rPr>
              <w:t>扣考核评分1分/例。</w:t>
            </w:r>
          </w:p>
        </w:tc>
        <w:tc>
          <w:tcPr>
            <w:tcW w:w="834" w:type="dxa"/>
            <w:noWrap w:val="0"/>
            <w:vAlign w:val="center"/>
          </w:tcPr>
          <w:p w14:paraId="11049D5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3A04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trPr>
        <w:tc>
          <w:tcPr>
            <w:tcW w:w="650" w:type="dxa"/>
            <w:noWrap w:val="0"/>
            <w:vAlign w:val="center"/>
          </w:tcPr>
          <w:p w14:paraId="49BD7D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10</w:t>
            </w:r>
          </w:p>
        </w:tc>
        <w:tc>
          <w:tcPr>
            <w:tcW w:w="4217" w:type="dxa"/>
            <w:noWrap w:val="0"/>
            <w:vAlign w:val="center"/>
          </w:tcPr>
          <w:p w14:paraId="40639F9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每个重大节气日前</w:t>
            </w:r>
            <w:r>
              <w:rPr>
                <w:rFonts w:hint="eastAsia" w:asciiTheme="minorEastAsia" w:hAnsiTheme="minorEastAsia" w:cstheme="minorEastAsia"/>
                <w:sz w:val="21"/>
                <w:szCs w:val="21"/>
                <w:lang w:val="en-US" w:eastAsia="zh-CN"/>
              </w:rPr>
              <w:t>10日</w:t>
            </w:r>
            <w:r>
              <w:rPr>
                <w:rFonts w:hint="eastAsia" w:asciiTheme="minorEastAsia" w:hAnsiTheme="minorEastAsia" w:eastAsiaTheme="minorEastAsia" w:cstheme="minorEastAsia"/>
                <w:sz w:val="21"/>
                <w:szCs w:val="21"/>
              </w:rPr>
              <w:t>与</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项目管理人员</w:t>
            </w:r>
            <w:r>
              <w:rPr>
                <w:rFonts w:hint="eastAsia" w:asciiTheme="minorEastAsia" w:hAnsiTheme="minorEastAsia" w:eastAsiaTheme="minorEastAsia" w:cstheme="minorEastAsia"/>
                <w:sz w:val="21"/>
                <w:szCs w:val="21"/>
                <w:lang w:val="en-US" w:eastAsia="zh-CN"/>
              </w:rPr>
              <w:t>及服务外包人员</w:t>
            </w:r>
            <w:r>
              <w:rPr>
                <w:rFonts w:hint="eastAsia" w:asciiTheme="minorEastAsia" w:hAnsiTheme="minorEastAsia" w:eastAsiaTheme="minorEastAsia" w:cstheme="minorEastAsia"/>
                <w:sz w:val="21"/>
                <w:szCs w:val="21"/>
              </w:rPr>
              <w:t>召开一次工作沟通</w:t>
            </w:r>
            <w:r>
              <w:rPr>
                <w:rFonts w:hint="eastAsia" w:asciiTheme="minorEastAsia" w:hAnsiTheme="minorEastAsia" w:eastAsiaTheme="minorEastAsia" w:cstheme="minorEastAsia"/>
                <w:sz w:val="21"/>
                <w:szCs w:val="21"/>
                <w:lang w:val="en-US" w:eastAsia="zh-CN"/>
              </w:rPr>
              <w:t>协调</w:t>
            </w:r>
            <w:r>
              <w:rPr>
                <w:rFonts w:hint="eastAsia" w:asciiTheme="minorEastAsia" w:hAnsiTheme="minorEastAsia" w:eastAsiaTheme="minorEastAsia" w:cstheme="minorEastAsia"/>
                <w:sz w:val="21"/>
                <w:szCs w:val="21"/>
              </w:rPr>
              <w:t>会议</w:t>
            </w:r>
            <w:r>
              <w:rPr>
                <w:rFonts w:hint="eastAsia" w:asciiTheme="minorEastAsia" w:hAnsiTheme="minorEastAsia" w:eastAsiaTheme="minorEastAsia" w:cstheme="minorEastAsia"/>
                <w:sz w:val="21"/>
                <w:szCs w:val="21"/>
                <w:lang w:eastAsia="zh-CN"/>
              </w:rPr>
              <w:t>。</w:t>
            </w:r>
          </w:p>
        </w:tc>
        <w:tc>
          <w:tcPr>
            <w:tcW w:w="4766" w:type="dxa"/>
            <w:noWrap w:val="0"/>
            <w:vAlign w:val="center"/>
          </w:tcPr>
          <w:p w14:paraId="65B47CF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w:t>
            </w: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原因导致会议未能按时召开</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，从服务费用中扣除</w:t>
            </w:r>
            <w:r>
              <w:rPr>
                <w:rFonts w:hint="eastAsia" w:asciiTheme="minorEastAsia" w:hAnsiTheme="minorEastAsia" w:eastAsiaTheme="minorEastAsia" w:cstheme="minorEastAsia"/>
                <w:sz w:val="21"/>
                <w:szCs w:val="21"/>
                <w:lang w:val="en-US" w:eastAsia="zh-CN"/>
              </w:rPr>
              <w:t>200</w:t>
            </w:r>
            <w:r>
              <w:rPr>
                <w:rFonts w:hint="eastAsia" w:asciiTheme="minorEastAsia" w:hAnsiTheme="minorEastAsia" w:eastAsiaTheme="minorEastAsia" w:cstheme="minorEastAsia"/>
                <w:sz w:val="21"/>
                <w:szCs w:val="21"/>
              </w:rPr>
              <w:t>元/次。</w:t>
            </w:r>
            <w:r>
              <w:rPr>
                <w:rFonts w:hint="eastAsia" w:asciiTheme="minorEastAsia" w:hAnsiTheme="minorEastAsia" w:eastAsiaTheme="minorEastAsia" w:cstheme="minorEastAsia"/>
                <w:sz w:val="21"/>
                <w:szCs w:val="21"/>
                <w:lang w:val="en-US" w:eastAsia="zh-CN"/>
              </w:rPr>
              <w:t>扣考核评分1分/次。</w:t>
            </w:r>
          </w:p>
        </w:tc>
        <w:tc>
          <w:tcPr>
            <w:tcW w:w="834" w:type="dxa"/>
            <w:noWrap w:val="0"/>
            <w:vAlign w:val="center"/>
          </w:tcPr>
          <w:p w14:paraId="29D3085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4248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50" w:type="dxa"/>
            <w:noWrap w:val="0"/>
            <w:vAlign w:val="center"/>
          </w:tcPr>
          <w:p w14:paraId="425211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11</w:t>
            </w:r>
          </w:p>
        </w:tc>
        <w:tc>
          <w:tcPr>
            <w:tcW w:w="4217" w:type="dxa"/>
            <w:noWrap w:val="0"/>
            <w:vAlign w:val="center"/>
          </w:tcPr>
          <w:p w14:paraId="3118AF7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合同期半年向</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提交一份书面汇报。</w:t>
            </w:r>
          </w:p>
        </w:tc>
        <w:tc>
          <w:tcPr>
            <w:tcW w:w="4766" w:type="dxa"/>
            <w:noWrap w:val="0"/>
            <w:vAlign w:val="center"/>
          </w:tcPr>
          <w:p w14:paraId="2B5A8C5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未按时提交的从服务费用中扣除200</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元/次。</w:t>
            </w:r>
            <w:r>
              <w:rPr>
                <w:rFonts w:hint="eastAsia" w:asciiTheme="minorEastAsia" w:hAnsiTheme="minorEastAsia" w:eastAsiaTheme="minorEastAsia" w:cstheme="minorEastAsia"/>
                <w:sz w:val="21"/>
                <w:szCs w:val="21"/>
                <w:lang w:val="en-US" w:eastAsia="zh-CN"/>
              </w:rPr>
              <w:t>扣考核评分1分/次。</w:t>
            </w:r>
          </w:p>
        </w:tc>
        <w:tc>
          <w:tcPr>
            <w:tcW w:w="834" w:type="dxa"/>
            <w:noWrap w:val="0"/>
            <w:vAlign w:val="center"/>
          </w:tcPr>
          <w:p w14:paraId="09188BA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1A15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50" w:type="dxa"/>
            <w:noWrap w:val="0"/>
            <w:vAlign w:val="center"/>
          </w:tcPr>
          <w:p w14:paraId="40FC25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12</w:t>
            </w:r>
          </w:p>
        </w:tc>
        <w:tc>
          <w:tcPr>
            <w:tcW w:w="4217" w:type="dxa"/>
            <w:noWrap w:val="0"/>
            <w:vAlign w:val="center"/>
          </w:tcPr>
          <w:p w14:paraId="6BD5C66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合同期一年向</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提交书面工作总结。</w:t>
            </w:r>
          </w:p>
        </w:tc>
        <w:tc>
          <w:tcPr>
            <w:tcW w:w="4766" w:type="dxa"/>
            <w:noWrap w:val="0"/>
            <w:vAlign w:val="center"/>
          </w:tcPr>
          <w:p w14:paraId="039FC6D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未按时提交的从服务费用中扣除</w:t>
            </w:r>
            <w:r>
              <w:rPr>
                <w:rFonts w:hint="eastAsia" w:asciiTheme="minorEastAsia" w:hAnsiTheme="minorEastAsia" w:eastAsiaTheme="minorEastAsia" w:cstheme="minorEastAsia"/>
                <w:sz w:val="21"/>
                <w:szCs w:val="21"/>
                <w:lang w:val="en-US" w:eastAsia="zh-CN"/>
              </w:rPr>
              <w:t>2000</w:t>
            </w:r>
            <w:r>
              <w:rPr>
                <w:rFonts w:hint="eastAsia" w:asciiTheme="minorEastAsia" w:hAnsiTheme="minorEastAsia" w:eastAsiaTheme="minorEastAsia" w:cstheme="minorEastAsia"/>
                <w:sz w:val="21"/>
                <w:szCs w:val="21"/>
              </w:rPr>
              <w:t>元/次。</w:t>
            </w:r>
            <w:r>
              <w:rPr>
                <w:rFonts w:hint="eastAsia" w:asciiTheme="minorEastAsia" w:hAnsiTheme="minorEastAsia" w:eastAsiaTheme="minorEastAsia" w:cstheme="minorEastAsia"/>
                <w:sz w:val="21"/>
                <w:szCs w:val="21"/>
                <w:lang w:val="en-US" w:eastAsia="zh-CN"/>
              </w:rPr>
              <w:t>扣考核评分1分/次。</w:t>
            </w:r>
          </w:p>
        </w:tc>
        <w:tc>
          <w:tcPr>
            <w:tcW w:w="834" w:type="dxa"/>
            <w:noWrap w:val="0"/>
            <w:vAlign w:val="center"/>
          </w:tcPr>
          <w:p w14:paraId="0B2251F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07D6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exact"/>
        </w:trPr>
        <w:tc>
          <w:tcPr>
            <w:tcW w:w="650" w:type="dxa"/>
            <w:noWrap w:val="0"/>
            <w:vAlign w:val="center"/>
          </w:tcPr>
          <w:p w14:paraId="468981D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13</w:t>
            </w:r>
          </w:p>
        </w:tc>
        <w:tc>
          <w:tcPr>
            <w:tcW w:w="4217" w:type="dxa"/>
            <w:noWrap w:val="0"/>
            <w:vAlign w:val="center"/>
          </w:tcPr>
          <w:p w14:paraId="0FC1FE91">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从采购人领取物品的，当其离职</w:t>
            </w:r>
            <w:r>
              <w:rPr>
                <w:rFonts w:hint="eastAsia" w:asciiTheme="minorEastAsia" w:hAnsiTheme="minorEastAsia" w:eastAsiaTheme="minorEastAsia" w:cstheme="minorEastAsia"/>
                <w:sz w:val="21"/>
                <w:szCs w:val="21"/>
                <w:lang w:val="en-US" w:eastAsia="zh-CN"/>
              </w:rPr>
              <w:t>或离开项目点工作</w:t>
            </w:r>
            <w:r>
              <w:rPr>
                <w:rFonts w:hint="eastAsia" w:asciiTheme="minorEastAsia" w:hAnsiTheme="minorEastAsia" w:eastAsiaTheme="minorEastAsia" w:cstheme="minorEastAsia"/>
                <w:sz w:val="21"/>
                <w:szCs w:val="21"/>
              </w:rPr>
              <w:t>时，由中标人负责收回</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交还采购人</w:t>
            </w:r>
            <w:r>
              <w:rPr>
                <w:rFonts w:hint="eastAsia" w:asciiTheme="minorEastAsia" w:hAnsiTheme="minorEastAsia" w:eastAsiaTheme="minorEastAsia" w:cstheme="minorEastAsia"/>
                <w:sz w:val="21"/>
                <w:szCs w:val="21"/>
                <w:lang w:eastAsia="zh-CN"/>
              </w:rPr>
              <w:t>。</w:t>
            </w:r>
          </w:p>
        </w:tc>
        <w:tc>
          <w:tcPr>
            <w:tcW w:w="4766" w:type="dxa"/>
            <w:noWrap w:val="0"/>
            <w:vAlign w:val="center"/>
          </w:tcPr>
          <w:p w14:paraId="7A4CDFE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因中标人及其服务外包人员原因遗失的，从当月服务费中照价扣除。每有一人相关物品未交还的，扣考核评分1分/人次。</w:t>
            </w:r>
          </w:p>
        </w:tc>
        <w:tc>
          <w:tcPr>
            <w:tcW w:w="834" w:type="dxa"/>
            <w:noWrap w:val="0"/>
            <w:vAlign w:val="center"/>
          </w:tcPr>
          <w:p w14:paraId="48E059E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01A5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exact"/>
        </w:trPr>
        <w:tc>
          <w:tcPr>
            <w:tcW w:w="650" w:type="dxa"/>
            <w:noWrap w:val="0"/>
            <w:vAlign w:val="center"/>
          </w:tcPr>
          <w:p w14:paraId="0BBC264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14</w:t>
            </w:r>
          </w:p>
        </w:tc>
        <w:tc>
          <w:tcPr>
            <w:tcW w:w="4217" w:type="dxa"/>
            <w:noWrap w:val="0"/>
            <w:vAlign w:val="center"/>
          </w:tcPr>
          <w:p w14:paraId="26AB96D7">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未及时与派遣员工签订劳动合同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lang w:val="en-US" w:eastAsia="zh-CN"/>
              </w:rPr>
              <w:t>服务外包人员</w:t>
            </w:r>
            <w:r>
              <w:rPr>
                <w:rFonts w:hint="eastAsia" w:asciiTheme="minorEastAsia" w:hAnsiTheme="minorEastAsia" w:eastAsiaTheme="minorEastAsia" w:cstheme="minorEastAsia"/>
                <w:sz w:val="21"/>
                <w:szCs w:val="21"/>
              </w:rPr>
              <w:t>办理社会保险</w:t>
            </w:r>
            <w:r>
              <w:rPr>
                <w:rFonts w:hint="eastAsia" w:asciiTheme="minorEastAsia" w:hAnsiTheme="minorEastAsia" w:eastAsiaTheme="minorEastAsia" w:cstheme="minorEastAsia"/>
                <w:sz w:val="21"/>
                <w:szCs w:val="21"/>
                <w:lang w:val="en-US" w:eastAsia="zh-CN"/>
              </w:rPr>
              <w:t>或商业保险的。</w:t>
            </w:r>
          </w:p>
        </w:tc>
        <w:tc>
          <w:tcPr>
            <w:tcW w:w="4766" w:type="dxa"/>
            <w:noWrap w:val="0"/>
            <w:vAlign w:val="center"/>
          </w:tcPr>
          <w:p w14:paraId="12DCCF1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由此产生的一切不利后果由</w:t>
            </w: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承担，包括但不限于社保尚未办理或未生效期间发生工伤、医疗等所产生的费用和纠纷。每发现一例从</w:t>
            </w:r>
            <w:r>
              <w:rPr>
                <w:rFonts w:hint="eastAsia" w:asciiTheme="minorEastAsia" w:hAnsiTheme="minorEastAsia" w:eastAsiaTheme="minorEastAsia" w:cstheme="minorEastAsia"/>
                <w:sz w:val="21"/>
                <w:szCs w:val="21"/>
                <w:lang w:val="en-US" w:eastAsia="zh-CN"/>
              </w:rPr>
              <w:t>当月服务费</w:t>
            </w:r>
            <w:r>
              <w:rPr>
                <w:rFonts w:hint="eastAsia" w:asciiTheme="minorEastAsia" w:hAnsiTheme="minorEastAsia" w:eastAsiaTheme="minorEastAsia" w:cstheme="minorEastAsia"/>
                <w:sz w:val="21"/>
                <w:szCs w:val="21"/>
              </w:rPr>
              <w:t>中扣除</w:t>
            </w:r>
            <w:r>
              <w:rPr>
                <w:rFonts w:hint="eastAsia" w:asciiTheme="minorEastAsia" w:hAnsiTheme="minorEastAsia" w:eastAsiaTheme="minorEastAsia" w:cstheme="minorEastAsia"/>
                <w:sz w:val="21"/>
                <w:szCs w:val="21"/>
                <w:lang w:val="en-US" w:eastAsia="zh-CN"/>
              </w:rPr>
              <w:t>400</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61EE79B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429A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exact"/>
        </w:trPr>
        <w:tc>
          <w:tcPr>
            <w:tcW w:w="650" w:type="dxa"/>
            <w:noWrap w:val="0"/>
            <w:vAlign w:val="center"/>
          </w:tcPr>
          <w:p w14:paraId="4FA60C6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15</w:t>
            </w:r>
          </w:p>
        </w:tc>
        <w:tc>
          <w:tcPr>
            <w:tcW w:w="4217" w:type="dxa"/>
            <w:noWrap w:val="0"/>
            <w:vAlign w:val="center"/>
          </w:tcPr>
          <w:p w14:paraId="66D47BD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中标单位</w:t>
            </w:r>
            <w:r>
              <w:rPr>
                <w:rFonts w:hint="eastAsia" w:asciiTheme="minorEastAsia" w:hAnsiTheme="minorEastAsia" w:eastAsiaTheme="minorEastAsia" w:cstheme="minorEastAsia"/>
                <w:sz w:val="21"/>
                <w:szCs w:val="21"/>
              </w:rPr>
              <w:t>未能及时、足额支付</w:t>
            </w:r>
            <w:r>
              <w:rPr>
                <w:rFonts w:hint="eastAsia" w:asciiTheme="minorEastAsia" w:hAnsiTheme="minorEastAsia" w:eastAsiaTheme="minorEastAsia" w:cstheme="minorEastAsia"/>
                <w:sz w:val="21"/>
                <w:szCs w:val="21"/>
                <w:lang w:val="en-US" w:eastAsia="zh-CN"/>
              </w:rPr>
              <w:t>服务外包人员</w:t>
            </w:r>
            <w:r>
              <w:rPr>
                <w:rFonts w:hint="eastAsia" w:asciiTheme="minorEastAsia" w:hAnsiTheme="minorEastAsia" w:eastAsiaTheme="minorEastAsia" w:cstheme="minorEastAsia"/>
                <w:sz w:val="21"/>
                <w:szCs w:val="21"/>
              </w:rPr>
              <w:t>的工资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保险费用</w:t>
            </w:r>
            <w:r>
              <w:rPr>
                <w:rFonts w:hint="eastAsia" w:asciiTheme="minorEastAsia" w:hAnsiTheme="minorEastAsia" w:eastAsiaTheme="minorEastAsia" w:cstheme="minorEastAsia"/>
                <w:sz w:val="21"/>
                <w:szCs w:val="21"/>
                <w:lang w:val="en-US" w:eastAsia="zh-CN"/>
              </w:rPr>
              <w:t>等待遇费用的。</w:t>
            </w:r>
          </w:p>
        </w:tc>
        <w:tc>
          <w:tcPr>
            <w:tcW w:w="4766" w:type="dxa"/>
            <w:noWrap w:val="0"/>
            <w:vAlign w:val="center"/>
          </w:tcPr>
          <w:p w14:paraId="7B4F68A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因此引起的</w:t>
            </w:r>
            <w:r>
              <w:rPr>
                <w:rFonts w:hint="eastAsia" w:asciiTheme="minorEastAsia" w:hAnsiTheme="minorEastAsia" w:eastAsiaTheme="minorEastAsia" w:cstheme="minorEastAsia"/>
                <w:sz w:val="21"/>
                <w:szCs w:val="21"/>
                <w:highlight w:val="none"/>
              </w:rPr>
              <w:t>不利后果由</w:t>
            </w:r>
            <w:r>
              <w:rPr>
                <w:rFonts w:hint="eastAsia" w:asciiTheme="minorEastAsia" w:hAnsiTheme="minorEastAsia" w:eastAsiaTheme="minorEastAsia" w:cstheme="minorEastAsia"/>
                <w:sz w:val="21"/>
                <w:szCs w:val="21"/>
                <w:highlight w:val="none"/>
                <w:lang w:eastAsia="zh-CN"/>
              </w:rPr>
              <w:t>中标单位</w:t>
            </w:r>
            <w:r>
              <w:rPr>
                <w:rFonts w:hint="eastAsia" w:asciiTheme="minorEastAsia" w:hAnsiTheme="minorEastAsia" w:eastAsiaTheme="minorEastAsia" w:cstheme="minorEastAsia"/>
                <w:sz w:val="21"/>
                <w:szCs w:val="21"/>
                <w:highlight w:val="none"/>
              </w:rPr>
              <w:t>承担</w:t>
            </w:r>
            <w:r>
              <w:rPr>
                <w:rFonts w:hint="eastAsia" w:asciiTheme="minorEastAsia" w:hAnsiTheme="minorEastAsia" w:eastAsiaTheme="minorEastAsia" w:cstheme="minorEastAsia"/>
                <w:sz w:val="21"/>
                <w:szCs w:val="21"/>
                <w:highlight w:val="none"/>
                <w:lang w:eastAsia="zh-CN"/>
              </w:rPr>
              <w:t>。招标人</w:t>
            </w:r>
            <w:r>
              <w:rPr>
                <w:rFonts w:hint="eastAsia" w:asciiTheme="minorEastAsia" w:hAnsiTheme="minorEastAsia" w:eastAsiaTheme="minorEastAsia" w:cstheme="minorEastAsia"/>
                <w:sz w:val="21"/>
                <w:szCs w:val="21"/>
                <w:highlight w:val="none"/>
                <w:lang w:val="en-US" w:eastAsia="zh-CN"/>
              </w:rPr>
              <w:t>有权从中标单位的相关服务费用中等额扣除其应发而未发部分，招标人可将工资直接支付给服务外包人员，并有权提出解除合同。经招标人函告后，仍未发的，招标人有权暂缓支付</w:t>
            </w:r>
            <w:r>
              <w:rPr>
                <w:rFonts w:hint="eastAsia" w:asciiTheme="minorEastAsia" w:hAnsiTheme="minorEastAsia" w:eastAsiaTheme="minorEastAsia" w:cstheme="minorEastAsia"/>
                <w:sz w:val="21"/>
                <w:szCs w:val="21"/>
                <w:highlight w:val="none"/>
                <w:lang w:eastAsia="zh-CN"/>
              </w:rPr>
              <w:t>中标单位</w:t>
            </w:r>
            <w:r>
              <w:rPr>
                <w:rFonts w:hint="eastAsia" w:asciiTheme="minorEastAsia" w:hAnsiTheme="minorEastAsia" w:eastAsiaTheme="minorEastAsia" w:cstheme="minorEastAsia"/>
                <w:sz w:val="21"/>
                <w:szCs w:val="21"/>
                <w:highlight w:val="none"/>
                <w:lang w:val="en-US" w:eastAsia="zh-CN"/>
              </w:rPr>
              <w:t>的相关服务费用，</w:t>
            </w:r>
            <w:r>
              <w:rPr>
                <w:rFonts w:hint="eastAsia" w:asciiTheme="minorEastAsia" w:hAnsiTheme="minorEastAsia" w:eastAsiaTheme="minorEastAsia" w:cstheme="minorEastAsia"/>
                <w:sz w:val="21"/>
                <w:szCs w:val="21"/>
                <w:highlight w:val="none"/>
                <w:lang w:eastAsia="zh-CN"/>
              </w:rPr>
              <w:t>中标单位</w:t>
            </w:r>
            <w:r>
              <w:rPr>
                <w:rFonts w:hint="eastAsia" w:asciiTheme="minorEastAsia" w:hAnsiTheme="minorEastAsia" w:eastAsiaTheme="minorEastAsia" w:cstheme="minorEastAsia"/>
                <w:sz w:val="21"/>
                <w:szCs w:val="21"/>
                <w:highlight w:val="none"/>
                <w:lang w:val="en-US" w:eastAsia="zh-CN"/>
              </w:rPr>
              <w:t>负责处理</w:t>
            </w:r>
            <w:r>
              <w:rPr>
                <w:rFonts w:hint="eastAsia" w:asciiTheme="minorEastAsia" w:hAnsiTheme="minorEastAsia" w:eastAsiaTheme="minorEastAsia" w:cstheme="minorEastAsia"/>
                <w:sz w:val="21"/>
                <w:szCs w:val="21"/>
                <w:highlight w:val="none"/>
              </w:rPr>
              <w:t>向员工支付拖欠</w:t>
            </w:r>
            <w:r>
              <w:rPr>
                <w:rFonts w:hint="eastAsia" w:asciiTheme="minorEastAsia" w:hAnsiTheme="minorEastAsia" w:eastAsiaTheme="minorEastAsia" w:cstheme="minorEastAsia"/>
                <w:sz w:val="21"/>
                <w:szCs w:val="21"/>
              </w:rPr>
              <w:t>的工资、为其缴纳社保</w:t>
            </w:r>
            <w:r>
              <w:rPr>
                <w:rFonts w:hint="eastAsia" w:asciiTheme="minorEastAsia" w:hAnsiTheme="minorEastAsia" w:eastAsiaTheme="minorEastAsia" w:cstheme="minorEastAsia"/>
                <w:sz w:val="21"/>
                <w:szCs w:val="21"/>
                <w:lang w:val="en-US" w:eastAsia="zh-CN"/>
              </w:rPr>
              <w:t>等相关待遇并承担相关责任</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每发现一例无故未发工资等行为，</w:t>
            </w:r>
            <w:r>
              <w:rPr>
                <w:rFonts w:hint="eastAsia" w:asciiTheme="minorEastAsia" w:hAnsiTheme="minorEastAsia" w:eastAsiaTheme="minorEastAsia" w:cstheme="minorEastAsia"/>
                <w:sz w:val="21"/>
                <w:szCs w:val="21"/>
              </w:rPr>
              <w:t>从</w:t>
            </w:r>
            <w:r>
              <w:rPr>
                <w:rFonts w:hint="eastAsia" w:asciiTheme="minorEastAsia" w:hAnsiTheme="minorEastAsia" w:eastAsiaTheme="minorEastAsia" w:cstheme="minorEastAsia"/>
                <w:sz w:val="21"/>
                <w:szCs w:val="21"/>
                <w:lang w:val="en-US" w:eastAsia="zh-CN"/>
              </w:rPr>
              <w:t>服务费</w:t>
            </w:r>
            <w:r>
              <w:rPr>
                <w:rFonts w:hint="eastAsia" w:asciiTheme="minorEastAsia" w:hAnsiTheme="minorEastAsia" w:eastAsiaTheme="minorEastAsia" w:cstheme="minorEastAsia"/>
                <w:sz w:val="21"/>
                <w:szCs w:val="21"/>
              </w:rPr>
              <w:t>中扣除</w:t>
            </w:r>
            <w:r>
              <w:rPr>
                <w:rFonts w:hint="eastAsia" w:asciiTheme="minorEastAsia" w:hAnsiTheme="minorEastAsia" w:eastAsiaTheme="minorEastAsia" w:cstheme="minorEastAsia"/>
                <w:sz w:val="21"/>
                <w:szCs w:val="21"/>
                <w:lang w:val="en-US" w:eastAsia="zh-CN"/>
              </w:rPr>
              <w:t>300</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扣考核评分1分/人次。</w:t>
            </w:r>
          </w:p>
        </w:tc>
        <w:tc>
          <w:tcPr>
            <w:tcW w:w="834" w:type="dxa"/>
            <w:noWrap w:val="0"/>
            <w:vAlign w:val="center"/>
          </w:tcPr>
          <w:p w14:paraId="5735DF0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bl>
    <w:p w14:paraId="2270CC77">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备注：</w:t>
      </w:r>
    </w:p>
    <w:p w14:paraId="47C197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right="-512" w:rightChars="-244"/>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kern w:val="2"/>
          <w:sz w:val="22"/>
          <w:szCs w:val="22"/>
          <w:lang w:val="en-US" w:eastAsia="zh-CN" w:bidi="ar-SA"/>
        </w:rPr>
        <w:t>1、</w:t>
      </w:r>
      <w:r>
        <w:rPr>
          <w:rFonts w:hint="eastAsia" w:asciiTheme="minorEastAsia" w:hAnsiTheme="minorEastAsia" w:eastAsiaTheme="minorEastAsia" w:cstheme="minorEastAsia"/>
          <w:sz w:val="22"/>
          <w:szCs w:val="22"/>
          <w:lang w:val="en-US" w:eastAsia="zh-CN"/>
        </w:rPr>
        <w:t>招标人每月对中标单位的服务进行一次考核，如有相应处罚则在当月服务费中扣除。</w:t>
      </w:r>
    </w:p>
    <w:p w14:paraId="01E9E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right="-512" w:rightChars="-244" w:firstLine="0" w:firstLineChars="0"/>
        <w:textAlignment w:val="auto"/>
        <w:rPr>
          <w:rFonts w:hint="default"/>
          <w:lang w:val="en-US" w:eastAsia="zh-CN"/>
        </w:rPr>
      </w:pPr>
      <w:r>
        <w:rPr>
          <w:rFonts w:hint="eastAsia" w:asciiTheme="minorEastAsia" w:hAnsiTheme="minorEastAsia" w:eastAsiaTheme="minorEastAsia" w:cstheme="minorEastAsia"/>
          <w:sz w:val="22"/>
          <w:szCs w:val="22"/>
          <w:lang w:val="en-US" w:eastAsia="zh-CN"/>
        </w:rPr>
        <w:t>2、月考评采用百分制，月考评得分的平均分即为年考核评分，年考核得分达90分为合格，作为合同续签依据。</w:t>
      </w:r>
    </w:p>
    <w:p w14:paraId="0606419C">
      <w:pPr>
        <w:spacing w:line="360" w:lineRule="auto"/>
        <w:jc w:val="both"/>
        <w:rPr>
          <w:rFonts w:hint="eastAsia" w:ascii="宋体" w:hAnsi="宋体" w:eastAsia="宋体" w:cs="宋体"/>
          <w:b/>
          <w:bCs/>
          <w:color w:val="auto"/>
          <w:sz w:val="24"/>
          <w:szCs w:val="24"/>
        </w:rPr>
      </w:pPr>
      <w:r>
        <w:rPr>
          <w:rFonts w:hint="eastAsia" w:ascii="宋体" w:hAnsi="宋体" w:eastAsia="宋体" w:cs="宋体"/>
          <w:b/>
          <w:color w:val="auto"/>
          <w:sz w:val="24"/>
          <w:szCs w:val="24"/>
          <w:lang w:eastAsia="zh-CN"/>
        </w:rPr>
        <w:t>附件</w:t>
      </w:r>
      <w:r>
        <w:rPr>
          <w:rFonts w:hint="eastAsia" w:ascii="宋体" w:hAnsi="宋体" w:eastAsia="宋体" w:cs="宋体"/>
          <w:b/>
          <w:color w:val="auto"/>
          <w:sz w:val="24"/>
          <w:szCs w:val="24"/>
          <w:lang w:val="en-US" w:eastAsia="zh-CN"/>
        </w:rPr>
        <w:t>3：</w:t>
      </w:r>
      <w:r>
        <w:rPr>
          <w:rFonts w:hint="eastAsia" w:ascii="宋体" w:hAnsi="宋体" w:eastAsia="宋体" w:cs="宋体"/>
          <w:b/>
          <w:bCs/>
          <w:color w:val="auto"/>
          <w:sz w:val="24"/>
          <w:szCs w:val="24"/>
          <w:lang w:val="en-US" w:eastAsia="zh-CN"/>
        </w:rPr>
        <w:t>秩序维护</w:t>
      </w:r>
      <w:r>
        <w:rPr>
          <w:rFonts w:hint="eastAsia" w:ascii="宋体" w:hAnsi="宋体" w:eastAsia="宋体" w:cs="宋体"/>
          <w:b/>
          <w:bCs/>
          <w:color w:val="auto"/>
          <w:sz w:val="24"/>
          <w:szCs w:val="24"/>
        </w:rPr>
        <w:t>员岗位专项服务及考核标准</w:t>
      </w:r>
    </w:p>
    <w:p w14:paraId="3CE446C6">
      <w:pPr>
        <w:pStyle w:val="2"/>
        <w:rPr>
          <w:rFonts w:hint="eastAsia"/>
        </w:rPr>
      </w:pPr>
    </w:p>
    <w:tbl>
      <w:tblPr>
        <w:tblStyle w:val="13"/>
        <w:tblW w:w="10500" w:type="dxa"/>
        <w:tblInd w:w="-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87"/>
        <w:gridCol w:w="3513"/>
        <w:gridCol w:w="4587"/>
        <w:gridCol w:w="1000"/>
      </w:tblGrid>
      <w:tr w14:paraId="6385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13" w:type="dxa"/>
            <w:noWrap w:val="0"/>
            <w:vAlign w:val="center"/>
          </w:tcPr>
          <w:p w14:paraId="73F0E3F4">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687" w:type="dxa"/>
            <w:noWrap w:val="0"/>
            <w:vAlign w:val="center"/>
          </w:tcPr>
          <w:p w14:paraId="39D445F4">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项目</w:t>
            </w:r>
          </w:p>
        </w:tc>
        <w:tc>
          <w:tcPr>
            <w:tcW w:w="3513" w:type="dxa"/>
            <w:noWrap w:val="0"/>
            <w:vAlign w:val="center"/>
          </w:tcPr>
          <w:p w14:paraId="5BD81C2B">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服务标准</w:t>
            </w:r>
          </w:p>
        </w:tc>
        <w:tc>
          <w:tcPr>
            <w:tcW w:w="4587" w:type="dxa"/>
            <w:noWrap w:val="0"/>
            <w:vAlign w:val="center"/>
          </w:tcPr>
          <w:p w14:paraId="40B5A4EA">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考核（扣分）标准</w:t>
            </w:r>
          </w:p>
        </w:tc>
        <w:tc>
          <w:tcPr>
            <w:tcW w:w="1000" w:type="dxa"/>
            <w:noWrap w:val="0"/>
            <w:vAlign w:val="center"/>
          </w:tcPr>
          <w:p w14:paraId="1EEAA99B">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备注</w:t>
            </w:r>
          </w:p>
        </w:tc>
      </w:tr>
      <w:tr w14:paraId="4A95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3" w:type="dxa"/>
            <w:vMerge w:val="restart"/>
            <w:noWrap w:val="0"/>
            <w:vAlign w:val="center"/>
          </w:tcPr>
          <w:p w14:paraId="5CD93F98">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1</w:t>
            </w:r>
          </w:p>
        </w:tc>
        <w:tc>
          <w:tcPr>
            <w:tcW w:w="687" w:type="dxa"/>
            <w:vMerge w:val="restart"/>
            <w:noWrap w:val="0"/>
            <w:vAlign w:val="center"/>
          </w:tcPr>
          <w:p w14:paraId="0AFE709A">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工作</w:t>
            </w:r>
          </w:p>
          <w:p w14:paraId="190371C6">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纪律</w:t>
            </w:r>
          </w:p>
          <w:p w14:paraId="5F810D23">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20分</w:t>
            </w:r>
          </w:p>
        </w:tc>
        <w:tc>
          <w:tcPr>
            <w:tcW w:w="3513" w:type="dxa"/>
            <w:noWrap w:val="0"/>
            <w:vAlign w:val="center"/>
          </w:tcPr>
          <w:p w14:paraId="7097E486">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服从工作安排，严于职守，精神振作，姿态良好。</w:t>
            </w:r>
          </w:p>
        </w:tc>
        <w:tc>
          <w:tcPr>
            <w:tcW w:w="4587" w:type="dxa"/>
            <w:noWrap w:val="0"/>
            <w:vAlign w:val="center"/>
          </w:tcPr>
          <w:p w14:paraId="626EFCBE">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不按时交接班，私下调班、顶班，窜岗、睡岗，</w:t>
            </w:r>
            <w:r>
              <w:rPr>
                <w:rFonts w:hint="eastAsia" w:ascii="宋体" w:hAnsi="宋体" w:eastAsia="宋体" w:cs="宋体"/>
                <w:color w:val="auto"/>
                <w:sz w:val="18"/>
                <w:szCs w:val="18"/>
                <w:lang w:val="en-US" w:eastAsia="zh-CN"/>
              </w:rPr>
              <w:t>或干与工作无关事情</w:t>
            </w:r>
            <w:r>
              <w:rPr>
                <w:rFonts w:hint="eastAsia" w:ascii="宋体" w:hAnsi="宋体" w:eastAsia="宋体" w:cs="宋体"/>
                <w:color w:val="auto"/>
                <w:sz w:val="18"/>
                <w:szCs w:val="18"/>
              </w:rPr>
              <w:t>经发现2-3分/次。</w:t>
            </w:r>
          </w:p>
        </w:tc>
        <w:tc>
          <w:tcPr>
            <w:tcW w:w="1000" w:type="dxa"/>
            <w:noWrap w:val="0"/>
            <w:vAlign w:val="center"/>
          </w:tcPr>
          <w:p w14:paraId="5E1A6E68">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115A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Merge w:val="continue"/>
            <w:noWrap w:val="0"/>
            <w:vAlign w:val="center"/>
          </w:tcPr>
          <w:p w14:paraId="2749A57D">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49F3B240">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0756E45D">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举止文明，礼貌待人，维护甲方形象。</w:t>
            </w:r>
          </w:p>
        </w:tc>
        <w:tc>
          <w:tcPr>
            <w:tcW w:w="4587" w:type="dxa"/>
            <w:noWrap w:val="0"/>
            <w:vAlign w:val="center"/>
          </w:tcPr>
          <w:p w14:paraId="123ABDCE">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与</w:t>
            </w:r>
            <w:r>
              <w:rPr>
                <w:rFonts w:hint="eastAsia" w:ascii="宋体" w:hAnsi="宋体" w:eastAsia="宋体" w:cs="宋体"/>
                <w:color w:val="auto"/>
                <w:sz w:val="18"/>
                <w:szCs w:val="18"/>
                <w:lang w:val="en-US" w:eastAsia="zh-CN"/>
              </w:rPr>
              <w:t>接待对象</w:t>
            </w:r>
            <w:r>
              <w:rPr>
                <w:rFonts w:hint="eastAsia" w:ascii="宋体" w:hAnsi="宋体" w:eastAsia="宋体" w:cs="宋体"/>
                <w:color w:val="auto"/>
                <w:sz w:val="18"/>
                <w:szCs w:val="18"/>
              </w:rPr>
              <w:t>、业主、同事发生争吵打架的</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分/次；酗酒（含酒后上岗）</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分/人/次；见利忘义监守自盗</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分/次</w:t>
            </w:r>
            <w:r>
              <w:rPr>
                <w:rFonts w:hint="eastAsia" w:ascii="宋体" w:hAnsi="宋体" w:eastAsia="宋体" w:cs="宋体"/>
                <w:color w:val="auto"/>
                <w:sz w:val="18"/>
                <w:szCs w:val="18"/>
                <w:lang w:eastAsia="zh-CN"/>
              </w:rPr>
              <w:t>，辞退并追究法律责任</w:t>
            </w:r>
            <w:r>
              <w:rPr>
                <w:rFonts w:hint="eastAsia" w:ascii="宋体" w:hAnsi="宋体" w:eastAsia="宋体" w:cs="宋体"/>
                <w:color w:val="auto"/>
                <w:sz w:val="18"/>
                <w:szCs w:val="18"/>
              </w:rPr>
              <w:t>。</w:t>
            </w:r>
          </w:p>
        </w:tc>
        <w:tc>
          <w:tcPr>
            <w:tcW w:w="1000" w:type="dxa"/>
            <w:noWrap w:val="0"/>
            <w:vAlign w:val="center"/>
          </w:tcPr>
          <w:p w14:paraId="3EE33CF8">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1021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13" w:type="dxa"/>
            <w:vMerge w:val="continue"/>
            <w:noWrap w:val="0"/>
            <w:vAlign w:val="center"/>
          </w:tcPr>
          <w:p w14:paraId="542CAD57">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5AF868F5">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37B0D233">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按规定参加培训、学习、会议等。</w:t>
            </w:r>
          </w:p>
        </w:tc>
        <w:tc>
          <w:tcPr>
            <w:tcW w:w="4587" w:type="dxa"/>
            <w:noWrap w:val="0"/>
            <w:vAlign w:val="center"/>
          </w:tcPr>
          <w:p w14:paraId="7CBA850C">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无故缺席1-2分/人/次。</w:t>
            </w:r>
          </w:p>
        </w:tc>
        <w:tc>
          <w:tcPr>
            <w:tcW w:w="1000" w:type="dxa"/>
            <w:noWrap w:val="0"/>
            <w:vAlign w:val="center"/>
          </w:tcPr>
          <w:p w14:paraId="3DB635B7">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5D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3" w:type="dxa"/>
            <w:vMerge w:val="continue"/>
            <w:noWrap w:val="0"/>
            <w:vAlign w:val="center"/>
          </w:tcPr>
          <w:p w14:paraId="67E7CED0">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0014019F">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7CD4969F">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爱护工具设备。</w:t>
            </w:r>
          </w:p>
        </w:tc>
        <w:tc>
          <w:tcPr>
            <w:tcW w:w="4587" w:type="dxa"/>
            <w:noWrap w:val="0"/>
            <w:vAlign w:val="center"/>
          </w:tcPr>
          <w:p w14:paraId="77F9AB8C">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对配备器材损坏的，1-3分/次。</w:t>
            </w:r>
          </w:p>
        </w:tc>
        <w:tc>
          <w:tcPr>
            <w:tcW w:w="1000" w:type="dxa"/>
            <w:noWrap w:val="0"/>
            <w:vAlign w:val="center"/>
          </w:tcPr>
          <w:p w14:paraId="5FE93142">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15A1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3" w:type="dxa"/>
            <w:vMerge w:val="restart"/>
            <w:noWrap w:val="0"/>
            <w:vAlign w:val="center"/>
          </w:tcPr>
          <w:p w14:paraId="52368184">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2</w:t>
            </w:r>
          </w:p>
        </w:tc>
        <w:tc>
          <w:tcPr>
            <w:tcW w:w="687" w:type="dxa"/>
            <w:vMerge w:val="restart"/>
            <w:noWrap w:val="0"/>
            <w:vAlign w:val="center"/>
          </w:tcPr>
          <w:p w14:paraId="4B773C60">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门岗</w:t>
            </w:r>
          </w:p>
          <w:p w14:paraId="1E56A8C0">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20分</w:t>
            </w:r>
          </w:p>
        </w:tc>
        <w:tc>
          <w:tcPr>
            <w:tcW w:w="3513" w:type="dxa"/>
            <w:noWrap w:val="0"/>
            <w:vAlign w:val="center"/>
          </w:tcPr>
          <w:p w14:paraId="35CB5299">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出入口有专人值守，当值时坐、立姿势端正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门禁道闸按要求管控，</w:t>
            </w:r>
            <w:r>
              <w:rPr>
                <w:rFonts w:hint="eastAsia" w:ascii="宋体" w:hAnsi="宋体" w:eastAsia="宋体" w:cs="宋体"/>
                <w:color w:val="auto"/>
                <w:sz w:val="18"/>
                <w:szCs w:val="18"/>
              </w:rPr>
              <w:t>并有详细</w:t>
            </w:r>
            <w:r>
              <w:rPr>
                <w:rFonts w:hint="eastAsia" w:ascii="宋体" w:hAnsi="宋体" w:eastAsia="宋体" w:cs="宋体"/>
                <w:color w:val="auto"/>
                <w:sz w:val="18"/>
                <w:szCs w:val="18"/>
                <w:lang w:val="en-US" w:eastAsia="zh-CN"/>
              </w:rPr>
              <w:t>作业</w:t>
            </w:r>
            <w:r>
              <w:rPr>
                <w:rFonts w:hint="eastAsia" w:ascii="宋体" w:hAnsi="宋体" w:eastAsia="宋体" w:cs="宋体"/>
                <w:color w:val="auto"/>
                <w:sz w:val="18"/>
                <w:szCs w:val="18"/>
              </w:rPr>
              <w:t>记录。</w:t>
            </w:r>
          </w:p>
        </w:tc>
        <w:tc>
          <w:tcPr>
            <w:tcW w:w="4587" w:type="dxa"/>
            <w:noWrap w:val="0"/>
            <w:vAlign w:val="center"/>
          </w:tcPr>
          <w:p w14:paraId="365C01C9">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未按规定值守的2-6分/次；无交接班记录或记录不完整的2-6分/次。</w:t>
            </w:r>
          </w:p>
        </w:tc>
        <w:tc>
          <w:tcPr>
            <w:tcW w:w="1000" w:type="dxa"/>
            <w:noWrap w:val="0"/>
            <w:vAlign w:val="center"/>
          </w:tcPr>
          <w:p w14:paraId="6EC37A45">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3CB4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13" w:type="dxa"/>
            <w:vMerge w:val="continue"/>
            <w:noWrap w:val="0"/>
            <w:vAlign w:val="center"/>
          </w:tcPr>
          <w:p w14:paraId="6D59BB2B">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230A31B5">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72E9F0D6">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对外来临时进入的机动车辆进行登记。</w:t>
            </w:r>
          </w:p>
        </w:tc>
        <w:tc>
          <w:tcPr>
            <w:tcW w:w="4587" w:type="dxa"/>
            <w:noWrap w:val="0"/>
            <w:vAlign w:val="center"/>
          </w:tcPr>
          <w:p w14:paraId="6147E9DE">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未按规定登记1-3分/次。</w:t>
            </w:r>
          </w:p>
        </w:tc>
        <w:tc>
          <w:tcPr>
            <w:tcW w:w="1000" w:type="dxa"/>
            <w:noWrap w:val="0"/>
            <w:vAlign w:val="center"/>
          </w:tcPr>
          <w:p w14:paraId="6D60300E">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4F0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13" w:type="dxa"/>
            <w:vMerge w:val="continue"/>
            <w:noWrap w:val="0"/>
            <w:vAlign w:val="center"/>
          </w:tcPr>
          <w:p w14:paraId="0DC17D7F">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69A7BC58">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1FD0DE1B">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对进出车辆进行管理和疏导，保持出入口环境整洁、有序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道路畅通。</w:t>
            </w:r>
          </w:p>
        </w:tc>
        <w:tc>
          <w:tcPr>
            <w:tcW w:w="4587" w:type="dxa"/>
            <w:noWrap w:val="0"/>
            <w:vAlign w:val="center"/>
          </w:tcPr>
          <w:p w14:paraId="45010C79">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未达到要求2-5分/次。</w:t>
            </w:r>
          </w:p>
        </w:tc>
        <w:tc>
          <w:tcPr>
            <w:tcW w:w="1000" w:type="dxa"/>
            <w:noWrap w:val="0"/>
            <w:vAlign w:val="center"/>
          </w:tcPr>
          <w:p w14:paraId="78A7D781">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7431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3" w:type="dxa"/>
            <w:vMerge w:val="restart"/>
            <w:noWrap w:val="0"/>
            <w:vAlign w:val="center"/>
          </w:tcPr>
          <w:p w14:paraId="76A75C30">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3</w:t>
            </w:r>
          </w:p>
        </w:tc>
        <w:tc>
          <w:tcPr>
            <w:tcW w:w="687" w:type="dxa"/>
            <w:vMerge w:val="restart"/>
            <w:noWrap w:val="0"/>
            <w:vAlign w:val="center"/>
          </w:tcPr>
          <w:p w14:paraId="0033CB68">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巡查</w:t>
            </w:r>
          </w:p>
          <w:p w14:paraId="3ABDE429">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lang w:val="en-US" w:eastAsia="zh-CN"/>
              </w:rPr>
              <w:t>30</w:t>
            </w:r>
            <w:r>
              <w:rPr>
                <w:rFonts w:hint="eastAsia" w:ascii="宋体" w:hAnsi="宋体" w:eastAsia="宋体" w:cs="宋体"/>
                <w:b/>
                <w:color w:val="auto"/>
                <w:sz w:val="18"/>
                <w:szCs w:val="18"/>
              </w:rPr>
              <w:t>分</w:t>
            </w:r>
          </w:p>
        </w:tc>
        <w:tc>
          <w:tcPr>
            <w:tcW w:w="3513" w:type="dxa"/>
            <w:noWrap w:val="0"/>
            <w:vAlign w:val="center"/>
          </w:tcPr>
          <w:p w14:paraId="18BF22AC">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重点部位应按指定的时间和路线每2个小时巡查一次，有巡查记录。</w:t>
            </w:r>
          </w:p>
        </w:tc>
        <w:tc>
          <w:tcPr>
            <w:tcW w:w="4587" w:type="dxa"/>
            <w:vMerge w:val="restart"/>
            <w:noWrap w:val="0"/>
            <w:vAlign w:val="center"/>
          </w:tcPr>
          <w:p w14:paraId="39706C60">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未按规定巡逻，无巡逻记录或记录虚假、不完整的，</w:t>
            </w:r>
            <w:r>
              <w:rPr>
                <w:rFonts w:hint="eastAsia" w:ascii="宋体" w:hAnsi="宋体" w:eastAsia="宋体" w:cs="宋体"/>
                <w:color w:val="auto"/>
                <w:sz w:val="18"/>
                <w:szCs w:val="18"/>
                <w:lang w:val="en-US" w:eastAsia="zh-CN"/>
              </w:rPr>
              <w:t>乱停放、乱张贴</w:t>
            </w:r>
            <w:r>
              <w:rPr>
                <w:rFonts w:hint="eastAsia" w:ascii="宋体" w:hAnsi="宋体" w:eastAsia="宋体" w:cs="宋体"/>
                <w:color w:val="auto"/>
                <w:sz w:val="18"/>
                <w:szCs w:val="18"/>
              </w:rPr>
              <w:t>等问题在巡查中未发现</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制止、处理上报</w:t>
            </w:r>
            <w:r>
              <w:rPr>
                <w:rFonts w:hint="eastAsia" w:ascii="宋体" w:hAnsi="宋体" w:eastAsia="宋体" w:cs="宋体"/>
                <w:color w:val="auto"/>
                <w:sz w:val="18"/>
                <w:szCs w:val="18"/>
              </w:rPr>
              <w:t>，2-6分/次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情节严重的可要求更换人员</w:t>
            </w:r>
          </w:p>
        </w:tc>
        <w:tc>
          <w:tcPr>
            <w:tcW w:w="1000" w:type="dxa"/>
            <w:noWrap w:val="0"/>
            <w:vAlign w:val="center"/>
          </w:tcPr>
          <w:p w14:paraId="3AEC293C">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1458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13" w:type="dxa"/>
            <w:vMerge w:val="continue"/>
            <w:noWrap w:val="0"/>
            <w:vAlign w:val="center"/>
          </w:tcPr>
          <w:p w14:paraId="393DC54C">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7ED6FB7B">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5FEE3EF3">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有专人定时巡查停车场，有巡查记录。</w:t>
            </w:r>
          </w:p>
        </w:tc>
        <w:tc>
          <w:tcPr>
            <w:tcW w:w="4587" w:type="dxa"/>
            <w:vMerge w:val="continue"/>
            <w:noWrap w:val="0"/>
            <w:vAlign w:val="center"/>
          </w:tcPr>
          <w:p w14:paraId="0B8BF998">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p>
        </w:tc>
        <w:tc>
          <w:tcPr>
            <w:tcW w:w="1000" w:type="dxa"/>
            <w:noWrap w:val="0"/>
            <w:vAlign w:val="center"/>
          </w:tcPr>
          <w:p w14:paraId="3766D638">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3C42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13" w:type="dxa"/>
            <w:vMerge w:val="continue"/>
            <w:noWrap w:val="0"/>
            <w:vAlign w:val="center"/>
          </w:tcPr>
          <w:p w14:paraId="79FF9F5C">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37A06EC5">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715A2C7E">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rPr>
              <w:t>每班防火巡查，杜绝火灾发生，做好记录</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巡查、制止、处理乱停放</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乱张贴等</w:t>
            </w:r>
          </w:p>
        </w:tc>
        <w:tc>
          <w:tcPr>
            <w:tcW w:w="4587" w:type="dxa"/>
            <w:vMerge w:val="continue"/>
            <w:noWrap w:val="0"/>
            <w:vAlign w:val="center"/>
          </w:tcPr>
          <w:p w14:paraId="23A24984">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p>
        </w:tc>
        <w:tc>
          <w:tcPr>
            <w:tcW w:w="1000" w:type="dxa"/>
            <w:noWrap w:val="0"/>
            <w:vAlign w:val="center"/>
          </w:tcPr>
          <w:p w14:paraId="54910D8E">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5F9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3" w:type="dxa"/>
            <w:vMerge w:val="continue"/>
            <w:noWrap w:val="0"/>
            <w:vAlign w:val="center"/>
          </w:tcPr>
          <w:p w14:paraId="21CB89CF">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0A44617A">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763DB0E2">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维护道路使用和场地的正常秩序。</w:t>
            </w:r>
          </w:p>
        </w:tc>
        <w:tc>
          <w:tcPr>
            <w:tcW w:w="4587" w:type="dxa"/>
            <w:noWrap w:val="0"/>
            <w:vAlign w:val="center"/>
          </w:tcPr>
          <w:p w14:paraId="688BF711">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未达到要求2-4分/次。</w:t>
            </w:r>
          </w:p>
        </w:tc>
        <w:tc>
          <w:tcPr>
            <w:tcW w:w="1000" w:type="dxa"/>
            <w:noWrap w:val="0"/>
            <w:vAlign w:val="center"/>
          </w:tcPr>
          <w:p w14:paraId="5BAA6EBE">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4331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13" w:type="dxa"/>
            <w:vMerge w:val="restart"/>
            <w:noWrap w:val="0"/>
            <w:vAlign w:val="center"/>
          </w:tcPr>
          <w:p w14:paraId="6EF92877">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lang w:val="en-US" w:eastAsia="zh-CN"/>
              </w:rPr>
              <w:t>4</w:t>
            </w:r>
          </w:p>
        </w:tc>
        <w:tc>
          <w:tcPr>
            <w:tcW w:w="687" w:type="dxa"/>
            <w:vMerge w:val="restart"/>
            <w:noWrap w:val="0"/>
            <w:vAlign w:val="center"/>
          </w:tcPr>
          <w:p w14:paraId="2D7C4BF1">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应急</w:t>
            </w:r>
          </w:p>
          <w:p w14:paraId="654B26BF">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处理</w:t>
            </w:r>
          </w:p>
          <w:p w14:paraId="1D22BBC9">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lang w:val="en-US" w:eastAsia="zh-CN"/>
              </w:rPr>
              <w:t>2</w:t>
            </w:r>
            <w:r>
              <w:rPr>
                <w:rFonts w:hint="eastAsia" w:ascii="宋体" w:hAnsi="宋体" w:eastAsia="宋体" w:cs="宋体"/>
                <w:b/>
                <w:color w:val="auto"/>
                <w:sz w:val="18"/>
                <w:szCs w:val="18"/>
              </w:rPr>
              <w:t>0分</w:t>
            </w:r>
          </w:p>
        </w:tc>
        <w:tc>
          <w:tcPr>
            <w:tcW w:w="3513" w:type="dxa"/>
            <w:noWrap w:val="0"/>
            <w:vAlign w:val="center"/>
          </w:tcPr>
          <w:p w14:paraId="5D980DEB">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接到火警、警情</w:t>
            </w:r>
            <w:r>
              <w:rPr>
                <w:rFonts w:hint="eastAsia" w:ascii="宋体" w:hAnsi="宋体" w:eastAsia="宋体" w:cs="宋体"/>
                <w:color w:val="auto"/>
                <w:sz w:val="18"/>
                <w:szCs w:val="18"/>
                <w:lang w:val="en-US" w:eastAsia="zh-CN"/>
              </w:rPr>
              <w:t>或其它突发事件</w:t>
            </w:r>
            <w:r>
              <w:rPr>
                <w:rFonts w:hint="eastAsia" w:ascii="宋体" w:hAnsi="宋体" w:eastAsia="宋体" w:cs="宋体"/>
                <w:color w:val="auto"/>
                <w:sz w:val="18"/>
                <w:szCs w:val="18"/>
              </w:rPr>
              <w:t>后</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分钟内到达现场，协助保护现场，并报告</w:t>
            </w:r>
            <w:r>
              <w:rPr>
                <w:rFonts w:hint="eastAsia" w:ascii="宋体" w:hAnsi="宋体" w:eastAsia="宋体" w:cs="宋体"/>
                <w:color w:val="auto"/>
                <w:sz w:val="18"/>
                <w:szCs w:val="18"/>
                <w:lang w:eastAsia="zh-CN"/>
              </w:rPr>
              <w:t>物业</w:t>
            </w:r>
            <w:r>
              <w:rPr>
                <w:rFonts w:hint="eastAsia" w:ascii="宋体" w:hAnsi="宋体" w:eastAsia="宋体" w:cs="宋体"/>
                <w:color w:val="auto"/>
                <w:sz w:val="18"/>
                <w:szCs w:val="18"/>
              </w:rPr>
              <w:t>管理处与警方。</w:t>
            </w:r>
          </w:p>
        </w:tc>
        <w:tc>
          <w:tcPr>
            <w:tcW w:w="4587" w:type="dxa"/>
            <w:vMerge w:val="restart"/>
            <w:noWrap w:val="0"/>
            <w:vAlign w:val="center"/>
          </w:tcPr>
          <w:p w14:paraId="58122BBC">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未及时到达现场并妥善处理</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分/次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情节严重的可要求更换人员</w:t>
            </w:r>
          </w:p>
        </w:tc>
        <w:tc>
          <w:tcPr>
            <w:tcW w:w="1000" w:type="dxa"/>
            <w:noWrap w:val="0"/>
            <w:vAlign w:val="center"/>
          </w:tcPr>
          <w:p w14:paraId="007355B9">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6476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13" w:type="dxa"/>
            <w:vMerge w:val="continue"/>
            <w:noWrap w:val="0"/>
            <w:vAlign w:val="center"/>
          </w:tcPr>
          <w:p w14:paraId="6C4734B2">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72525BB4">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0EE7E9D0">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在遇到异常情况或</w:t>
            </w:r>
            <w:r>
              <w:rPr>
                <w:rFonts w:hint="eastAsia" w:ascii="宋体" w:hAnsi="宋体" w:eastAsia="宋体" w:cs="宋体"/>
                <w:color w:val="auto"/>
                <w:sz w:val="18"/>
                <w:szCs w:val="18"/>
                <w:lang w:eastAsia="zh-CN"/>
              </w:rPr>
              <w:t>祭祀人员</w:t>
            </w:r>
            <w:r>
              <w:rPr>
                <w:rFonts w:hint="eastAsia" w:ascii="宋体" w:hAnsi="宋体" w:eastAsia="宋体" w:cs="宋体"/>
                <w:color w:val="auto"/>
                <w:sz w:val="18"/>
                <w:szCs w:val="18"/>
              </w:rPr>
              <w:t>紧急求助时，</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分钟内赶到现场，采取相应措施。</w:t>
            </w:r>
          </w:p>
        </w:tc>
        <w:tc>
          <w:tcPr>
            <w:tcW w:w="4587" w:type="dxa"/>
            <w:vMerge w:val="continue"/>
            <w:noWrap w:val="0"/>
            <w:vAlign w:val="center"/>
          </w:tcPr>
          <w:p w14:paraId="3C7E9E68">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p>
        </w:tc>
        <w:tc>
          <w:tcPr>
            <w:tcW w:w="1000" w:type="dxa"/>
            <w:noWrap w:val="0"/>
            <w:vAlign w:val="center"/>
          </w:tcPr>
          <w:p w14:paraId="38436DB5">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7D86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13" w:type="dxa"/>
            <w:vMerge w:val="continue"/>
            <w:noWrap w:val="0"/>
            <w:vAlign w:val="center"/>
          </w:tcPr>
          <w:p w14:paraId="2D526D71">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0FE2A1AF">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6E133698">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接到报警信号后，秩序维护人员应5分钟内赶到现场采取相应措施进行处理，并报告管理处与警方；</w:t>
            </w:r>
          </w:p>
        </w:tc>
        <w:tc>
          <w:tcPr>
            <w:tcW w:w="4587" w:type="dxa"/>
            <w:vMerge w:val="continue"/>
            <w:noWrap w:val="0"/>
            <w:vAlign w:val="center"/>
          </w:tcPr>
          <w:p w14:paraId="3EC61DD1">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p>
        </w:tc>
        <w:tc>
          <w:tcPr>
            <w:tcW w:w="1000" w:type="dxa"/>
            <w:noWrap w:val="0"/>
            <w:vAlign w:val="center"/>
          </w:tcPr>
          <w:p w14:paraId="514E2436">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1F98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13" w:type="dxa"/>
            <w:vMerge w:val="continue"/>
            <w:noWrap w:val="0"/>
            <w:vAlign w:val="center"/>
          </w:tcPr>
          <w:p w14:paraId="28CDDEA0">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687" w:type="dxa"/>
            <w:vMerge w:val="continue"/>
            <w:noWrap w:val="0"/>
            <w:vAlign w:val="center"/>
          </w:tcPr>
          <w:p w14:paraId="30270F6D">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p>
        </w:tc>
        <w:tc>
          <w:tcPr>
            <w:tcW w:w="3513" w:type="dxa"/>
            <w:noWrap w:val="0"/>
            <w:vAlign w:val="center"/>
          </w:tcPr>
          <w:p w14:paraId="45D429F8">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在强降雨、雪、台风等天气期间，配备必要的应急工具。</w:t>
            </w:r>
          </w:p>
        </w:tc>
        <w:tc>
          <w:tcPr>
            <w:tcW w:w="4587" w:type="dxa"/>
            <w:vMerge w:val="continue"/>
            <w:noWrap w:val="0"/>
            <w:vAlign w:val="center"/>
          </w:tcPr>
          <w:p w14:paraId="3DE01BB5">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p>
        </w:tc>
        <w:tc>
          <w:tcPr>
            <w:tcW w:w="1000" w:type="dxa"/>
            <w:noWrap w:val="0"/>
            <w:vAlign w:val="center"/>
          </w:tcPr>
          <w:p w14:paraId="1773992D">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1495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13" w:type="dxa"/>
            <w:noWrap w:val="0"/>
            <w:vAlign w:val="center"/>
          </w:tcPr>
          <w:p w14:paraId="1CC03541">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lang w:val="en-US" w:eastAsia="zh-CN"/>
              </w:rPr>
              <w:t>5</w:t>
            </w:r>
          </w:p>
        </w:tc>
        <w:tc>
          <w:tcPr>
            <w:tcW w:w="687" w:type="dxa"/>
            <w:noWrap w:val="0"/>
            <w:vAlign w:val="center"/>
          </w:tcPr>
          <w:p w14:paraId="60A0AFBC">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记录</w:t>
            </w:r>
          </w:p>
          <w:p w14:paraId="7F40E6A8">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档案</w:t>
            </w:r>
          </w:p>
          <w:p w14:paraId="075744B0">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lang w:val="en-US" w:eastAsia="zh-CN"/>
              </w:rPr>
              <w:t>1</w:t>
            </w:r>
            <w:r>
              <w:rPr>
                <w:rFonts w:hint="eastAsia" w:ascii="宋体" w:hAnsi="宋体" w:eastAsia="宋体" w:cs="宋体"/>
                <w:b/>
                <w:color w:val="auto"/>
                <w:sz w:val="18"/>
                <w:szCs w:val="18"/>
              </w:rPr>
              <w:t>0分</w:t>
            </w:r>
          </w:p>
        </w:tc>
        <w:tc>
          <w:tcPr>
            <w:tcW w:w="3513" w:type="dxa"/>
            <w:noWrap w:val="0"/>
            <w:vAlign w:val="center"/>
          </w:tcPr>
          <w:p w14:paraId="2EE3CD9B">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进出登记、</w:t>
            </w:r>
            <w:r>
              <w:rPr>
                <w:rFonts w:hint="eastAsia" w:ascii="宋体" w:hAnsi="宋体" w:eastAsia="宋体" w:cs="宋体"/>
                <w:color w:val="auto"/>
                <w:sz w:val="18"/>
                <w:szCs w:val="18"/>
              </w:rPr>
              <w:t>交接班、巡查、报警等各项工作记录完整有效；档案齐全。</w:t>
            </w:r>
          </w:p>
        </w:tc>
        <w:tc>
          <w:tcPr>
            <w:tcW w:w="4587" w:type="dxa"/>
            <w:noWrap w:val="0"/>
            <w:vAlign w:val="center"/>
          </w:tcPr>
          <w:p w14:paraId="20D51247">
            <w:pPr>
              <w:keepNext w:val="0"/>
              <w:keepLines w:val="0"/>
              <w:suppressLineNumbers w:val="0"/>
              <w:spacing w:before="0" w:beforeAutospacing="0" w:after="0" w:afterAutospacing="0" w:line="300" w:lineRule="exact"/>
              <w:ind w:left="0" w:right="0"/>
              <w:jc w:val="both"/>
              <w:rPr>
                <w:rFonts w:hint="eastAsia" w:ascii="宋体" w:hAnsi="宋体" w:eastAsia="宋体" w:cs="宋体"/>
                <w:color w:val="auto"/>
                <w:sz w:val="18"/>
                <w:szCs w:val="18"/>
              </w:rPr>
            </w:pPr>
            <w:r>
              <w:rPr>
                <w:rFonts w:hint="eastAsia" w:ascii="宋体" w:hAnsi="宋体" w:eastAsia="宋体" w:cs="宋体"/>
                <w:color w:val="auto"/>
                <w:sz w:val="18"/>
                <w:szCs w:val="18"/>
              </w:rPr>
              <w:t>无记录或记录不完整2-8分/项。</w:t>
            </w:r>
          </w:p>
        </w:tc>
        <w:tc>
          <w:tcPr>
            <w:tcW w:w="1000" w:type="dxa"/>
            <w:noWrap w:val="0"/>
            <w:vAlign w:val="center"/>
          </w:tcPr>
          <w:p w14:paraId="42E21A11">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rPr>
            </w:pPr>
          </w:p>
        </w:tc>
      </w:tr>
      <w:tr w14:paraId="2A67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0" w:type="dxa"/>
            <w:gridSpan w:val="2"/>
            <w:noWrap w:val="0"/>
            <w:vAlign w:val="center"/>
          </w:tcPr>
          <w:p w14:paraId="340CC5B8">
            <w:pPr>
              <w:keepNext w:val="0"/>
              <w:keepLines w:val="0"/>
              <w:suppressLineNumbers w:val="0"/>
              <w:spacing w:before="0" w:beforeAutospacing="0" w:after="0" w:afterAutospacing="0"/>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小计</w:t>
            </w:r>
          </w:p>
        </w:tc>
        <w:tc>
          <w:tcPr>
            <w:tcW w:w="3513" w:type="dxa"/>
            <w:noWrap w:val="0"/>
            <w:vAlign w:val="center"/>
          </w:tcPr>
          <w:p w14:paraId="44B0944B">
            <w:pPr>
              <w:keepNext w:val="0"/>
              <w:keepLines w:val="0"/>
              <w:suppressLineNumbers w:val="0"/>
              <w:spacing w:before="0" w:beforeAutospacing="0" w:after="0" w:afterAutospacing="0" w:line="240" w:lineRule="exact"/>
              <w:ind w:left="0" w:right="0"/>
              <w:rPr>
                <w:rFonts w:hint="eastAsia" w:ascii="宋体" w:hAnsi="宋体" w:eastAsia="宋体" w:cs="宋体"/>
                <w:b/>
                <w:color w:val="auto"/>
                <w:sz w:val="18"/>
                <w:szCs w:val="18"/>
              </w:rPr>
            </w:pPr>
          </w:p>
        </w:tc>
        <w:tc>
          <w:tcPr>
            <w:tcW w:w="4587" w:type="dxa"/>
            <w:noWrap w:val="0"/>
            <w:vAlign w:val="center"/>
          </w:tcPr>
          <w:p w14:paraId="7BF0C4EC">
            <w:pPr>
              <w:keepNext w:val="0"/>
              <w:keepLines w:val="0"/>
              <w:suppressLineNumbers w:val="0"/>
              <w:spacing w:before="0" w:beforeAutospacing="0" w:after="0" w:afterAutospacing="0"/>
              <w:ind w:left="0" w:right="0"/>
              <w:rPr>
                <w:rFonts w:hint="eastAsia" w:ascii="宋体" w:hAnsi="宋体" w:eastAsia="宋体" w:cs="宋体"/>
                <w:color w:val="auto"/>
                <w:sz w:val="18"/>
                <w:szCs w:val="18"/>
              </w:rPr>
            </w:pPr>
          </w:p>
        </w:tc>
        <w:tc>
          <w:tcPr>
            <w:tcW w:w="1000" w:type="dxa"/>
            <w:noWrap w:val="0"/>
            <w:vAlign w:val="center"/>
          </w:tcPr>
          <w:p w14:paraId="1EEA542F">
            <w:pPr>
              <w:keepNext w:val="0"/>
              <w:keepLines w:val="0"/>
              <w:suppressLineNumbers w:val="0"/>
              <w:spacing w:before="0" w:beforeAutospacing="0" w:after="0" w:afterAutospacing="0"/>
              <w:ind w:left="0" w:right="0"/>
              <w:rPr>
                <w:rFonts w:hint="eastAsia" w:ascii="宋体" w:hAnsi="宋体" w:eastAsia="宋体" w:cs="宋体"/>
                <w:color w:val="auto"/>
                <w:sz w:val="18"/>
                <w:szCs w:val="18"/>
              </w:rPr>
            </w:pPr>
          </w:p>
        </w:tc>
      </w:tr>
      <w:tr w14:paraId="5090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500" w:type="dxa"/>
            <w:gridSpan w:val="5"/>
            <w:noWrap w:val="0"/>
            <w:vAlign w:val="center"/>
          </w:tcPr>
          <w:p w14:paraId="6217D196">
            <w:pPr>
              <w:keepNext w:val="0"/>
              <w:keepLines w:val="0"/>
              <w:suppressLineNumbers w:val="0"/>
              <w:spacing w:before="0" w:beforeAutospacing="0" w:after="0" w:afterAutospacing="0"/>
              <w:ind w:left="0" w:right="0"/>
              <w:rPr>
                <w:rFonts w:hint="eastAsia" w:ascii="宋体" w:hAnsi="宋体" w:eastAsia="宋体" w:cs="宋体"/>
                <w:b/>
                <w:color w:val="auto"/>
                <w:sz w:val="18"/>
                <w:szCs w:val="18"/>
              </w:rPr>
            </w:pPr>
            <w:r>
              <w:rPr>
                <w:rFonts w:hint="eastAsia" w:ascii="宋体" w:hAnsi="宋体" w:eastAsia="宋体" w:cs="宋体"/>
                <w:i w:val="0"/>
                <w:color w:val="000000"/>
                <w:kern w:val="0"/>
                <w:sz w:val="20"/>
                <w:szCs w:val="20"/>
                <w:u w:val="none"/>
                <w:lang w:val="en-US" w:eastAsia="zh-CN" w:bidi="ar"/>
              </w:rPr>
              <w:t>1.甲方每月对乙方进行考核，甲方每扣乙方1分，从服务费用中相应扣除</w:t>
            </w:r>
            <w:r>
              <w:rPr>
                <w:rStyle w:val="24"/>
                <w:rFonts w:hint="eastAsia" w:ascii="宋体" w:hAnsi="宋体" w:eastAsia="宋体" w:cs="宋体"/>
                <w:lang w:val="en-US" w:eastAsia="zh-CN" w:bidi="ar"/>
              </w:rPr>
              <w:t>50</w:t>
            </w:r>
            <w:r>
              <w:rPr>
                <w:rFonts w:hint="eastAsia" w:ascii="宋体" w:hAnsi="宋体" w:eastAsia="宋体" w:cs="宋体"/>
                <w:i w:val="0"/>
                <w:color w:val="000000"/>
                <w:kern w:val="0"/>
                <w:sz w:val="20"/>
                <w:szCs w:val="20"/>
                <w:u w:val="none"/>
                <w:lang w:val="en-US" w:eastAsia="zh-CN" w:bidi="ar"/>
              </w:rPr>
              <w:t>元；2.每被区内主管部门、区文明办通报批评一次，从服务费用中扣除1000元；每被市级以上主管部门或新闻媒体通报批评或曝光一次，从服务费用中扣除2000元；3.重大祭祀接待期间累计三次被区级及以上主管单位通报处罚或在上级检查中给甲方造成重大影响的，甲方有权解除合同。</w:t>
            </w:r>
          </w:p>
        </w:tc>
      </w:tr>
    </w:tbl>
    <w:p w14:paraId="5597C53A">
      <w:pPr>
        <w:spacing w:line="440" w:lineRule="exact"/>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6">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5"/>
    <w:basedOn w:val="1"/>
    <w:next w:val="1"/>
    <w:qFormat/>
    <w:uiPriority w:val="0"/>
    <w:pPr>
      <w:keepNext/>
      <w:outlineLvl w:val="4"/>
    </w:pPr>
    <w:rPr>
      <w:rFonts w:hAnsi="Arial"/>
      <w:bCs/>
      <w:kern w:val="2"/>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pPr>
  </w:style>
  <w:style w:type="paragraph" w:styleId="3">
    <w:name w:val="Body Text Indent"/>
    <w:basedOn w:val="1"/>
    <w:next w:val="4"/>
    <w:qFormat/>
    <w:uiPriority w:val="0"/>
    <w:pPr>
      <w:ind w:firstLine="645"/>
    </w:pPr>
    <w:rPr>
      <w:rFonts w:ascii="楷体_GB2312" w:eastAsia="楷体_GB2312"/>
      <w:kern w:val="2"/>
      <w:sz w:val="32"/>
    </w:rPr>
  </w:style>
  <w:style w:type="paragraph" w:styleId="4">
    <w:name w:val="envelope return"/>
    <w:basedOn w:val="1"/>
    <w:unhideWhenUsed/>
    <w:qFormat/>
    <w:uiPriority w:val="99"/>
    <w:pPr>
      <w:snapToGrid w:val="0"/>
    </w:pPr>
    <w:rPr>
      <w:rFonts w:ascii="Arial" w:hAnsi="Arial"/>
    </w:rPr>
  </w:style>
  <w:style w:type="paragraph" w:styleId="9">
    <w:name w:val="Plain Text"/>
    <w:basedOn w:val="1"/>
    <w:qFormat/>
    <w:uiPriority w:val="0"/>
    <w:rPr>
      <w:rFonts w:hAnsi="Courier New"/>
      <w:kern w:val="2"/>
      <w:sz w:val="21"/>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rFonts w:ascii="Calibri" w:hAnsi="Calibri"/>
      <w:szCs w:val="22"/>
    </w:rPr>
  </w:style>
  <w:style w:type="paragraph" w:styleId="12">
    <w:name w:val="Normal (Web)"/>
    <w:basedOn w:val="1"/>
    <w:qFormat/>
    <w:uiPriority w:val="0"/>
    <w:rPr>
      <w:sz w:val="24"/>
    </w:rPr>
  </w:style>
  <w:style w:type="character" w:styleId="15">
    <w:name w:val="Strong"/>
    <w:basedOn w:val="14"/>
    <w:qFormat/>
    <w:uiPriority w:val="0"/>
    <w:rPr>
      <w:b/>
    </w:rPr>
  </w:style>
  <w:style w:type="character" w:styleId="16">
    <w:name w:val="Hyperlink"/>
    <w:qFormat/>
    <w:uiPriority w:val="99"/>
    <w:rPr>
      <w:color w:val="0000FF"/>
      <w:u w:val="single"/>
    </w:rPr>
  </w:style>
  <w:style w:type="paragraph" w:customStyle="1" w:styleId="17">
    <w:name w:val="xl31"/>
    <w:basedOn w:val="1"/>
    <w:qFormat/>
    <w:uiPriority w:val="0"/>
    <w:pPr>
      <w:widowControl/>
      <w:spacing w:before="100" w:beforeAutospacing="1" w:after="100" w:afterAutospacing="1"/>
      <w:jc w:val="center"/>
    </w:pPr>
    <w:rPr>
      <w:rFonts w:hAnsi="宋体"/>
      <w:b/>
      <w:bCs/>
      <w:sz w:val="28"/>
      <w:szCs w:val="28"/>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_Style 3"/>
    <w:basedOn w:val="1"/>
    <w:qFormat/>
    <w:uiPriority w:val="34"/>
    <w:pPr>
      <w:ind w:firstLine="420" w:firstLineChars="200"/>
    </w:pPr>
    <w:rPr>
      <w:rFonts w:ascii="Calibri" w:hAnsi="Calibri"/>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3">
    <w:name w:val="Char Char Char Char Char Char Char1 Char"/>
    <w:basedOn w:val="1"/>
    <w:autoRedefine/>
    <w:qFormat/>
    <w:uiPriority w:val="0"/>
    <w:rPr>
      <w:rFonts w:ascii="Tahoma" w:hAnsi="Tahoma"/>
    </w:rPr>
  </w:style>
  <w:style w:type="character" w:customStyle="1" w:styleId="24">
    <w:name w:val="font2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1504</Words>
  <Characters>1515</Characters>
  <Lines>0</Lines>
  <Paragraphs>0</Paragraphs>
  <TotalTime>2</TotalTime>
  <ScaleCrop>false</ScaleCrop>
  <LinksUpToDate>false</LinksUpToDate>
  <CharactersWithSpaces>1702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2026-03-10T03:42:26Z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