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1"/>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0AB7E180">
            <w:pPr>
              <w:snapToGrid w:val="0"/>
              <w:spacing w:line="360" w:lineRule="auto"/>
              <w:rPr>
                <w:rFonts w:hint="default" w:hAnsi="宋体" w:eastAsiaTheme="minorEastAsia"/>
                <w:b/>
                <w:color w:val="000000"/>
                <w:sz w:val="24"/>
                <w:szCs w:val="24"/>
                <w:u w:val="single"/>
                <w:lang w:val="en-US" w:eastAsia="zh-CN"/>
              </w:rPr>
            </w:pPr>
            <w:r>
              <w:rPr>
                <w:rFonts w:hint="eastAsia" w:hAnsi="宋体"/>
                <w:bCs/>
                <w:color w:val="000000"/>
                <w:sz w:val="24"/>
                <w:szCs w:val="24"/>
                <w:lang w:val="en-US" w:eastAsia="zh-CN"/>
              </w:rPr>
              <w:t>金额</w:t>
            </w:r>
            <w:r>
              <w:rPr>
                <w:rFonts w:hint="eastAsia" w:hAnsi="宋体"/>
                <w:bCs/>
                <w:color w:val="000000"/>
                <w:sz w:val="24"/>
                <w:szCs w:val="24"/>
                <w:u w:val="single"/>
                <w:lang w:val="en-US" w:eastAsia="zh-CN"/>
              </w:rPr>
              <w:t xml:space="preserve">         元</w:t>
            </w: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3313704D">
            <w:pPr>
              <w:spacing w:line="360" w:lineRule="auto"/>
              <w:rPr>
                <w:rFonts w:hint="default" w:hAnsi="宋体" w:eastAsia="宋体"/>
                <w:b/>
                <w:color w:val="000000"/>
                <w:sz w:val="24"/>
                <w:szCs w:val="24"/>
                <w:lang w:val="en-US" w:eastAsia="zh-CN"/>
              </w:rPr>
            </w:pP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39E37D0">
      <w:pPr>
        <w:rPr>
          <w:rFonts w:hint="eastAsia"/>
          <w:lang w:eastAsia="zh-CN"/>
        </w:rPr>
      </w:pPr>
    </w:p>
    <w:p w14:paraId="07D71AF4">
      <w:pPr>
        <w:rPr>
          <w:rFonts w:hint="eastAsia"/>
          <w:lang w:eastAsia="zh-CN"/>
        </w:rPr>
      </w:pPr>
    </w:p>
    <w:p w14:paraId="6EAFCEB3">
      <w:pPr>
        <w:rPr>
          <w:sz w:val="24"/>
          <w:szCs w:val="24"/>
        </w:rPr>
      </w:pPr>
    </w:p>
    <w:p w14:paraId="4B8C4DA2">
      <w:pPr>
        <w:pStyle w:val="4"/>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rPr>
        <w:t>项目概况</w:t>
      </w:r>
      <w:r>
        <w:rPr>
          <w:rFonts w:hint="eastAsia" w:ascii="宋体" w:hAnsi="宋体" w:eastAsia="宋体" w:cs="宋体"/>
          <w:bCs w:val="0"/>
          <w:sz w:val="24"/>
          <w:szCs w:val="24"/>
          <w:lang w:eastAsia="zh-CN"/>
        </w:rPr>
        <w:t>：</w:t>
      </w:r>
    </w:p>
    <w:p w14:paraId="7E508274">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合肥市轨道交通S1线经开区</w:t>
      </w:r>
      <w:r>
        <w:rPr>
          <w:rFonts w:hint="default" w:ascii="宋体" w:hAnsi="宋体" w:eastAsia="宋体" w:cs="宋体"/>
          <w:b w:val="0"/>
          <w:bCs w:val="0"/>
          <w:sz w:val="24"/>
          <w:szCs w:val="24"/>
          <w:lang w:val="en-US" w:eastAsia="zh-CN"/>
        </w:rPr>
        <w:t>航空产业园站、国际小镇站、T2航站楼站～航空产业园站区间风井、国际小镇站～科学中心站高架区间上跨沿湖路、宝教寺市政道路</w:t>
      </w:r>
      <w:r>
        <w:rPr>
          <w:rFonts w:hint="eastAsia" w:ascii="宋体" w:hAnsi="宋体" w:eastAsia="宋体" w:cs="宋体"/>
          <w:b w:val="0"/>
          <w:bCs w:val="0"/>
          <w:sz w:val="24"/>
          <w:szCs w:val="24"/>
          <w:lang w:val="en-US" w:eastAsia="zh-CN"/>
        </w:rPr>
        <w:t>红线范围内道路、站点绿化及部分市政恢复</w:t>
      </w:r>
      <w:r>
        <w:rPr>
          <w:rFonts w:hint="default" w:ascii="宋体" w:hAnsi="宋体" w:eastAsia="宋体" w:cs="宋体"/>
          <w:b w:val="0"/>
          <w:bCs w:val="0"/>
          <w:sz w:val="24"/>
          <w:szCs w:val="24"/>
          <w:lang w:val="en-US" w:eastAsia="zh-CN"/>
        </w:rPr>
        <w:t>工程</w:t>
      </w:r>
      <w:r>
        <w:rPr>
          <w:rFonts w:hint="eastAsia" w:ascii="宋体" w:hAnsi="宋体" w:eastAsia="宋体" w:cs="宋体"/>
          <w:b w:val="0"/>
          <w:bCs w:val="0"/>
          <w:sz w:val="24"/>
          <w:szCs w:val="24"/>
        </w:rPr>
        <w:t>。</w:t>
      </w:r>
    </w:p>
    <w:p w14:paraId="353A3313">
      <w:pPr>
        <w:pageBreakBefore w:val="0"/>
        <w:widowControl/>
        <w:numPr>
          <w:ilvl w:val="0"/>
          <w:numId w:val="2"/>
        </w:numPr>
        <w:kinsoku w:val="0"/>
        <w:wordWrap/>
        <w:overflowPunct/>
        <w:topLinePunct w:val="0"/>
        <w:autoSpaceDE w:val="0"/>
        <w:autoSpaceDN w:val="0"/>
        <w:bidi w:val="0"/>
        <w:adjustRightInd w:val="0"/>
        <w:snapToGrid w:val="0"/>
        <w:spacing w:line="360" w:lineRule="auto"/>
        <w:ind w:firstLine="0" w:firstLineChars="0"/>
        <w:textAlignment w:val="baseline"/>
        <w:rPr>
          <w:rFonts w:hint="eastAsia" w:eastAsia="宋体"/>
          <w:sz w:val="24"/>
          <w:szCs w:val="24"/>
          <w:lang w:val="en-US" w:eastAsia="zh-CN"/>
        </w:rPr>
      </w:pPr>
      <w:r>
        <w:rPr>
          <w:rFonts w:hint="eastAsia" w:eastAsia="宋体"/>
          <w:b/>
          <w:bCs/>
          <w:sz w:val="24"/>
          <w:szCs w:val="24"/>
          <w:lang w:val="en-US" w:eastAsia="zh-CN"/>
        </w:rPr>
        <w:t>付款方式：</w:t>
      </w:r>
    </w:p>
    <w:p w14:paraId="4A5DAE70">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sz w:val="24"/>
          <w:szCs w:val="24"/>
        </w:rPr>
      </w:pPr>
      <w:r>
        <w:rPr>
          <w:rFonts w:hint="eastAsia" w:ascii="宋体" w:hAnsi="宋体" w:cs="宋体"/>
          <w:color w:val="000000"/>
          <w:sz w:val="24"/>
          <w:szCs w:val="24"/>
        </w:rPr>
        <w:t>初步验收合格并出具初审报告后，一次性支付至跟踪审计费用的100%;</w:t>
      </w:r>
      <w:bookmarkStart w:id="8" w:name="_GoBack"/>
      <w:bookmarkEnd w:id="8"/>
    </w:p>
    <w:p w14:paraId="1D619795">
      <w:pPr>
        <w:pStyle w:val="4"/>
        <w:pageBreakBefore w:val="0"/>
        <w:widowControl/>
        <w:numPr>
          <w:ilvl w:val="0"/>
          <w:numId w:val="2"/>
        </w:numPr>
        <w:kinsoku w:val="0"/>
        <w:wordWrap/>
        <w:overflowPunct/>
        <w:topLinePunct w:val="0"/>
        <w:autoSpaceDE w:val="0"/>
        <w:autoSpaceDN w:val="0"/>
        <w:bidi w:val="0"/>
        <w:adjustRightInd w:val="0"/>
        <w:snapToGrid w:val="0"/>
        <w:spacing w:before="0" w:after="0" w:line="360" w:lineRule="auto"/>
        <w:ind w:left="0" w:leftChars="0" w:firstLine="0" w:firstLineChars="0"/>
        <w:textAlignment w:val="baseline"/>
        <w:rPr>
          <w:rFonts w:hint="eastAsia" w:ascii="宋体" w:hAnsi="宋体" w:eastAsia="宋体" w:cs="宋体"/>
          <w:bCs w:val="0"/>
          <w:sz w:val="24"/>
          <w:szCs w:val="24"/>
          <w:lang w:eastAsia="zh-CN"/>
        </w:rPr>
      </w:pPr>
      <w:r>
        <w:rPr>
          <w:rFonts w:hint="eastAsia" w:ascii="宋体" w:hAnsi="宋体" w:eastAsia="宋体" w:cs="宋体"/>
          <w:bCs w:val="0"/>
          <w:sz w:val="24"/>
          <w:szCs w:val="24"/>
        </w:rPr>
        <w:t>报价要求</w:t>
      </w:r>
      <w:r>
        <w:rPr>
          <w:rFonts w:hint="eastAsia" w:ascii="宋体" w:hAnsi="宋体" w:eastAsia="宋体" w:cs="宋体"/>
          <w:bCs w:val="0"/>
          <w:sz w:val="24"/>
          <w:szCs w:val="24"/>
          <w:lang w:eastAsia="zh-CN"/>
        </w:rPr>
        <w:t>：</w:t>
      </w:r>
    </w:p>
    <w:p w14:paraId="3A5C64FB">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Chars="0" w:firstLine="480" w:firstLineChars="200"/>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sz w:val="24"/>
          <w:szCs w:val="24"/>
          <w:lang w:val="en-US" w:eastAsia="zh-CN"/>
        </w:rPr>
        <w:t>总价报价，</w:t>
      </w:r>
      <w:r>
        <w:rPr>
          <w:rFonts w:hint="eastAsia" w:ascii="宋体" w:hAnsi="宋体" w:eastAsia="宋体" w:cs="宋体"/>
          <w:b w:val="0"/>
          <w:bCs w:val="0"/>
          <w:sz w:val="24"/>
          <w:szCs w:val="24"/>
          <w:lang w:val="en-US" w:eastAsia="zh-CN"/>
        </w:rPr>
        <w:t>投标人报价不得超过预算价，否则报价无效。</w:t>
      </w:r>
    </w:p>
    <w:p w14:paraId="3F16428F">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rPr>
        <w:t>、其他要求</w:t>
      </w:r>
    </w:p>
    <w:p w14:paraId="757588F7">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Times New Roman"/>
          <w:sz w:val="24"/>
          <w:szCs w:val="24"/>
          <w:lang w:val="en-US" w:eastAsia="zh-CN"/>
        </w:rPr>
      </w:pPr>
      <w:r>
        <w:rPr>
          <w:rFonts w:hint="eastAsia" w:ascii="Times New Roman" w:hAnsi="Times New Roman" w:eastAsia="宋体" w:cs="宋体"/>
          <w:bCs/>
          <w:color w:val="auto"/>
          <w:kern w:val="0"/>
          <w:sz w:val="24"/>
          <w:szCs w:val="24"/>
          <w:highlight w:val="none"/>
        </w:rPr>
        <w:t>合肥市轨道交通集团有限公司作为资金管理部门，合肥经济技术开发区公用事业发展有限公司为项目代建单位。项目资金由代建单位将资金申报、材料等盖章后提交合肥市轨道公司交通集团有限公司，合肥市轨道交通集团有限公司根据申报金额支付资金，发票由中标人开具给合肥市轨道交通集团有限公司</w:t>
      </w:r>
      <w:r>
        <w:rPr>
          <w:rFonts w:hint="eastAsia" w:ascii="Times New Roman" w:hAnsi="Times New Roman" w:eastAsia="宋体" w:cs="宋体"/>
          <w:bCs/>
          <w:color w:val="auto"/>
          <w:kern w:val="0"/>
          <w:sz w:val="24"/>
          <w:szCs w:val="24"/>
          <w:highlight w:val="none"/>
          <w:lang w:eastAsia="zh-CN"/>
        </w:rPr>
        <w:t>。</w:t>
      </w:r>
    </w:p>
    <w:p w14:paraId="6523E384">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p>
    <w:p w14:paraId="63162BA7">
      <w:pPr>
        <w:pageBreakBefore w:val="0"/>
        <w:widowControl/>
        <w:kinsoku w:val="0"/>
        <w:wordWrap/>
        <w:overflowPunct/>
        <w:topLinePunct w:val="0"/>
        <w:autoSpaceDE w:val="0"/>
        <w:autoSpaceDN w:val="0"/>
        <w:bidi w:val="0"/>
        <w:adjustRightInd w:val="0"/>
        <w:snapToGrid w:val="0"/>
        <w:spacing w:line="240" w:lineRule="auto"/>
        <w:ind w:firstLine="420" w:firstLineChars="150"/>
        <w:textAlignment w:val="baseline"/>
        <w:rPr>
          <w:rFonts w:hint="eastAsia" w:ascii="宋体" w:hAnsi="宋体" w:eastAsia="宋体"/>
          <w:sz w:val="28"/>
          <w:szCs w:val="24"/>
        </w:rPr>
      </w:pPr>
    </w:p>
    <w:p w14:paraId="2DE4E811">
      <w:pPr>
        <w:pageBreakBefore w:val="0"/>
        <w:widowControl/>
        <w:kinsoku w:val="0"/>
        <w:wordWrap/>
        <w:overflowPunct/>
        <w:topLinePunct w:val="0"/>
        <w:autoSpaceDE w:val="0"/>
        <w:autoSpaceDN w:val="0"/>
        <w:bidi w:val="0"/>
        <w:adjustRightInd w:val="0"/>
        <w:snapToGrid w:val="0"/>
        <w:spacing w:line="240" w:lineRule="auto"/>
        <w:textAlignment w:val="baseline"/>
        <w:rPr>
          <w:rFonts w:eastAsia="宋体"/>
          <w:sz w:val="28"/>
          <w:szCs w:val="24"/>
        </w:rPr>
      </w:pPr>
    </w:p>
    <w:p w14:paraId="2EE76EB9">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sz w:val="28"/>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39A04"/>
    <w:multiLevelType w:val="singleLevel"/>
    <w:tmpl w:val="EA639A04"/>
    <w:lvl w:ilvl="0" w:tentative="0">
      <w:start w:val="1"/>
      <w:numFmt w:val="chineseCounting"/>
      <w:suff w:val="nothing"/>
      <w:lvlText w:val="%1、"/>
      <w:lvlJc w:val="left"/>
      <w:rPr>
        <w:rFonts w:hint="eastAsia"/>
      </w:rPr>
    </w:lvl>
  </w:abstractNum>
  <w:abstractNum w:abstractNumId="1">
    <w:nsid w:val="59280827"/>
    <w:multiLevelType w:val="singleLevel"/>
    <w:tmpl w:val="592808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C170CB"/>
    <w:rsid w:val="03373831"/>
    <w:rsid w:val="03E2379C"/>
    <w:rsid w:val="04117BDE"/>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2323A"/>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701899"/>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856BA4"/>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E3ABD"/>
    <w:rsid w:val="6A9E67F3"/>
    <w:rsid w:val="6B160A7F"/>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6"/>
    <w:qFormat/>
    <w:uiPriority w:val="0"/>
    <w:pPr>
      <w:ind w:left="420" w:firstLine="420"/>
    </w:pPr>
  </w:style>
  <w:style w:type="character" w:styleId="13">
    <w:name w:val="Strong"/>
    <w:basedOn w:val="12"/>
    <w:qFormat/>
    <w:uiPriority w:val="0"/>
    <w:rPr>
      <w:b/>
    </w:rPr>
  </w:style>
  <w:style w:type="paragraph" w:customStyle="1" w:styleId="14">
    <w:name w:val="xl31"/>
    <w:basedOn w:val="1"/>
    <w:qFormat/>
    <w:uiPriority w:val="0"/>
    <w:pPr>
      <w:widowControl/>
      <w:spacing w:before="100" w:beforeAutospacing="1" w:after="100" w:afterAutospacing="1"/>
      <w:jc w:val="center"/>
    </w:pPr>
    <w:rPr>
      <w:rFonts w:hAnsi="宋体"/>
      <w:b/>
      <w:bCs/>
      <w:sz w:val="28"/>
      <w:szCs w:val="2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_Style 3"/>
    <w:basedOn w:val="1"/>
    <w:qFormat/>
    <w:uiPriority w:val="34"/>
    <w:pPr>
      <w:ind w:firstLine="420" w:firstLineChars="200"/>
    </w:pPr>
    <w:rPr>
      <w:rFonts w:ascii="Calibri" w:hAnsi="Calibri"/>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1253</Words>
  <Characters>1259</Characters>
  <Lines>0</Lines>
  <Paragraphs>0</Paragraphs>
  <TotalTime>3</TotalTime>
  <ScaleCrop>false</ScaleCrop>
  <LinksUpToDate>false</LinksUpToDate>
  <CharactersWithSpaces>1439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2026-03-10T02:23:59Z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