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3E93D06B">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14:paraId="3D4FC6B0">
      <w:pPr>
        <w:spacing w:before="156" w:beforeLines="50" w:after="156" w:afterLines="50" w:line="360" w:lineRule="auto"/>
        <w:ind w:firstLine="235" w:firstLineChars="98"/>
        <w:jc w:val="center"/>
        <w:rPr>
          <w:rFonts w:hAnsi="宋体"/>
          <w:b/>
          <w:color w:val="000000"/>
          <w:sz w:val="24"/>
          <w:szCs w:val="24"/>
        </w:rPr>
      </w:pPr>
      <w:r>
        <w:rPr>
          <w:rFonts w:hint="eastAsia" w:hAnsi="宋体"/>
          <w:b/>
          <w:color w:val="000000"/>
          <w:sz w:val="24"/>
          <w:szCs w:val="24"/>
        </w:rPr>
        <w:t>报价表格式</w:t>
      </w:r>
    </w:p>
    <w:tbl>
      <w:tblPr>
        <w:tblStyle w:val="11"/>
        <w:tblpPr w:leftFromText="180" w:rightFromText="180" w:vertAnchor="text" w:horzAnchor="page" w:tblpX="1652" w:tblpY="4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A35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721F55A">
            <w:pPr>
              <w:spacing w:line="360" w:lineRule="auto"/>
              <w:jc w:val="center"/>
              <w:rPr>
                <w:rFonts w:hAnsi="宋体"/>
                <w:b/>
                <w:color w:val="000000"/>
                <w:sz w:val="24"/>
                <w:szCs w:val="24"/>
              </w:rPr>
            </w:pPr>
            <w:r>
              <w:rPr>
                <w:rFonts w:hint="eastAsia" w:hAnsi="宋体"/>
                <w:b/>
                <w:color w:val="000000"/>
                <w:sz w:val="24"/>
                <w:szCs w:val="24"/>
              </w:rPr>
              <w:t>供应商名称</w:t>
            </w:r>
          </w:p>
        </w:tc>
        <w:tc>
          <w:tcPr>
            <w:tcW w:w="6492" w:type="dxa"/>
            <w:tcBorders>
              <w:left w:val="single" w:color="auto" w:sz="4" w:space="0"/>
            </w:tcBorders>
          </w:tcPr>
          <w:p w14:paraId="66901FFE">
            <w:pPr>
              <w:spacing w:line="360" w:lineRule="auto"/>
              <w:rPr>
                <w:rFonts w:hAnsi="宋体"/>
                <w:b/>
                <w:color w:val="000000"/>
                <w:sz w:val="24"/>
                <w:szCs w:val="24"/>
              </w:rPr>
            </w:pPr>
          </w:p>
        </w:tc>
      </w:tr>
      <w:tr w14:paraId="06B7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0D151742">
            <w:pPr>
              <w:spacing w:line="360" w:lineRule="exact"/>
              <w:jc w:val="center"/>
              <w:rPr>
                <w:rFonts w:hAnsi="宋体"/>
                <w:b/>
                <w:color w:val="000000"/>
                <w:sz w:val="24"/>
                <w:szCs w:val="24"/>
              </w:rPr>
            </w:pPr>
            <w:r>
              <w:rPr>
                <w:rFonts w:hint="eastAsia" w:hAnsi="宋体"/>
                <w:b/>
                <w:color w:val="000000"/>
                <w:sz w:val="24"/>
                <w:szCs w:val="24"/>
              </w:rPr>
              <w:t>评标范围</w:t>
            </w:r>
          </w:p>
        </w:tc>
        <w:tc>
          <w:tcPr>
            <w:tcW w:w="6492" w:type="dxa"/>
            <w:tcBorders>
              <w:left w:val="single" w:color="auto" w:sz="4" w:space="0"/>
            </w:tcBorders>
            <w:vAlign w:val="center"/>
          </w:tcPr>
          <w:p w14:paraId="0CBA1DA6">
            <w:pPr>
              <w:snapToGrid w:val="0"/>
              <w:spacing w:line="360" w:lineRule="auto"/>
              <w:rPr>
                <w:rFonts w:hAnsi="宋体"/>
                <w:b/>
                <w:color w:val="000000"/>
                <w:sz w:val="24"/>
                <w:szCs w:val="24"/>
              </w:rPr>
            </w:pPr>
            <w:r>
              <w:rPr>
                <w:rFonts w:hint="eastAsia" w:hAnsi="宋体"/>
                <w:bCs/>
                <w:color w:val="000000"/>
                <w:sz w:val="24"/>
                <w:szCs w:val="24"/>
              </w:rPr>
              <w:t>全部</w:t>
            </w:r>
          </w:p>
        </w:tc>
      </w:tr>
      <w:tr w14:paraId="23B1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2C506854">
            <w:pPr>
              <w:spacing w:line="360" w:lineRule="auto"/>
              <w:jc w:val="center"/>
              <w:rPr>
                <w:rFonts w:hAnsi="宋体"/>
                <w:b/>
                <w:color w:val="000000"/>
                <w:sz w:val="24"/>
                <w:szCs w:val="24"/>
              </w:rPr>
            </w:pPr>
            <w:r>
              <w:rPr>
                <w:rFonts w:hint="eastAsia" w:hAnsi="宋体"/>
                <w:b/>
                <w:color w:val="000000"/>
                <w:sz w:val="24"/>
                <w:szCs w:val="24"/>
              </w:rPr>
              <w:t>报价</w:t>
            </w:r>
          </w:p>
          <w:p w14:paraId="65EA1BBE">
            <w:pPr>
              <w:spacing w:line="360" w:lineRule="auto"/>
              <w:jc w:val="center"/>
              <w:rPr>
                <w:rFonts w:hAnsi="宋体"/>
                <w:b/>
                <w:color w:val="000000"/>
                <w:sz w:val="24"/>
                <w:szCs w:val="24"/>
              </w:rPr>
            </w:pPr>
            <w:r>
              <w:rPr>
                <w:rFonts w:hint="eastAsia" w:hAnsi="宋体"/>
                <w:b/>
                <w:color w:val="000000"/>
                <w:sz w:val="24"/>
                <w:szCs w:val="24"/>
              </w:rPr>
              <w:t>（详见备注说明）</w:t>
            </w:r>
          </w:p>
        </w:tc>
        <w:tc>
          <w:tcPr>
            <w:tcW w:w="6492" w:type="dxa"/>
            <w:vAlign w:val="center"/>
          </w:tcPr>
          <w:p w14:paraId="36CF2F3E">
            <w:pPr>
              <w:snapToGrid w:val="0"/>
              <w:spacing w:line="360" w:lineRule="auto"/>
              <w:rPr>
                <w:rFonts w:hAnsi="宋体"/>
                <w:bCs/>
                <w:color w:val="000000"/>
                <w:sz w:val="24"/>
                <w:szCs w:val="24"/>
              </w:rPr>
            </w:pPr>
          </w:p>
          <w:p w14:paraId="2588C5F6">
            <w:pPr>
              <w:snapToGrid w:val="0"/>
              <w:spacing w:line="360" w:lineRule="auto"/>
              <w:rPr>
                <w:rFonts w:hint="default" w:hAnsi="宋体" w:eastAsiaTheme="minorEastAsia"/>
                <w:bCs/>
                <w:color w:val="000000"/>
                <w:sz w:val="24"/>
                <w:szCs w:val="24"/>
                <w:u w:val="single"/>
                <w:lang w:val="en-US" w:eastAsia="zh-CN"/>
              </w:rPr>
            </w:pPr>
            <w:r>
              <w:rPr>
                <w:rFonts w:hint="eastAsia" w:hAnsi="宋体"/>
                <w:bCs/>
                <w:color w:val="000000"/>
                <w:sz w:val="24"/>
                <w:szCs w:val="24"/>
                <w:lang w:val="en-US" w:eastAsia="zh-CN"/>
              </w:rPr>
              <w:t>金额</w:t>
            </w:r>
            <w:r>
              <w:rPr>
                <w:rFonts w:hint="eastAsia" w:hAnsi="宋体"/>
                <w:bCs/>
                <w:color w:val="000000"/>
                <w:sz w:val="24"/>
                <w:szCs w:val="24"/>
              </w:rPr>
              <w:t>：</w:t>
            </w:r>
            <w:r>
              <w:rPr>
                <w:rFonts w:hint="eastAsia" w:hAnsi="宋体"/>
                <w:bCs/>
                <w:color w:val="000000"/>
                <w:sz w:val="24"/>
                <w:szCs w:val="24"/>
                <w:u w:val="single"/>
              </w:rPr>
              <w:t xml:space="preserve">        </w:t>
            </w:r>
            <w:r>
              <w:rPr>
                <w:rFonts w:hint="eastAsia" w:hAnsi="宋体"/>
                <w:bCs/>
                <w:color w:val="000000"/>
                <w:sz w:val="24"/>
                <w:szCs w:val="24"/>
                <w:u w:val="single"/>
                <w:lang w:val="en-US" w:eastAsia="zh-CN"/>
              </w:rPr>
              <w:t>元</w:t>
            </w:r>
          </w:p>
          <w:p w14:paraId="0AB7E180">
            <w:pPr>
              <w:snapToGrid w:val="0"/>
              <w:spacing w:line="360" w:lineRule="auto"/>
              <w:rPr>
                <w:rFonts w:hint="default" w:hAnsi="宋体" w:eastAsiaTheme="minorEastAsia"/>
                <w:b/>
                <w:color w:val="000000"/>
                <w:sz w:val="24"/>
                <w:szCs w:val="24"/>
                <w:u w:val="single"/>
                <w:lang w:val="en-US" w:eastAsia="zh-CN"/>
              </w:rPr>
            </w:pPr>
          </w:p>
        </w:tc>
      </w:tr>
      <w:tr w14:paraId="36BD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7ED09DA">
            <w:pPr>
              <w:spacing w:line="360" w:lineRule="auto"/>
              <w:jc w:val="center"/>
              <w:rPr>
                <w:rFonts w:hAnsi="宋体"/>
                <w:b/>
                <w:color w:val="000000"/>
                <w:sz w:val="24"/>
                <w:szCs w:val="24"/>
              </w:rPr>
            </w:pPr>
            <w:r>
              <w:rPr>
                <w:rFonts w:hint="eastAsia" w:hAnsi="宋体"/>
                <w:b/>
                <w:color w:val="000000"/>
                <w:sz w:val="24"/>
                <w:szCs w:val="24"/>
              </w:rPr>
              <w:t>备注说明</w:t>
            </w:r>
          </w:p>
        </w:tc>
        <w:tc>
          <w:tcPr>
            <w:tcW w:w="6492" w:type="dxa"/>
          </w:tcPr>
          <w:p w14:paraId="1B2119F3">
            <w:pPr>
              <w:spacing w:line="360" w:lineRule="auto"/>
              <w:rPr>
                <w:rFonts w:ascii="宋体" w:hAnsi="宋体" w:eastAsia="宋体" w:cs="宋体"/>
                <w:b/>
                <w:bCs/>
                <w:i w:val="0"/>
                <w:iCs w:val="0"/>
                <w:color w:val="333333"/>
                <w:sz w:val="24"/>
                <w:szCs w:val="24"/>
                <w:u w:val="none"/>
              </w:rPr>
            </w:pPr>
          </w:p>
          <w:p w14:paraId="3313704D">
            <w:pPr>
              <w:spacing w:line="360" w:lineRule="auto"/>
              <w:rPr>
                <w:rFonts w:hint="default" w:hAnsi="宋体" w:eastAsia="宋体"/>
                <w:b/>
                <w:color w:val="000000"/>
                <w:sz w:val="24"/>
                <w:szCs w:val="24"/>
                <w:lang w:val="en-US" w:eastAsia="zh-CN"/>
              </w:rPr>
            </w:pPr>
          </w:p>
        </w:tc>
      </w:tr>
    </w:tbl>
    <w:p w14:paraId="174BB63A">
      <w:pPr>
        <w:snapToGrid w:val="0"/>
        <w:spacing w:line="360" w:lineRule="auto"/>
        <w:jc w:val="left"/>
        <w:rPr>
          <w:rFonts w:hint="eastAsia" w:hAnsi="宋体"/>
          <w:b/>
          <w:color w:val="000000"/>
          <w:sz w:val="24"/>
          <w:szCs w:val="24"/>
        </w:rPr>
      </w:pPr>
    </w:p>
    <w:p w14:paraId="3BE81857">
      <w:pPr>
        <w:snapToGrid w:val="0"/>
        <w:spacing w:line="360" w:lineRule="auto"/>
        <w:jc w:val="left"/>
        <w:rPr>
          <w:rFonts w:hint="eastAsia" w:hAnsi="宋体"/>
          <w:b/>
          <w:color w:val="000000"/>
          <w:sz w:val="24"/>
          <w:szCs w:val="24"/>
        </w:rPr>
      </w:pPr>
    </w:p>
    <w:p w14:paraId="064B4375">
      <w:pPr>
        <w:snapToGrid w:val="0"/>
        <w:spacing w:line="360" w:lineRule="auto"/>
        <w:jc w:val="left"/>
        <w:rPr>
          <w:rFonts w:hAnsi="宋体"/>
          <w:b/>
          <w:color w:val="000000"/>
          <w:sz w:val="24"/>
          <w:szCs w:val="24"/>
        </w:rPr>
      </w:pPr>
      <w:r>
        <w:rPr>
          <w:rFonts w:hint="eastAsia" w:hAnsi="宋体"/>
          <w:b/>
          <w:color w:val="000000"/>
          <w:sz w:val="24"/>
          <w:szCs w:val="24"/>
        </w:rPr>
        <w:t>项目名称：</w:t>
      </w:r>
    </w:p>
    <w:p w14:paraId="2E6E7D21">
      <w:pPr>
        <w:snapToGrid w:val="0"/>
        <w:spacing w:line="360" w:lineRule="auto"/>
        <w:rPr>
          <w:rFonts w:hint="eastAsia" w:hAnsi="宋体"/>
          <w:b/>
          <w:color w:val="000000"/>
        </w:rPr>
      </w:pPr>
    </w:p>
    <w:p w14:paraId="35B25C48">
      <w:pPr>
        <w:snapToGrid w:val="0"/>
        <w:spacing w:line="360" w:lineRule="auto"/>
        <w:rPr>
          <w:rFonts w:hint="eastAsia" w:hAnsi="宋体"/>
          <w:b/>
          <w:color w:val="000000"/>
        </w:rPr>
      </w:pPr>
      <w:r>
        <w:rPr>
          <w:rFonts w:hint="eastAsia" w:hAnsi="宋体"/>
          <w:b/>
          <w:color w:val="000000"/>
        </w:rPr>
        <w:t>供应商公章：</w:t>
      </w:r>
    </w:p>
    <w:p w14:paraId="774B8B97">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14:paraId="61DE199C">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14:paraId="671E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14:paraId="6F0035B0">
      <w:pPr>
        <w:adjustRightInd w:val="0"/>
        <w:snapToGrid w:val="0"/>
        <w:spacing w:line="360" w:lineRule="auto"/>
        <w:rPr>
          <w:rFonts w:hAnsi="宋体"/>
          <w:b/>
          <w:bCs/>
          <w:color w:val="000000"/>
          <w:szCs w:val="28"/>
        </w:rPr>
      </w:pPr>
      <w:r>
        <w:rPr>
          <w:rFonts w:hint="eastAsia" w:hAnsi="宋体"/>
          <w:b/>
          <w:bCs/>
          <w:color w:val="000000"/>
          <w:szCs w:val="28"/>
        </w:rPr>
        <w:t>注：</w:t>
      </w:r>
    </w:p>
    <w:p w14:paraId="0A4BBCA6">
      <w:pPr>
        <w:adjustRightInd w:val="0"/>
        <w:snapToGrid w:val="0"/>
        <w:spacing w:line="360" w:lineRule="auto"/>
        <w:ind w:firstLine="420" w:firstLineChars="200"/>
        <w:rPr>
          <w:rFonts w:hAnsi="宋体"/>
          <w:color w:val="000000"/>
        </w:rPr>
      </w:pPr>
      <w:r>
        <w:rPr>
          <w:rFonts w:hint="eastAsia" w:hAnsi="宋体"/>
          <w:b/>
          <w:bCs/>
          <w:color w:val="000000"/>
          <w:szCs w:val="28"/>
          <w:lang w:eastAsia="zh-CN"/>
        </w:rPr>
        <w:t>1.</w:t>
      </w:r>
      <w:r>
        <w:rPr>
          <w:rFonts w:hint="eastAsia" w:hAnsi="宋体"/>
          <w:b/>
          <w:bCs/>
          <w:color w:val="000000"/>
          <w:szCs w:val="28"/>
        </w:rPr>
        <w:t>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55592D43">
      <w:pPr>
        <w:adjustRightInd w:val="0"/>
        <w:snapToGrid w:val="0"/>
        <w:spacing w:line="360" w:lineRule="auto"/>
        <w:ind w:firstLine="420" w:firstLineChars="200"/>
        <w:rPr>
          <w:rFonts w:hAnsi="宋体"/>
          <w:b/>
          <w:bCs/>
          <w:color w:val="000000"/>
          <w:szCs w:val="28"/>
        </w:rPr>
      </w:pPr>
      <w:r>
        <w:rPr>
          <w:rFonts w:hint="eastAsia" w:hAnsi="宋体"/>
          <w:b/>
          <w:bCs/>
          <w:color w:val="000000"/>
          <w:szCs w:val="28"/>
          <w:lang w:eastAsia="zh-CN"/>
        </w:rPr>
        <w:t>2.</w:t>
      </w:r>
      <w:r>
        <w:rPr>
          <w:rFonts w:hint="eastAsia" w:hAnsi="宋体"/>
          <w:b/>
          <w:bCs/>
          <w:color w:val="000000"/>
          <w:szCs w:val="28"/>
        </w:rPr>
        <w:t>特殊事项在备注中注明。</w:t>
      </w:r>
    </w:p>
    <w:p w14:paraId="3F6590A1">
      <w:pPr>
        <w:adjustRightInd w:val="0"/>
        <w:snapToGrid w:val="0"/>
        <w:spacing w:line="360" w:lineRule="auto"/>
        <w:ind w:firstLine="420" w:firstLineChars="200"/>
        <w:rPr>
          <w:rFonts w:hAnsi="宋体"/>
          <w:b/>
          <w:bCs/>
          <w:color w:val="000000"/>
          <w:szCs w:val="28"/>
        </w:rPr>
      </w:pPr>
    </w:p>
    <w:p w14:paraId="620C3DC0">
      <w:pPr>
        <w:adjustRightInd w:val="0"/>
        <w:snapToGrid w:val="0"/>
        <w:spacing w:line="360" w:lineRule="auto"/>
        <w:ind w:firstLine="420" w:firstLineChars="200"/>
        <w:rPr>
          <w:rFonts w:hAnsi="宋体"/>
          <w:b/>
          <w:bCs/>
          <w:color w:val="000000"/>
          <w:szCs w:val="28"/>
        </w:rPr>
      </w:pPr>
    </w:p>
    <w:p w14:paraId="3A734C15"/>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740B64A">
      <w:pPr>
        <w:rPr>
          <w:rFonts w:hint="eastAsia"/>
          <w:lang w:eastAsia="zh-CN"/>
        </w:rPr>
      </w:pPr>
    </w:p>
    <w:p w14:paraId="139E37D0">
      <w:pPr>
        <w:rPr>
          <w:rFonts w:hint="eastAsia"/>
          <w:lang w:eastAsia="zh-CN"/>
        </w:rPr>
      </w:pPr>
    </w:p>
    <w:p w14:paraId="07D71AF4">
      <w:pPr>
        <w:rPr>
          <w:rFonts w:hint="eastAsia"/>
          <w:lang w:eastAsia="zh-CN"/>
        </w:rPr>
      </w:pPr>
    </w:p>
    <w:p w14:paraId="6EAFCEB3">
      <w:pPr>
        <w:rPr>
          <w:sz w:val="24"/>
          <w:szCs w:val="24"/>
        </w:rPr>
      </w:pPr>
    </w:p>
    <w:p w14:paraId="4B8C4DA2">
      <w:pPr>
        <w:pStyle w:val="4"/>
        <w:pageBreakBefore w:val="0"/>
        <w:widowControl/>
        <w:numPr>
          <w:ilvl w:val="0"/>
          <w:numId w:val="1"/>
        </w:numPr>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rPr>
        <w:t>项目概况</w:t>
      </w:r>
      <w:r>
        <w:rPr>
          <w:rFonts w:hint="eastAsia" w:ascii="宋体" w:hAnsi="宋体" w:eastAsia="宋体" w:cs="宋体"/>
          <w:bCs w:val="0"/>
          <w:sz w:val="24"/>
          <w:szCs w:val="24"/>
          <w:lang w:eastAsia="zh-CN"/>
        </w:rPr>
        <w:t>：</w:t>
      </w:r>
    </w:p>
    <w:p w14:paraId="7E508274">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firstLine="480" w:firstLineChars="200"/>
        <w:textAlignment w:val="baseline"/>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合肥市轨道交通S1线经开区</w:t>
      </w:r>
      <w:r>
        <w:rPr>
          <w:rFonts w:hint="default" w:ascii="宋体" w:hAnsi="宋体" w:eastAsia="宋体" w:cs="宋体"/>
          <w:b w:val="0"/>
          <w:bCs w:val="0"/>
          <w:sz w:val="24"/>
          <w:szCs w:val="24"/>
          <w:lang w:val="en-US" w:eastAsia="zh-CN"/>
        </w:rPr>
        <w:t>航空产业园站、国际小镇站、T2航站楼站～航空产业园站区间风井、国际小镇站～科学中心站高架区间上跨沿湖路、宝教寺市政道路</w:t>
      </w:r>
      <w:r>
        <w:rPr>
          <w:rFonts w:hint="eastAsia" w:ascii="宋体" w:hAnsi="宋体" w:eastAsia="宋体" w:cs="宋体"/>
          <w:b w:val="0"/>
          <w:bCs w:val="0"/>
          <w:sz w:val="24"/>
          <w:szCs w:val="24"/>
          <w:lang w:val="en-US" w:eastAsia="zh-CN"/>
        </w:rPr>
        <w:t>红线范围内道路、站点绿化及部分市政恢复</w:t>
      </w:r>
      <w:r>
        <w:rPr>
          <w:rFonts w:hint="default" w:ascii="宋体" w:hAnsi="宋体" w:eastAsia="宋体" w:cs="宋体"/>
          <w:b w:val="0"/>
          <w:bCs w:val="0"/>
          <w:sz w:val="24"/>
          <w:szCs w:val="24"/>
          <w:lang w:val="en-US" w:eastAsia="zh-CN"/>
        </w:rPr>
        <w:t>工程</w:t>
      </w:r>
      <w:r>
        <w:rPr>
          <w:rFonts w:hint="eastAsia" w:ascii="宋体" w:hAnsi="宋体" w:eastAsia="宋体" w:cs="宋体"/>
          <w:b w:val="0"/>
          <w:bCs w:val="0"/>
          <w:sz w:val="24"/>
          <w:szCs w:val="24"/>
        </w:rPr>
        <w:t>。</w:t>
      </w:r>
    </w:p>
    <w:p w14:paraId="353A3313">
      <w:pPr>
        <w:pageBreakBefore w:val="0"/>
        <w:widowControl/>
        <w:numPr>
          <w:ilvl w:val="0"/>
          <w:numId w:val="2"/>
        </w:numPr>
        <w:kinsoku w:val="0"/>
        <w:wordWrap/>
        <w:overflowPunct/>
        <w:topLinePunct w:val="0"/>
        <w:autoSpaceDE w:val="0"/>
        <w:autoSpaceDN w:val="0"/>
        <w:bidi w:val="0"/>
        <w:adjustRightInd w:val="0"/>
        <w:snapToGrid w:val="0"/>
        <w:spacing w:line="360" w:lineRule="auto"/>
        <w:ind w:firstLine="0" w:firstLineChars="0"/>
        <w:textAlignment w:val="baseline"/>
        <w:rPr>
          <w:rFonts w:hint="eastAsia" w:eastAsia="宋体"/>
          <w:sz w:val="24"/>
          <w:szCs w:val="24"/>
          <w:lang w:val="en-US" w:eastAsia="zh-CN"/>
        </w:rPr>
      </w:pPr>
      <w:r>
        <w:rPr>
          <w:rFonts w:hint="eastAsia" w:eastAsia="宋体"/>
          <w:b/>
          <w:bCs/>
          <w:sz w:val="24"/>
          <w:szCs w:val="24"/>
          <w:lang w:val="en-US" w:eastAsia="zh-CN"/>
        </w:rPr>
        <w:t>付款方式：</w:t>
      </w:r>
    </w:p>
    <w:p w14:paraId="197A804B">
      <w:pPr>
        <w:pStyle w:val="4"/>
        <w:pageBreakBefore w:val="0"/>
        <w:widowControl/>
        <w:kinsoku w:val="0"/>
        <w:wordWrap/>
        <w:overflowPunct/>
        <w:topLinePunct w:val="0"/>
        <w:autoSpaceDE w:val="0"/>
        <w:autoSpaceDN w:val="0"/>
        <w:bidi w:val="0"/>
        <w:adjustRightInd w:val="0"/>
        <w:snapToGrid w:val="0"/>
        <w:spacing w:before="0" w:after="0" w:line="360" w:lineRule="auto"/>
        <w:ind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工程竣工验收合格并提供检测报告后，一次性支付至100%。</w:t>
      </w:r>
    </w:p>
    <w:p w14:paraId="01596588">
      <w:pPr>
        <w:pStyle w:val="4"/>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宋体" w:hAnsi="宋体" w:eastAsia="宋体" w:cs="宋体"/>
          <w:bCs w:val="0"/>
          <w:sz w:val="24"/>
          <w:szCs w:val="24"/>
        </w:rPr>
      </w:pPr>
      <w:r>
        <w:rPr>
          <w:rFonts w:hint="eastAsia" w:ascii="宋体" w:hAnsi="宋体" w:eastAsia="宋体" w:cs="宋体"/>
          <w:bCs w:val="0"/>
          <w:sz w:val="24"/>
          <w:szCs w:val="24"/>
          <w:lang w:val="en-US" w:eastAsia="zh-CN"/>
        </w:rPr>
        <w:t>三</w:t>
      </w:r>
      <w:r>
        <w:rPr>
          <w:rFonts w:hint="eastAsia" w:ascii="宋体" w:hAnsi="宋体" w:eastAsia="宋体" w:cs="宋体"/>
          <w:bCs w:val="0"/>
          <w:sz w:val="24"/>
          <w:szCs w:val="24"/>
        </w:rPr>
        <w:t>、服务需求</w:t>
      </w:r>
    </w:p>
    <w:p w14:paraId="3020E7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rFonts w:hint="eastAsia"/>
          <w:sz w:val="24"/>
          <w:szCs w:val="24"/>
        </w:rPr>
      </w:pPr>
      <w:r>
        <w:rPr>
          <w:rFonts w:hint="eastAsia" w:eastAsia="宋体"/>
          <w:sz w:val="24"/>
          <w:szCs w:val="24"/>
          <w:lang w:val="en-US" w:eastAsia="zh-CN"/>
        </w:rPr>
        <w:t>1.</w:t>
      </w:r>
      <w:r>
        <w:rPr>
          <w:rFonts w:hint="eastAsia"/>
          <w:sz w:val="24"/>
          <w:szCs w:val="24"/>
        </w:rPr>
        <w:t>对涉及直接影响工程建设质量的原材料、成品、半成品进行检测；</w:t>
      </w:r>
    </w:p>
    <w:p w14:paraId="05F052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sz w:val="24"/>
          <w:szCs w:val="24"/>
        </w:rPr>
      </w:pPr>
      <w:r>
        <w:rPr>
          <w:rFonts w:hint="eastAsia" w:eastAsia="宋体" w:cs="Arial"/>
          <w:snapToGrid w:val="0"/>
          <w:color w:val="000000"/>
          <w:kern w:val="0"/>
          <w:sz w:val="24"/>
          <w:szCs w:val="24"/>
          <w:lang w:val="en-US" w:eastAsia="zh-CN" w:bidi="ar-SA"/>
        </w:rPr>
        <w:t>2.</w:t>
      </w:r>
      <w:r>
        <w:rPr>
          <w:rFonts w:hint="eastAsia"/>
          <w:sz w:val="24"/>
          <w:szCs w:val="24"/>
        </w:rPr>
        <w:t>对工程实体进行检测；</w:t>
      </w:r>
    </w:p>
    <w:p w14:paraId="52DA30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sz w:val="24"/>
          <w:szCs w:val="24"/>
        </w:rPr>
      </w:pPr>
      <w:r>
        <w:rPr>
          <w:rFonts w:hint="eastAsia" w:eastAsia="宋体" w:cs="Arial"/>
          <w:snapToGrid w:val="0"/>
          <w:color w:val="000000"/>
          <w:kern w:val="0"/>
          <w:sz w:val="24"/>
          <w:szCs w:val="24"/>
          <w:lang w:val="en-US" w:eastAsia="zh-CN" w:bidi="ar-SA"/>
        </w:rPr>
        <w:t>3.</w:t>
      </w:r>
      <w:r>
        <w:rPr>
          <w:rFonts w:hint="eastAsia"/>
          <w:sz w:val="24"/>
          <w:szCs w:val="24"/>
        </w:rPr>
        <w:t>其他检测；</w:t>
      </w:r>
    </w:p>
    <w:p w14:paraId="6EB10F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sz w:val="24"/>
          <w:szCs w:val="24"/>
        </w:rPr>
      </w:pPr>
      <w:r>
        <w:rPr>
          <w:rFonts w:hint="eastAsia" w:eastAsia="宋体" w:cs="Arial"/>
          <w:snapToGrid w:val="0"/>
          <w:color w:val="000000"/>
          <w:kern w:val="0"/>
          <w:sz w:val="24"/>
          <w:szCs w:val="24"/>
          <w:lang w:val="en-US" w:eastAsia="zh-CN" w:bidi="ar-SA"/>
        </w:rPr>
        <w:t>4.</w:t>
      </w:r>
      <w:r>
        <w:rPr>
          <w:rFonts w:hint="eastAsia"/>
          <w:sz w:val="24"/>
          <w:szCs w:val="24"/>
        </w:rPr>
        <w:t>检测单位必须派专人现场取样，检测数量及频率除按照国家及地方相关规定取定，</w:t>
      </w:r>
      <w:bookmarkStart w:id="8" w:name="_GoBack"/>
      <w:bookmarkEnd w:id="8"/>
      <w:r>
        <w:rPr>
          <w:rFonts w:hint="eastAsia"/>
          <w:sz w:val="24"/>
          <w:szCs w:val="24"/>
        </w:rPr>
        <w:t>包括甲方对工程质量有怀疑的部位需要增加检测项目，费用不变；</w:t>
      </w:r>
    </w:p>
    <w:p w14:paraId="402C3E6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sz w:val="24"/>
          <w:szCs w:val="24"/>
        </w:rPr>
      </w:pPr>
      <w:r>
        <w:rPr>
          <w:rFonts w:hint="eastAsia" w:eastAsia="宋体" w:cs="Arial"/>
          <w:snapToGrid w:val="0"/>
          <w:color w:val="000000"/>
          <w:kern w:val="0"/>
          <w:sz w:val="24"/>
          <w:szCs w:val="24"/>
          <w:lang w:val="en-US" w:eastAsia="zh-CN" w:bidi="ar-SA"/>
        </w:rPr>
        <w:t>5.</w:t>
      </w:r>
      <w:r>
        <w:rPr>
          <w:rFonts w:hint="eastAsia"/>
          <w:sz w:val="24"/>
          <w:szCs w:val="24"/>
        </w:rPr>
        <w:t>检测单位必须派员随时随地跟踪检测，及时反馈检测结果，确保施工工序正常开展及工期安排的总体需要；</w:t>
      </w:r>
    </w:p>
    <w:p w14:paraId="353F3B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sz w:val="24"/>
          <w:szCs w:val="24"/>
        </w:rPr>
      </w:pPr>
      <w:r>
        <w:rPr>
          <w:rFonts w:hint="eastAsia" w:eastAsia="宋体" w:cs="Arial"/>
          <w:snapToGrid w:val="0"/>
          <w:color w:val="000000"/>
          <w:kern w:val="0"/>
          <w:sz w:val="24"/>
          <w:szCs w:val="24"/>
          <w:lang w:val="en-US" w:eastAsia="zh-CN" w:bidi="ar-SA"/>
        </w:rPr>
        <w:t>6.</w:t>
      </w:r>
      <w:r>
        <w:rPr>
          <w:rFonts w:hint="eastAsia"/>
          <w:sz w:val="24"/>
          <w:szCs w:val="24"/>
        </w:rPr>
        <w:t>检测结果，以正式书面形式报送甲方及监理，对检测不合格的项目，检测单位应第一时间告知甲方；</w:t>
      </w:r>
    </w:p>
    <w:p w14:paraId="7AF210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sz w:val="24"/>
          <w:szCs w:val="24"/>
        </w:rPr>
      </w:pPr>
      <w:r>
        <w:rPr>
          <w:rFonts w:hint="eastAsia" w:eastAsia="宋体" w:cs="Arial"/>
          <w:snapToGrid w:val="0"/>
          <w:color w:val="000000"/>
          <w:kern w:val="0"/>
          <w:sz w:val="24"/>
          <w:szCs w:val="24"/>
          <w:lang w:val="en-US" w:eastAsia="zh-CN" w:bidi="ar-SA"/>
        </w:rPr>
        <w:t>7.</w:t>
      </w:r>
      <w:r>
        <w:rPr>
          <w:rFonts w:hint="eastAsia"/>
          <w:sz w:val="24"/>
          <w:szCs w:val="24"/>
        </w:rPr>
        <w:t>检测单位必须根据规范现场取样，确保试验数据的客观、公正、科学，确保出具的试验检测数据能够准确、及时、真实的反应工程实体质量，对出具的所有检测报告负法律责任；</w:t>
      </w:r>
    </w:p>
    <w:p w14:paraId="2585081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46" w:leftChars="0" w:firstLine="0" w:firstLineChars="0"/>
        <w:textAlignment w:val="baseline"/>
        <w:rPr>
          <w:rFonts w:hint="eastAsia" w:ascii="宋体" w:hAnsi="宋体" w:eastAsia="宋体" w:cs="宋体"/>
          <w:bCs/>
          <w:sz w:val="24"/>
          <w:szCs w:val="24"/>
          <w:lang w:eastAsia="zh-CN"/>
        </w:rPr>
      </w:pPr>
      <w:r>
        <w:rPr>
          <w:rFonts w:hint="eastAsia" w:ascii="宋体" w:hAnsi="宋体" w:eastAsia="宋体" w:cs="宋体"/>
          <w:bCs/>
          <w:snapToGrid w:val="0"/>
          <w:color w:val="000000"/>
          <w:kern w:val="0"/>
          <w:sz w:val="24"/>
          <w:szCs w:val="24"/>
          <w:lang w:val="en-US" w:eastAsia="zh-CN" w:bidi="ar-SA"/>
        </w:rPr>
        <w:t>8.</w:t>
      </w:r>
      <w:r>
        <w:rPr>
          <w:rFonts w:hint="eastAsia"/>
          <w:sz w:val="24"/>
          <w:szCs w:val="24"/>
        </w:rPr>
        <w:t>检测单位所完成的工作内容须达到国家相关法律对环境保护的要求。</w:t>
      </w:r>
    </w:p>
    <w:p w14:paraId="1D619795">
      <w:pPr>
        <w:pStyle w:val="4"/>
        <w:pageBreakBefore w:val="0"/>
        <w:widowControl/>
        <w:numPr>
          <w:ilvl w:val="0"/>
          <w:numId w:val="2"/>
        </w:numPr>
        <w:kinsoku w:val="0"/>
        <w:wordWrap/>
        <w:overflowPunct/>
        <w:topLinePunct w:val="0"/>
        <w:autoSpaceDE w:val="0"/>
        <w:autoSpaceDN w:val="0"/>
        <w:bidi w:val="0"/>
        <w:adjustRightInd w:val="0"/>
        <w:snapToGrid w:val="0"/>
        <w:spacing w:before="0" w:after="0" w:line="360" w:lineRule="auto"/>
        <w:ind w:left="0" w:leftChars="0" w:firstLine="0" w:firstLineChars="0"/>
        <w:textAlignment w:val="baseline"/>
        <w:rPr>
          <w:rFonts w:hint="eastAsia" w:ascii="宋体" w:hAnsi="宋体" w:eastAsia="宋体" w:cs="宋体"/>
          <w:bCs w:val="0"/>
          <w:sz w:val="24"/>
          <w:szCs w:val="24"/>
          <w:lang w:eastAsia="zh-CN"/>
        </w:rPr>
      </w:pPr>
      <w:r>
        <w:rPr>
          <w:rFonts w:hint="eastAsia" w:ascii="宋体" w:hAnsi="宋体" w:eastAsia="宋体" w:cs="宋体"/>
          <w:bCs w:val="0"/>
          <w:sz w:val="24"/>
          <w:szCs w:val="24"/>
        </w:rPr>
        <w:t>报价要求</w:t>
      </w:r>
      <w:r>
        <w:rPr>
          <w:rFonts w:hint="eastAsia" w:ascii="宋体" w:hAnsi="宋体" w:eastAsia="宋体" w:cs="宋体"/>
          <w:bCs w:val="0"/>
          <w:sz w:val="24"/>
          <w:szCs w:val="24"/>
          <w:lang w:eastAsia="zh-CN"/>
        </w:rPr>
        <w:t>：</w:t>
      </w:r>
    </w:p>
    <w:p w14:paraId="3A5C64FB">
      <w:pPr>
        <w:pStyle w:val="4"/>
        <w:pageBreakBefore w:val="0"/>
        <w:widowControl/>
        <w:numPr>
          <w:ilvl w:val="0"/>
          <w:numId w:val="0"/>
        </w:numPr>
        <w:kinsoku w:val="0"/>
        <w:wordWrap/>
        <w:overflowPunct/>
        <w:topLinePunct w:val="0"/>
        <w:autoSpaceDE w:val="0"/>
        <w:autoSpaceDN w:val="0"/>
        <w:bidi w:val="0"/>
        <w:adjustRightInd w:val="0"/>
        <w:snapToGrid w:val="0"/>
        <w:spacing w:before="0" w:after="0" w:line="360" w:lineRule="auto"/>
        <w:ind w:leftChars="0" w:firstLine="480" w:firstLineChars="200"/>
        <w:textAlignment w:val="baseline"/>
        <w:rPr>
          <w:rFonts w:hint="default" w:ascii="宋体" w:hAnsi="宋体" w:eastAsia="宋体" w:cs="宋体"/>
          <w:b w:val="0"/>
          <w:bCs w:val="0"/>
          <w:sz w:val="24"/>
          <w:szCs w:val="24"/>
          <w:lang w:val="en-US" w:eastAsia="zh-CN"/>
        </w:rPr>
      </w:pPr>
      <w:r>
        <w:rPr>
          <w:rFonts w:hint="eastAsia" w:ascii="宋体" w:hAnsi="宋体" w:eastAsia="宋体" w:cs="宋体"/>
          <w:b w:val="0"/>
          <w:sz w:val="24"/>
          <w:szCs w:val="24"/>
          <w:lang w:val="en-US" w:eastAsia="zh-CN"/>
        </w:rPr>
        <w:t>总价报价，最低价评标法，</w:t>
      </w:r>
      <w:r>
        <w:rPr>
          <w:rFonts w:hint="eastAsia" w:ascii="宋体" w:hAnsi="宋体" w:eastAsia="宋体" w:cs="宋体"/>
          <w:b w:val="0"/>
          <w:bCs w:val="0"/>
          <w:sz w:val="24"/>
          <w:szCs w:val="24"/>
          <w:lang w:val="en-US" w:eastAsia="zh-CN"/>
        </w:rPr>
        <w:t>投标人报价不得超过预算价，否则报价无效。</w:t>
      </w:r>
    </w:p>
    <w:p w14:paraId="3F16428F">
      <w:pPr>
        <w:pStyle w:val="4"/>
        <w:pageBreakBefore w:val="0"/>
        <w:widowControl/>
        <w:kinsoku w:val="0"/>
        <w:wordWrap/>
        <w:overflowPunct/>
        <w:topLinePunct w:val="0"/>
        <w:autoSpaceDE w:val="0"/>
        <w:autoSpaceDN w:val="0"/>
        <w:bidi w:val="0"/>
        <w:adjustRightInd w:val="0"/>
        <w:snapToGrid w:val="0"/>
        <w:spacing w:before="0" w:after="0" w:line="360" w:lineRule="auto"/>
        <w:ind w:firstLine="0" w:firstLineChars="0"/>
        <w:textAlignment w:val="baseline"/>
        <w:rPr>
          <w:rFonts w:hint="eastAsia" w:ascii="宋体" w:hAnsi="宋体" w:eastAsia="宋体" w:cs="宋体"/>
          <w:b/>
          <w:bCs w:val="0"/>
          <w:sz w:val="24"/>
          <w:szCs w:val="24"/>
        </w:rPr>
      </w:pPr>
      <w:r>
        <w:rPr>
          <w:rFonts w:hint="eastAsia" w:ascii="宋体" w:hAnsi="宋体" w:eastAsia="宋体" w:cs="宋体"/>
          <w:b/>
          <w:bCs w:val="0"/>
          <w:sz w:val="24"/>
          <w:szCs w:val="24"/>
        </w:rPr>
        <w:t>五、其他要求</w:t>
      </w:r>
    </w:p>
    <w:p w14:paraId="757588F7">
      <w:pPr>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宋体" w:hAnsi="宋体" w:eastAsia="宋体" w:cs="Times New Roman"/>
          <w:sz w:val="24"/>
          <w:szCs w:val="24"/>
          <w:lang w:val="en-US" w:eastAsia="zh-CN"/>
        </w:rPr>
      </w:pPr>
      <w:r>
        <w:rPr>
          <w:rFonts w:hint="eastAsia" w:ascii="Times New Roman" w:hAnsi="Times New Roman" w:eastAsia="宋体" w:cs="宋体"/>
          <w:bCs/>
          <w:color w:val="auto"/>
          <w:kern w:val="0"/>
          <w:sz w:val="24"/>
          <w:szCs w:val="24"/>
          <w:highlight w:val="none"/>
        </w:rPr>
        <w:t>合肥市轨道交通集团有限公司作为资金管理部门，合肥经济技术开发区公用事业发展有限公司为项目代建单位。项目资金由代建单位将资金申报、材料等盖章后提交合肥市轨道公司交通集团有限公司，合肥市轨道交通集团有限公司根据申报金额支付资金，发票由中标人开具给合肥市轨道交通集团有限公司</w:t>
      </w:r>
      <w:r>
        <w:rPr>
          <w:rFonts w:hint="eastAsia" w:ascii="Times New Roman" w:hAnsi="Times New Roman" w:eastAsia="宋体" w:cs="宋体"/>
          <w:bCs/>
          <w:color w:val="auto"/>
          <w:kern w:val="0"/>
          <w:sz w:val="24"/>
          <w:szCs w:val="24"/>
          <w:highlight w:val="none"/>
          <w:lang w:eastAsia="zh-CN"/>
        </w:rPr>
        <w:t>。</w:t>
      </w:r>
    </w:p>
    <w:p w14:paraId="6523E384">
      <w:pPr>
        <w:pageBreakBefore w:val="0"/>
        <w:widowControl/>
        <w:kinsoku w:val="0"/>
        <w:wordWrap/>
        <w:overflowPunct/>
        <w:topLinePunct w:val="0"/>
        <w:autoSpaceDE w:val="0"/>
        <w:autoSpaceDN w:val="0"/>
        <w:bidi w:val="0"/>
        <w:adjustRightInd w:val="0"/>
        <w:snapToGrid w:val="0"/>
        <w:spacing w:line="360" w:lineRule="auto"/>
        <w:ind w:firstLine="0" w:firstLineChars="0"/>
        <w:textAlignment w:val="baseline"/>
        <w:rPr>
          <w:rFonts w:hint="eastAsia" w:ascii="宋体" w:hAnsi="宋体" w:eastAsia="宋体" w:cs="宋体"/>
          <w:sz w:val="24"/>
          <w:szCs w:val="24"/>
        </w:rPr>
      </w:pPr>
    </w:p>
    <w:p w14:paraId="2EE76EB9">
      <w:pPr>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sz w:val="28"/>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639A04"/>
    <w:multiLevelType w:val="singleLevel"/>
    <w:tmpl w:val="EA639A04"/>
    <w:lvl w:ilvl="0" w:tentative="0">
      <w:start w:val="1"/>
      <w:numFmt w:val="chineseCounting"/>
      <w:suff w:val="nothing"/>
      <w:lvlText w:val="%1、"/>
      <w:lvlJc w:val="left"/>
      <w:rPr>
        <w:rFonts w:hint="eastAsia"/>
      </w:rPr>
    </w:lvl>
  </w:abstractNum>
  <w:abstractNum w:abstractNumId="1">
    <w:nsid w:val="59280827"/>
    <w:multiLevelType w:val="singleLevel"/>
    <w:tmpl w:val="592808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C170CB"/>
    <w:rsid w:val="03373831"/>
    <w:rsid w:val="03E2379C"/>
    <w:rsid w:val="04117BDE"/>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0DD0882"/>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E3ABD"/>
    <w:rsid w:val="6A9E67F3"/>
    <w:rsid w:val="6B160A7F"/>
    <w:rsid w:val="6B421874"/>
    <w:rsid w:val="6CBF6EF4"/>
    <w:rsid w:val="6D57537F"/>
    <w:rsid w:val="6D7101EF"/>
    <w:rsid w:val="6D7B2E1B"/>
    <w:rsid w:val="6ED45F9C"/>
    <w:rsid w:val="6F773AB6"/>
    <w:rsid w:val="701B2694"/>
    <w:rsid w:val="715F193C"/>
    <w:rsid w:val="73036065"/>
    <w:rsid w:val="737722D7"/>
    <w:rsid w:val="741E6BF6"/>
    <w:rsid w:val="74D07EF1"/>
    <w:rsid w:val="74E25E76"/>
    <w:rsid w:val="74EC45FF"/>
    <w:rsid w:val="74EE0377"/>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AB4D9F"/>
    <w:rsid w:val="7CEA3B1A"/>
    <w:rsid w:val="7D1C7A4B"/>
    <w:rsid w:val="7D4C0330"/>
    <w:rsid w:val="7DAC7021"/>
    <w:rsid w:val="7DD520D4"/>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rPr>
      <w:sz w:val="24"/>
    </w:rPr>
  </w:style>
  <w:style w:type="paragraph" w:styleId="10">
    <w:name w:val="Body Text First Indent 2"/>
    <w:basedOn w:val="6"/>
    <w:qFormat/>
    <w:uiPriority w:val="0"/>
    <w:pPr>
      <w:ind w:left="420" w:firstLine="420"/>
    </w:pPr>
  </w:style>
  <w:style w:type="character" w:styleId="13">
    <w:name w:val="Strong"/>
    <w:basedOn w:val="12"/>
    <w:qFormat/>
    <w:uiPriority w:val="0"/>
    <w:rPr>
      <w:b/>
    </w:rPr>
  </w:style>
  <w:style w:type="paragraph" w:customStyle="1" w:styleId="14">
    <w:name w:val="xl31"/>
    <w:basedOn w:val="1"/>
    <w:qFormat/>
    <w:uiPriority w:val="0"/>
    <w:pPr>
      <w:widowControl/>
      <w:spacing w:before="100" w:beforeAutospacing="1" w:after="100" w:afterAutospacing="1"/>
      <w:jc w:val="center"/>
    </w:pPr>
    <w:rPr>
      <w:rFonts w:hAnsi="宋体"/>
      <w:b/>
      <w:bCs/>
      <w:sz w:val="28"/>
      <w:szCs w:val="28"/>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_Style 3"/>
    <w:basedOn w:val="1"/>
    <w:qFormat/>
    <w:uiPriority w:val="34"/>
    <w:pPr>
      <w:ind w:firstLine="420" w:firstLineChars="200"/>
    </w:pPr>
    <w:rPr>
      <w:rFonts w:ascii="Calibri" w:hAnsi="Calibri"/>
    </w:rPr>
  </w:style>
  <w:style w:type="paragraph" w:customStyle="1" w:styleId="17">
    <w:name w:val="Table Text"/>
    <w:basedOn w:val="1"/>
    <w:semiHidden/>
    <w:qFormat/>
    <w:uiPriority w:val="0"/>
    <w:rPr>
      <w:rFonts w:ascii="宋体" w:hAnsi="宋体" w:eastAsia="宋体" w:cs="宋体"/>
      <w:sz w:val="19"/>
      <w:szCs w:val="19"/>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1212</Words>
  <Characters>1239</Characters>
  <Lines>0</Lines>
  <Paragraphs>0</Paragraphs>
  <TotalTime>4</TotalTime>
  <ScaleCrop>false</ScaleCrop>
  <LinksUpToDate>false</LinksUpToDate>
  <CharactersWithSpaces>1416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2026-01-24T02:04:00Z</cp:lastPrinted>
  <dcterms:modified xsi:type="dcterms:W3CDTF">2026-02-25T03:44:58Z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