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1"/>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2588C5F6">
            <w:pPr>
              <w:snapToGrid w:val="0"/>
              <w:spacing w:line="360" w:lineRule="auto"/>
              <w:rPr>
                <w:rFonts w:hint="default" w:hAnsi="宋体" w:eastAsiaTheme="minorEastAsia"/>
                <w:bCs/>
                <w:color w:val="000000"/>
                <w:sz w:val="24"/>
                <w:szCs w:val="24"/>
                <w:u w:val="single"/>
                <w:lang w:val="en-US" w:eastAsia="zh-CN"/>
              </w:rPr>
            </w:pPr>
            <w:r>
              <w:rPr>
                <w:rFonts w:hint="eastAsia" w:hAnsi="宋体"/>
                <w:bCs/>
                <w:color w:val="000000"/>
                <w:sz w:val="24"/>
                <w:szCs w:val="24"/>
                <w:lang w:val="en-US" w:eastAsia="zh-CN"/>
              </w:rPr>
              <w:t>费率</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u w:val="single"/>
                <w:lang w:val="en-US" w:eastAsia="zh-CN"/>
              </w:rPr>
              <w:t>%（</w:t>
            </w:r>
            <w:r>
              <w:rPr>
                <w:rFonts w:hint="eastAsia" w:hAnsi="宋体"/>
                <w:bCs/>
                <w:color w:val="000000"/>
                <w:sz w:val="24"/>
                <w:szCs w:val="24"/>
                <w:u w:val="none"/>
                <w:lang w:val="en-US" w:eastAsia="zh-CN"/>
              </w:rPr>
              <w:t>保留三位小数点）</w:t>
            </w:r>
          </w:p>
          <w:p w14:paraId="0AB7E180">
            <w:pPr>
              <w:snapToGrid w:val="0"/>
              <w:spacing w:line="360" w:lineRule="auto"/>
              <w:rPr>
                <w:rFonts w:hint="default" w:hAnsi="宋体" w:eastAsiaTheme="minorEastAsia"/>
                <w:b/>
                <w:color w:val="000000"/>
                <w:sz w:val="24"/>
                <w:szCs w:val="24"/>
                <w:u w:val="single"/>
                <w:lang w:val="en-US" w:eastAsia="zh-CN"/>
              </w:rPr>
            </w:pP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5D2A3081">
            <w:pPr>
              <w:spacing w:line="360" w:lineRule="auto"/>
              <w:rPr>
                <w:rFonts w:hint="default" w:hAnsi="宋体" w:eastAsia="宋体"/>
                <w:b/>
                <w:color w:val="000000"/>
                <w:sz w:val="24"/>
                <w:szCs w:val="24"/>
                <w:lang w:val="en-US" w:eastAsia="zh-CN"/>
              </w:rPr>
            </w:pPr>
            <w:r>
              <w:rPr>
                <w:rFonts w:hint="default" w:hAnsi="宋体" w:eastAsia="宋体"/>
                <w:b/>
                <w:color w:val="000000"/>
                <w:sz w:val="24"/>
                <w:szCs w:val="24"/>
                <w:lang w:val="en-US" w:eastAsia="zh-CN"/>
              </w:rPr>
              <w:t>工程预算价：2,863,685.11 元</w:t>
            </w:r>
          </w:p>
          <w:p w14:paraId="183067FF">
            <w:pPr>
              <w:spacing w:line="360" w:lineRule="auto"/>
              <w:rPr>
                <w:rFonts w:hint="default" w:hAnsi="宋体" w:eastAsia="宋体"/>
                <w:b/>
                <w:color w:val="000000"/>
                <w:sz w:val="24"/>
                <w:szCs w:val="24"/>
                <w:lang w:val="en-US" w:eastAsia="zh-CN"/>
              </w:rPr>
            </w:pPr>
            <w:r>
              <w:rPr>
                <w:rFonts w:hint="default" w:hAnsi="宋体" w:eastAsia="宋体"/>
                <w:b/>
                <w:color w:val="000000"/>
                <w:sz w:val="24"/>
                <w:szCs w:val="24"/>
                <w:lang w:val="en-US" w:eastAsia="zh-CN"/>
              </w:rPr>
              <w:t>监理费用预算价：56,848 元</w:t>
            </w:r>
          </w:p>
          <w:p w14:paraId="3313704D">
            <w:pPr>
              <w:spacing w:line="360" w:lineRule="auto"/>
              <w:rPr>
                <w:rFonts w:hint="default" w:hAnsi="宋体" w:eastAsia="宋体"/>
                <w:b/>
                <w:color w:val="000000"/>
                <w:sz w:val="24"/>
                <w:szCs w:val="24"/>
                <w:lang w:val="en-US" w:eastAsia="zh-CN"/>
              </w:rPr>
            </w:pPr>
            <w:r>
              <w:rPr>
                <w:rFonts w:hint="default" w:hAnsi="宋体" w:eastAsia="宋体"/>
                <w:b/>
                <w:color w:val="000000"/>
                <w:sz w:val="24"/>
                <w:szCs w:val="24"/>
                <w:lang w:val="en-US" w:eastAsia="zh-CN"/>
              </w:rPr>
              <w:t>本次监理费用的报价费率不得高于 1.985%，高于此费率报价无效。</w:t>
            </w:r>
          </w:p>
        </w:tc>
      </w:tr>
    </w:tbl>
    <w:p w14:paraId="174BB63A">
      <w:pPr>
        <w:snapToGrid w:val="0"/>
        <w:spacing w:line="360" w:lineRule="auto"/>
        <w:jc w:val="left"/>
        <w:rPr>
          <w:rFonts w:hint="eastAsia" w:hAnsi="宋体"/>
          <w:b/>
          <w:color w:val="000000"/>
          <w:sz w:val="24"/>
          <w:szCs w:val="24"/>
        </w:rPr>
      </w:pP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p w14:paraId="620C3DC0">
      <w:pPr>
        <w:adjustRightInd w:val="0"/>
        <w:snapToGrid w:val="0"/>
        <w:spacing w:line="360" w:lineRule="auto"/>
        <w:ind w:firstLine="420" w:firstLineChars="200"/>
        <w:rPr>
          <w:rFonts w:hAnsi="宋体"/>
          <w:b/>
          <w:bCs/>
          <w:color w:val="000000"/>
          <w:szCs w:val="28"/>
        </w:rPr>
      </w:pPr>
    </w:p>
    <w:p w14:paraId="3A734C15"/>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39E37D0">
      <w:pPr>
        <w:rPr>
          <w:rFonts w:hint="eastAsia"/>
          <w:lang w:eastAsia="zh-CN"/>
        </w:rPr>
      </w:pPr>
    </w:p>
    <w:p w14:paraId="07D71AF4">
      <w:pPr>
        <w:rPr>
          <w:rFonts w:hint="eastAsia"/>
          <w:lang w:eastAsia="zh-CN"/>
        </w:rPr>
      </w:pPr>
    </w:p>
    <w:p w14:paraId="6EAFCEB3">
      <w:pPr>
        <w:rPr>
          <w:sz w:val="24"/>
          <w:szCs w:val="24"/>
        </w:rPr>
      </w:pPr>
    </w:p>
    <w:p w14:paraId="4B8C4DA2">
      <w:pPr>
        <w:pStyle w:val="4"/>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Cs w:val="0"/>
          <w:sz w:val="24"/>
          <w:szCs w:val="24"/>
        </w:rPr>
      </w:pPr>
      <w:r>
        <w:rPr>
          <w:rFonts w:hint="eastAsia" w:ascii="宋体" w:hAnsi="宋体" w:eastAsia="宋体" w:cs="宋体"/>
          <w:bCs w:val="0"/>
          <w:sz w:val="24"/>
          <w:szCs w:val="24"/>
        </w:rPr>
        <w:t>项目概况</w:t>
      </w:r>
      <w:r>
        <w:rPr>
          <w:rFonts w:hint="eastAsia" w:ascii="宋体" w:hAnsi="宋体" w:eastAsia="宋体" w:cs="宋体"/>
          <w:bCs w:val="0"/>
          <w:sz w:val="24"/>
          <w:szCs w:val="24"/>
          <w:lang w:eastAsia="zh-CN"/>
        </w:rPr>
        <w:t>：</w:t>
      </w:r>
    </w:p>
    <w:p w14:paraId="7E508274">
      <w:pPr>
        <w:pStyle w:val="4"/>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合肥市轨道交通S1线经开区</w:t>
      </w:r>
      <w:r>
        <w:rPr>
          <w:rFonts w:hint="default" w:ascii="宋体" w:hAnsi="宋体" w:eastAsia="宋体" w:cs="宋体"/>
          <w:b w:val="0"/>
          <w:bCs w:val="0"/>
          <w:sz w:val="24"/>
          <w:szCs w:val="24"/>
          <w:lang w:val="en-US" w:eastAsia="zh-CN"/>
        </w:rPr>
        <w:t>航空产业园站、国际小镇站、T2航站楼站～航空产业园站区间风井、国际小镇站～科学中心站高架区间上跨沿湖路、宝教寺市政道路</w:t>
      </w:r>
      <w:r>
        <w:rPr>
          <w:rFonts w:hint="eastAsia" w:ascii="宋体" w:hAnsi="宋体" w:eastAsia="宋体" w:cs="宋体"/>
          <w:b w:val="0"/>
          <w:bCs w:val="0"/>
          <w:sz w:val="24"/>
          <w:szCs w:val="24"/>
          <w:lang w:val="en-US" w:eastAsia="zh-CN"/>
        </w:rPr>
        <w:t>红线范围内道路、站点绿化及部分市政恢复</w:t>
      </w:r>
      <w:r>
        <w:rPr>
          <w:rFonts w:hint="default" w:ascii="宋体" w:hAnsi="宋体" w:eastAsia="宋体" w:cs="宋体"/>
          <w:b w:val="0"/>
          <w:bCs w:val="0"/>
          <w:sz w:val="24"/>
          <w:szCs w:val="24"/>
          <w:lang w:val="en-US" w:eastAsia="zh-CN"/>
        </w:rPr>
        <w:t>工程</w:t>
      </w:r>
      <w:r>
        <w:rPr>
          <w:rFonts w:hint="eastAsia" w:ascii="宋体" w:hAnsi="宋体" w:eastAsia="宋体" w:cs="宋体"/>
          <w:b w:val="0"/>
          <w:bCs w:val="0"/>
          <w:sz w:val="24"/>
          <w:szCs w:val="24"/>
        </w:rPr>
        <w:t>。</w:t>
      </w:r>
    </w:p>
    <w:p w14:paraId="353A3313">
      <w:pPr>
        <w:pageBreakBefore w:val="0"/>
        <w:widowControl/>
        <w:numPr>
          <w:ilvl w:val="0"/>
          <w:numId w:val="2"/>
        </w:numPr>
        <w:kinsoku w:val="0"/>
        <w:wordWrap/>
        <w:overflowPunct/>
        <w:topLinePunct w:val="0"/>
        <w:autoSpaceDE w:val="0"/>
        <w:autoSpaceDN w:val="0"/>
        <w:bidi w:val="0"/>
        <w:adjustRightInd w:val="0"/>
        <w:snapToGrid w:val="0"/>
        <w:spacing w:line="360" w:lineRule="auto"/>
        <w:ind w:firstLine="0" w:firstLineChars="0"/>
        <w:textAlignment w:val="baseline"/>
        <w:rPr>
          <w:rFonts w:hint="eastAsia" w:eastAsia="宋体"/>
          <w:sz w:val="24"/>
          <w:szCs w:val="24"/>
          <w:lang w:val="en-US" w:eastAsia="zh-CN"/>
        </w:rPr>
      </w:pPr>
      <w:r>
        <w:rPr>
          <w:rFonts w:hint="eastAsia" w:eastAsia="宋体"/>
          <w:b/>
          <w:bCs/>
          <w:sz w:val="24"/>
          <w:szCs w:val="24"/>
          <w:lang w:val="en-US" w:eastAsia="zh-CN"/>
        </w:rPr>
        <w:t>付款方式：</w:t>
      </w:r>
    </w:p>
    <w:p w14:paraId="4A5DAE70">
      <w:pPr>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eastAsia="宋体"/>
          <w:sz w:val="24"/>
          <w:szCs w:val="24"/>
        </w:rPr>
      </w:pPr>
      <w:r>
        <w:rPr>
          <w:rFonts w:hint="eastAsia" w:eastAsia="宋体"/>
          <w:sz w:val="24"/>
          <w:szCs w:val="24"/>
          <w:lang w:val="en-US" w:eastAsia="zh-CN"/>
        </w:rPr>
        <w:t>工程竣工验收合格后，据实按审核确认已完成工程量造价（以中标价计价）乘以监理成交费率计算监理费，支付至该监理费的70%;养护期结束工程移交后一次性付至最终结算审计价的100%。</w:t>
      </w:r>
    </w:p>
    <w:p w14:paraId="01596588">
      <w:pPr>
        <w:pStyle w:val="4"/>
        <w:pageBreakBefore w:val="0"/>
        <w:widowControl/>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Cs w:val="0"/>
          <w:sz w:val="24"/>
          <w:szCs w:val="24"/>
        </w:rPr>
      </w:pPr>
      <w:r>
        <w:rPr>
          <w:rFonts w:hint="eastAsia" w:ascii="宋体" w:hAnsi="宋体" w:eastAsia="宋体" w:cs="宋体"/>
          <w:bCs w:val="0"/>
          <w:sz w:val="24"/>
          <w:szCs w:val="24"/>
          <w:lang w:val="en-US" w:eastAsia="zh-CN"/>
        </w:rPr>
        <w:t>三</w:t>
      </w:r>
      <w:r>
        <w:rPr>
          <w:rFonts w:hint="eastAsia" w:ascii="宋体" w:hAnsi="宋体" w:eastAsia="宋体" w:cs="宋体"/>
          <w:bCs w:val="0"/>
          <w:sz w:val="24"/>
          <w:szCs w:val="24"/>
        </w:rPr>
        <w:t>、服务需求</w:t>
      </w:r>
    </w:p>
    <w:p w14:paraId="780FCEFC">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szCs w:val="24"/>
          <w:lang w:eastAsia="zh-CN"/>
        </w:rPr>
      </w:pPr>
      <w:r>
        <w:rPr>
          <w:rFonts w:hint="eastAsia" w:ascii="宋体" w:hAnsi="宋体" w:eastAsia="宋体" w:cs="宋体"/>
          <w:bCs/>
          <w:sz w:val="24"/>
          <w:szCs w:val="24"/>
        </w:rPr>
        <w:t>监理工程师根据工程需要，驻地服务，做到工程施工时，监理必须在现场</w:t>
      </w:r>
      <w:r>
        <w:rPr>
          <w:rFonts w:hint="eastAsia" w:ascii="宋体" w:hAnsi="宋体" w:eastAsia="宋体" w:cs="宋体"/>
          <w:bCs/>
          <w:sz w:val="24"/>
          <w:szCs w:val="24"/>
          <w:lang w:eastAsia="zh-CN"/>
        </w:rPr>
        <w:t>。</w:t>
      </w:r>
    </w:p>
    <w:p w14:paraId="1D619795">
      <w:pPr>
        <w:pStyle w:val="4"/>
        <w:pageBreakBefore w:val="0"/>
        <w:widowControl/>
        <w:numPr>
          <w:numId w:val="0"/>
        </w:numPr>
        <w:kinsoku w:val="0"/>
        <w:wordWrap/>
        <w:overflowPunct/>
        <w:topLinePunct w:val="0"/>
        <w:autoSpaceDE w:val="0"/>
        <w:autoSpaceDN w:val="0"/>
        <w:bidi w:val="0"/>
        <w:adjustRightInd w:val="0"/>
        <w:snapToGrid w:val="0"/>
        <w:spacing w:before="0" w:after="0" w:line="360" w:lineRule="auto"/>
        <w:ind w:leftChars="0"/>
        <w:textAlignment w:val="baseline"/>
        <w:rPr>
          <w:rFonts w:hint="eastAsia" w:ascii="宋体" w:hAnsi="宋体" w:eastAsia="宋体" w:cs="宋体"/>
          <w:bCs w:val="0"/>
          <w:sz w:val="24"/>
          <w:szCs w:val="24"/>
          <w:lang w:eastAsia="zh-CN"/>
        </w:rPr>
      </w:pPr>
      <w:r>
        <w:rPr>
          <w:rFonts w:hint="eastAsia" w:ascii="宋体" w:hAnsi="宋体" w:eastAsia="宋体" w:cs="宋体"/>
          <w:bCs w:val="0"/>
          <w:sz w:val="24"/>
          <w:szCs w:val="24"/>
          <w:lang w:val="en-US" w:eastAsia="zh-CN"/>
        </w:rPr>
        <w:t>四、</w:t>
      </w:r>
      <w:r>
        <w:rPr>
          <w:rFonts w:hint="eastAsia" w:ascii="宋体" w:hAnsi="宋体" w:eastAsia="宋体" w:cs="宋体"/>
          <w:bCs w:val="0"/>
          <w:sz w:val="24"/>
          <w:szCs w:val="24"/>
        </w:rPr>
        <w:t>报价要求</w:t>
      </w:r>
      <w:r>
        <w:rPr>
          <w:rFonts w:hint="eastAsia" w:ascii="宋体" w:hAnsi="宋体" w:eastAsia="宋体" w:cs="宋体"/>
          <w:bCs w:val="0"/>
          <w:sz w:val="24"/>
          <w:szCs w:val="24"/>
          <w:lang w:eastAsia="zh-CN"/>
        </w:rPr>
        <w:t>：</w:t>
      </w:r>
    </w:p>
    <w:p w14:paraId="214B9416">
      <w:pPr>
        <w:pStyle w:val="4"/>
        <w:pageBreakBefore w:val="0"/>
        <w:widowControl/>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费率报价，综合评估法（平均费率），本次监理费用的报价费率不得高于 1.985%，高于此费率报价无效。</w:t>
      </w:r>
    </w:p>
    <w:p w14:paraId="3F16428F">
      <w:pPr>
        <w:pStyle w:val="4"/>
        <w:pageBreakBefore w:val="0"/>
        <w:widowControl/>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
          <w:bCs w:val="0"/>
          <w:sz w:val="24"/>
          <w:szCs w:val="24"/>
        </w:rPr>
      </w:pPr>
      <w:r>
        <w:rPr>
          <w:rFonts w:hint="eastAsia" w:ascii="宋体" w:hAnsi="宋体" w:eastAsia="宋体" w:cs="宋体"/>
          <w:b/>
          <w:bCs w:val="0"/>
          <w:sz w:val="24"/>
          <w:szCs w:val="24"/>
        </w:rPr>
        <w:t>五、其他要求</w:t>
      </w:r>
    </w:p>
    <w:p w14:paraId="3991B16F">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Times New Roman"/>
          <w:sz w:val="24"/>
          <w:szCs w:val="24"/>
        </w:rPr>
      </w:pPr>
      <w:r>
        <w:rPr>
          <w:rFonts w:hint="eastAsia" w:ascii="宋体" w:hAnsi="宋体" w:eastAsia="宋体" w:cs="Times New Roman"/>
          <w:sz w:val="24"/>
          <w:szCs w:val="24"/>
        </w:rPr>
        <w:t>总监理工程师1人（资格要求：市政公用工程专业国家级注册监理工程师职业资格），专业监理工程师</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名（市政公用工程）。</w:t>
      </w:r>
    </w:p>
    <w:p w14:paraId="757588F7">
      <w:pPr>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default" w:ascii="宋体" w:hAnsi="宋体" w:eastAsia="宋体" w:cs="Times New Roman"/>
          <w:sz w:val="24"/>
          <w:szCs w:val="24"/>
          <w:lang w:val="en-US" w:eastAsia="zh-CN"/>
        </w:rPr>
      </w:pPr>
      <w:r>
        <w:rPr>
          <w:rFonts w:hint="eastAsia" w:ascii="宋体" w:hAnsi="宋体" w:eastAsia="宋体" w:cs="Times New Roman"/>
          <w:b/>
          <w:bCs/>
          <w:sz w:val="24"/>
          <w:szCs w:val="24"/>
          <w:lang w:val="en-US" w:eastAsia="zh-CN"/>
        </w:rPr>
        <w:t>重要提示</w:t>
      </w:r>
      <w:r>
        <w:rPr>
          <w:rFonts w:hint="eastAsia" w:ascii="宋体" w:hAnsi="宋体" w:eastAsia="宋体" w:cs="Times New Roman"/>
          <w:sz w:val="24"/>
          <w:szCs w:val="24"/>
          <w:lang w:val="en-US" w:eastAsia="zh-CN"/>
        </w:rPr>
        <w:t>：</w:t>
      </w:r>
      <w:r>
        <w:rPr>
          <w:rFonts w:hint="eastAsia" w:ascii="Times New Roman" w:hAnsi="Times New Roman" w:eastAsia="宋体" w:cs="宋体"/>
          <w:bCs/>
          <w:color w:val="auto"/>
          <w:kern w:val="0"/>
          <w:sz w:val="24"/>
          <w:szCs w:val="24"/>
          <w:highlight w:val="none"/>
        </w:rPr>
        <w:t>合肥市轨道交通集团有限公司作为资金管理部门，合肥经济技术开发区公用事业发展有限公司为项目代建单位。项目资金由代建单位将资金申报、材料等盖章后提交合肥市轨道公司交通集团有限公司，合肥市轨道交通集团有限公司根据申报金额支付资金，发票由中标人开具给合肥市轨道交通集团有限公司</w:t>
      </w:r>
      <w:r>
        <w:rPr>
          <w:rFonts w:hint="eastAsia" w:ascii="Times New Roman" w:hAnsi="Times New Roman" w:eastAsia="宋体" w:cs="宋体"/>
          <w:bCs/>
          <w:color w:val="auto"/>
          <w:kern w:val="0"/>
          <w:sz w:val="24"/>
          <w:szCs w:val="24"/>
          <w:highlight w:val="none"/>
          <w:lang w:eastAsia="zh-CN"/>
        </w:rPr>
        <w:t>。</w:t>
      </w:r>
    </w:p>
    <w:p w14:paraId="6523E384">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p>
    <w:p w14:paraId="63162BA7">
      <w:pPr>
        <w:pageBreakBefore w:val="0"/>
        <w:widowControl/>
        <w:kinsoku w:val="0"/>
        <w:wordWrap/>
        <w:overflowPunct/>
        <w:topLinePunct w:val="0"/>
        <w:autoSpaceDE w:val="0"/>
        <w:autoSpaceDN w:val="0"/>
        <w:bidi w:val="0"/>
        <w:adjustRightInd w:val="0"/>
        <w:snapToGrid w:val="0"/>
        <w:spacing w:line="240" w:lineRule="auto"/>
        <w:ind w:firstLine="420" w:firstLineChars="150"/>
        <w:textAlignment w:val="baseline"/>
        <w:rPr>
          <w:rFonts w:hint="eastAsia" w:ascii="宋体" w:hAnsi="宋体" w:eastAsia="宋体"/>
          <w:sz w:val="28"/>
          <w:szCs w:val="24"/>
        </w:rPr>
      </w:pPr>
    </w:p>
    <w:p w14:paraId="2DE4E811">
      <w:pPr>
        <w:pageBreakBefore w:val="0"/>
        <w:widowControl/>
        <w:kinsoku w:val="0"/>
        <w:wordWrap/>
        <w:overflowPunct/>
        <w:topLinePunct w:val="0"/>
        <w:autoSpaceDE w:val="0"/>
        <w:autoSpaceDN w:val="0"/>
        <w:bidi w:val="0"/>
        <w:adjustRightInd w:val="0"/>
        <w:snapToGrid w:val="0"/>
        <w:spacing w:line="240" w:lineRule="auto"/>
        <w:textAlignment w:val="baseline"/>
        <w:rPr>
          <w:rFonts w:eastAsia="宋体"/>
          <w:sz w:val="28"/>
          <w:szCs w:val="24"/>
        </w:rPr>
      </w:pPr>
    </w:p>
    <w:p w14:paraId="2EE76EB9">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sz w:val="28"/>
        </w:rPr>
      </w:pPr>
      <w:bookmarkStart w:id="8" w:name="_GoBack"/>
      <w:bookmarkEnd w:id="8"/>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39A04"/>
    <w:multiLevelType w:val="singleLevel"/>
    <w:tmpl w:val="EA639A04"/>
    <w:lvl w:ilvl="0" w:tentative="0">
      <w:start w:val="1"/>
      <w:numFmt w:val="chineseCounting"/>
      <w:suff w:val="nothing"/>
      <w:lvlText w:val="%1、"/>
      <w:lvlJc w:val="left"/>
      <w:rPr>
        <w:rFonts w:hint="eastAsia"/>
      </w:rPr>
    </w:lvl>
  </w:abstractNum>
  <w:abstractNum w:abstractNumId="1">
    <w:nsid w:val="59280827"/>
    <w:multiLevelType w:val="singleLevel"/>
    <w:tmpl w:val="5928082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C170CB"/>
    <w:rsid w:val="03373831"/>
    <w:rsid w:val="03E2379C"/>
    <w:rsid w:val="04117BDE"/>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E3ABD"/>
    <w:rsid w:val="6A9E67F3"/>
    <w:rsid w:val="6B160A7F"/>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rPr>
  </w:style>
  <w:style w:type="paragraph" w:styleId="10">
    <w:name w:val="Body Text First Indent 2"/>
    <w:basedOn w:val="6"/>
    <w:qFormat/>
    <w:uiPriority w:val="0"/>
    <w:pPr>
      <w:ind w:left="420" w:firstLine="420"/>
    </w:pPr>
  </w:style>
  <w:style w:type="character" w:styleId="13">
    <w:name w:val="Strong"/>
    <w:basedOn w:val="12"/>
    <w:qFormat/>
    <w:uiPriority w:val="0"/>
    <w:rPr>
      <w:b/>
    </w:rPr>
  </w:style>
  <w:style w:type="paragraph" w:customStyle="1" w:styleId="14">
    <w:name w:val="xl31"/>
    <w:basedOn w:val="1"/>
    <w:qFormat/>
    <w:uiPriority w:val="0"/>
    <w:pPr>
      <w:widowControl/>
      <w:spacing w:before="100" w:beforeAutospacing="1" w:after="100" w:afterAutospacing="1"/>
      <w:jc w:val="center"/>
    </w:pPr>
    <w:rPr>
      <w:rFonts w:hAnsi="宋体"/>
      <w:b/>
      <w:bCs/>
      <w:sz w:val="28"/>
      <w:szCs w:val="28"/>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_Style 3"/>
    <w:basedOn w:val="1"/>
    <w:qFormat/>
    <w:uiPriority w:val="34"/>
    <w:pPr>
      <w:ind w:firstLine="420" w:firstLineChars="200"/>
    </w:pPr>
    <w:rPr>
      <w:rFonts w:ascii="Calibri" w:hAnsi="Calibri"/>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1824</Words>
  <Characters>1864</Characters>
  <Lines>0</Lines>
  <Paragraphs>0</Paragraphs>
  <TotalTime>1</TotalTime>
  <ScaleCrop>false</ScaleCrop>
  <LinksUpToDate>false</LinksUpToDate>
  <CharactersWithSpaces>2054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2026-02-25T03:19:35Z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