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0" w:leftChars="0" w:firstLine="0" w:firstLineChars="0"/>
        <w:rPr>
          <w:rFonts w:hAnsi="宋体"/>
          <w:b/>
          <w:bCs/>
          <w:color w:val="000000"/>
          <w:szCs w:val="28"/>
        </w:rPr>
      </w:pPr>
    </w:p>
    <w:p>
      <w:pPr>
        <w:pStyle w:val="17"/>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ascii="宋体" w:hAnsi="宋体" w:eastAsia="宋体" w:cs="@仿宋_GB2312"/>
          <w:b/>
          <w:color w:val="auto"/>
          <w:sz w:val="28"/>
          <w:szCs w:val="20"/>
          <w:highlight w:val="none"/>
        </w:rPr>
      </w:pPr>
      <w:r>
        <w:rPr>
          <w:rFonts w:hint="eastAsia" w:ascii="宋体" w:hAnsi="宋体" w:eastAsia="宋体" w:cs="@仿宋_GB2312"/>
          <w:b/>
          <w:color w:val="auto"/>
          <w:sz w:val="28"/>
          <w:szCs w:val="20"/>
          <w:highlight w:val="none"/>
        </w:rPr>
        <w:t>采购需求</w:t>
      </w:r>
    </w:p>
    <w:p>
      <w:pPr>
        <w:spacing w:line="360" w:lineRule="auto"/>
        <w:ind w:firstLine="435"/>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一、前附表</w:t>
      </w:r>
    </w:p>
    <w:tbl>
      <w:tblPr>
        <w:tblStyle w:val="18"/>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3784" w:type="pct"/>
            <w:noWrap w:val="0"/>
            <w:vAlign w:val="center"/>
          </w:tcPr>
          <w:p>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2026年</w:t>
            </w:r>
            <w:r>
              <w:rPr>
                <w:rFonts w:hint="eastAsia" w:ascii="宋体" w:hAnsi="宋体" w:eastAsia="宋体" w:cs="宋体"/>
                <w:bCs/>
                <w:color w:val="auto"/>
                <w:sz w:val="24"/>
                <w:szCs w:val="24"/>
                <w:highlight w:val="none"/>
                <w:lang w:eastAsia="zh-CN"/>
              </w:rPr>
              <w:t>明珠广场办公楼等项目消防设施检测、</w:t>
            </w:r>
            <w:r>
              <w:rPr>
                <w:rFonts w:hint="eastAsia" w:ascii="宋体" w:hAnsi="宋体" w:eastAsia="宋体" w:cs="宋体"/>
                <w:bCs/>
                <w:color w:val="auto"/>
                <w:sz w:val="24"/>
                <w:szCs w:val="24"/>
                <w:highlight w:val="none"/>
              </w:rPr>
              <w:t>维保</w:t>
            </w:r>
            <w:r>
              <w:rPr>
                <w:rFonts w:hint="eastAsia" w:ascii="宋体" w:hAnsi="宋体" w:eastAsia="宋体" w:cs="宋体"/>
                <w:bCs/>
                <w:color w:val="auto"/>
                <w:sz w:val="24"/>
                <w:szCs w:val="24"/>
                <w:highlight w:val="none"/>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项目预算</w:t>
            </w:r>
          </w:p>
        </w:tc>
        <w:tc>
          <w:tcPr>
            <w:tcW w:w="3784" w:type="pct"/>
            <w:noWrap w:val="0"/>
            <w:vAlign w:val="center"/>
          </w:tcPr>
          <w:p>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7.2179万元/年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tc>
        <w:tc>
          <w:tcPr>
            <w:tcW w:w="37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本项目主要为</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管理的</w:t>
            </w:r>
            <w:r>
              <w:rPr>
                <w:rFonts w:hint="eastAsia" w:ascii="宋体" w:hAnsi="宋体" w:eastAsia="宋体" w:cs="宋体"/>
                <w:bCs/>
                <w:color w:val="auto"/>
                <w:sz w:val="24"/>
                <w:szCs w:val="24"/>
                <w:highlight w:val="none"/>
                <w:lang w:eastAsia="zh-CN"/>
              </w:rPr>
              <w:t>明珠广场办公楼、海恒大厦</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合肥大学香怡社区、烟墩商业街</w:t>
            </w:r>
            <w:r>
              <w:rPr>
                <w:rFonts w:hint="eastAsia" w:ascii="宋体" w:hAnsi="宋体" w:eastAsia="宋体" w:cs="宋体"/>
                <w:bCs/>
                <w:color w:val="auto"/>
                <w:sz w:val="24"/>
                <w:szCs w:val="24"/>
                <w:highlight w:val="none"/>
              </w:rPr>
              <w:t>提供消防设施检测</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维保服务</w:t>
            </w:r>
            <w:r>
              <w:rPr>
                <w:rFonts w:hint="eastAsia" w:ascii="宋体" w:hAnsi="宋体" w:eastAsia="宋体" w:cs="宋体"/>
                <w:bCs/>
                <w:color w:val="auto"/>
                <w:sz w:val="24"/>
                <w:szCs w:val="24"/>
                <w:highlight w:val="none"/>
                <w:lang w:eastAsia="zh-CN"/>
              </w:rPr>
              <w:t>。</w:t>
            </w:r>
            <w:r>
              <w:rPr>
                <w:rFonts w:hint="eastAsia" w:ascii="宋体" w:hAnsi="宋体" w:eastAsia="宋体" w:cs="宋体"/>
                <w:kern w:val="2"/>
                <w:sz w:val="24"/>
                <w:szCs w:val="18"/>
                <w:highlight w:val="none"/>
                <w:lang w:val="en-US" w:eastAsia="zh-CN" w:bidi="ar-SA"/>
              </w:rPr>
              <w:t>合同期内如有物业项目退出，该处服务自动终止。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项目是否分包</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分包预算</w:t>
            </w:r>
          </w:p>
        </w:tc>
        <w:tc>
          <w:tcPr>
            <w:tcW w:w="3784" w:type="pct"/>
            <w:noWrap w:val="0"/>
            <w:vAlign w:val="center"/>
          </w:tcPr>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投标人资格要求</w:t>
            </w:r>
          </w:p>
        </w:tc>
        <w:tc>
          <w:tcPr>
            <w:tcW w:w="3784" w:type="pct"/>
            <w:noWrap w:val="0"/>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w:t>
            </w:r>
            <w:r>
              <w:rPr>
                <w:rFonts w:hint="eastAsia" w:ascii="宋体" w:hAnsi="宋体" w:eastAsia="宋体" w:cs="宋体"/>
                <w:color w:val="auto"/>
                <w:sz w:val="24"/>
                <w:szCs w:val="24"/>
                <w:highlight w:val="none"/>
                <w:lang w:val="en-US" w:eastAsia="zh-CN"/>
              </w:rPr>
              <w:t>消防设施维护保养检测、消防安全评估资质（符合应急〔2019〕88号《应急管理部关于印发〈消防技术服务机构从业条件〉的通知》规定，均须提供在社会消防技术服务信息系统中的备案截图）；</w:t>
            </w:r>
          </w:p>
          <w:p>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消防设施工程专业承包资质（提供省级住房和城乡建设厅颁发的资质复印件）。</w:t>
            </w:r>
          </w:p>
          <w:p>
            <w:pPr>
              <w:autoSpaceDE w:val="0"/>
              <w:autoSpaceDN w:val="0"/>
              <w:adjustRightInd w:val="0"/>
              <w:spacing w:line="360" w:lineRule="auto"/>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具有经中国国家认证认可监督管理委员会认可的认证机构颁发的有效的质量管理体系认证证书、环境管理体系认证证书、职业健康安全管理体系证书，提供证书复印件及全国认证认可信息公共服务平台官网认证信息查询截图。</w:t>
            </w:r>
          </w:p>
          <w:p>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2"/>
                <w:highlight w:val="none"/>
                <w:lang w:val="en-US" w:eastAsia="zh-CN"/>
              </w:rPr>
              <w:t>5.维保团队需有</w:t>
            </w:r>
            <w:r>
              <w:rPr>
                <w:rFonts w:hint="eastAsia" w:ascii="宋体" w:hAnsi="宋体" w:eastAsia="宋体" w:cs="宋体"/>
                <w:color w:val="auto"/>
                <w:sz w:val="24"/>
                <w:szCs w:val="24"/>
                <w:highlight w:val="none"/>
                <w:lang w:val="en-US" w:eastAsia="zh-CN"/>
              </w:rPr>
              <w:t>项目负责人、技术负责人各1人，均应具有</w:t>
            </w:r>
            <w:r>
              <w:rPr>
                <w:rFonts w:hint="eastAsia" w:ascii="宋体" w:hAnsi="宋体" w:eastAsia="宋体" w:cs="宋体"/>
                <w:color w:val="auto"/>
                <w:sz w:val="24"/>
                <w:szCs w:val="24"/>
                <w:highlight w:val="none"/>
              </w:rPr>
              <w:t>一级注册消防工程师证书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维保团队作业人员须具有</w:t>
            </w:r>
            <w:r>
              <w:rPr>
                <w:rFonts w:hint="eastAsia" w:ascii="宋体" w:hAnsi="宋体" w:eastAsia="宋体" w:cs="宋体"/>
                <w:color w:val="auto"/>
                <w:sz w:val="24"/>
                <w:szCs w:val="24"/>
                <w:highlight w:val="none"/>
                <w:lang w:val="en-US" w:eastAsia="zh-CN"/>
              </w:rPr>
              <w:t>中级消防员</w:t>
            </w:r>
            <w:r>
              <w:rPr>
                <w:rFonts w:hint="eastAsia" w:ascii="宋体" w:hAnsi="宋体" w:eastAsia="宋体" w:cs="宋体"/>
                <w:color w:val="auto"/>
                <w:sz w:val="24"/>
                <w:szCs w:val="24"/>
                <w:highlight w:val="none"/>
                <w:lang w:eastAsia="zh-CN"/>
              </w:rPr>
              <w:t>资格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均需提供证书</w:t>
            </w:r>
            <w:r>
              <w:rPr>
                <w:rFonts w:hint="eastAsia" w:ascii="宋体" w:hAnsi="宋体" w:eastAsia="宋体" w:cs="宋体"/>
                <w:b w:val="0"/>
                <w:bCs/>
                <w:color w:val="auto"/>
                <w:sz w:val="24"/>
                <w:szCs w:val="24"/>
                <w:highlight w:val="none"/>
              </w:rPr>
              <w:t>扫描件及投标人为上述人员缴纳的近</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个月内（任意连续3个月即可）社保证明材料扫描件</w:t>
            </w:r>
            <w:r>
              <w:rPr>
                <w:rFonts w:hint="eastAsia" w:ascii="宋体" w:hAnsi="宋体" w:eastAsia="宋体" w:cs="宋体"/>
                <w:color w:val="auto"/>
                <w:sz w:val="24"/>
                <w:szCs w:val="24"/>
                <w:highlight w:val="none"/>
                <w:lang w:val="en-US" w:eastAsia="zh-CN"/>
              </w:rPr>
              <w:t>〕。</w:t>
            </w:r>
          </w:p>
          <w:p>
            <w:pPr>
              <w:keepNext w:val="0"/>
              <w:keepLines w:val="0"/>
              <w:pageBreakBefore w:val="0"/>
              <w:kinsoku/>
              <w:overflowPunct/>
              <w:topLinePunct w:val="0"/>
              <w:bidi w:val="0"/>
              <w:spacing w:line="400" w:lineRule="exact"/>
              <w:textAlignment w:val="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2"/>
                <w:szCs w:val="21"/>
                <w:highlight w:val="none"/>
              </w:rPr>
              <w:t>自20</w:t>
            </w:r>
            <w:r>
              <w:rPr>
                <w:rFonts w:hint="eastAsia" w:ascii="宋体" w:hAnsi="宋体" w:eastAsia="宋体" w:cs="宋体"/>
                <w:color w:val="auto"/>
                <w:sz w:val="22"/>
                <w:szCs w:val="21"/>
                <w:highlight w:val="none"/>
                <w:lang w:val="en-US" w:eastAsia="zh-CN"/>
              </w:rPr>
              <w:t>23</w:t>
            </w:r>
            <w:r>
              <w:rPr>
                <w:rFonts w:hint="eastAsia" w:ascii="宋体" w:hAnsi="宋体" w:eastAsia="宋体" w:cs="宋体"/>
                <w:color w:val="auto"/>
                <w:sz w:val="22"/>
                <w:szCs w:val="21"/>
                <w:highlight w:val="none"/>
              </w:rPr>
              <w:t>年1月1日以来</w:t>
            </w:r>
            <w:r>
              <w:rPr>
                <w:rFonts w:hint="eastAsia" w:ascii="宋体" w:hAnsi="宋体" w:eastAsia="宋体" w:cs="宋体"/>
                <w:b w:val="0"/>
                <w:bCs/>
                <w:color w:val="auto"/>
                <w:sz w:val="22"/>
                <w:szCs w:val="21"/>
                <w:highlight w:val="none"/>
              </w:rPr>
              <w:t>（以合同签订时间为准）</w:t>
            </w:r>
            <w:r>
              <w:rPr>
                <w:rFonts w:hint="eastAsia" w:ascii="宋体" w:hAnsi="宋体" w:eastAsia="宋体" w:cs="宋体"/>
                <w:color w:val="auto"/>
                <w:sz w:val="22"/>
                <w:szCs w:val="21"/>
                <w:highlight w:val="none"/>
              </w:rPr>
              <w:t>，投标人具有</w:t>
            </w:r>
            <w:r>
              <w:rPr>
                <w:rFonts w:hint="eastAsia" w:ascii="宋体" w:hAnsi="宋体" w:eastAsia="宋体" w:cs="宋体"/>
                <w:color w:val="auto"/>
                <w:sz w:val="22"/>
                <w:szCs w:val="21"/>
                <w:highlight w:val="none"/>
                <w:lang w:eastAsia="zh-CN"/>
              </w:rPr>
              <w:t>：</w:t>
            </w:r>
          </w:p>
          <w:p>
            <w:pPr>
              <w:keepNext w:val="0"/>
              <w:keepLines w:val="0"/>
              <w:pageBreakBefore w:val="0"/>
              <w:kinsoku/>
              <w:overflowPunct/>
              <w:topLinePunct w:val="0"/>
              <w:bidi w:val="0"/>
              <w:spacing w:line="400" w:lineRule="exact"/>
              <w:textAlignment w:val="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1</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单</w:t>
            </w:r>
            <w:r>
              <w:rPr>
                <w:rFonts w:hint="eastAsia" w:ascii="宋体" w:hAnsi="宋体" w:eastAsia="宋体" w:cs="宋体"/>
                <w:color w:val="auto"/>
                <w:sz w:val="22"/>
                <w:szCs w:val="21"/>
                <w:highlight w:val="none"/>
                <w:lang w:eastAsia="zh-CN"/>
              </w:rPr>
              <w:t>个</w:t>
            </w:r>
            <w:r>
              <w:rPr>
                <w:rFonts w:hint="eastAsia" w:ascii="宋体" w:hAnsi="宋体" w:eastAsia="宋体" w:cs="宋体"/>
                <w:color w:val="auto"/>
                <w:sz w:val="22"/>
                <w:szCs w:val="21"/>
                <w:highlight w:val="none"/>
              </w:rPr>
              <w:t>合同金额</w:t>
            </w:r>
            <w:r>
              <w:rPr>
                <w:rFonts w:hint="eastAsia" w:ascii="宋体" w:hAnsi="宋体" w:eastAsia="宋体" w:cs="宋体"/>
                <w:color w:val="auto"/>
                <w:sz w:val="22"/>
                <w:szCs w:val="21"/>
                <w:highlight w:val="none"/>
                <w:lang w:val="en-US" w:eastAsia="zh-CN"/>
              </w:rPr>
              <w:t>1</w:t>
            </w:r>
            <w:r>
              <w:rPr>
                <w:rFonts w:hint="eastAsia" w:ascii="宋体" w:hAnsi="宋体" w:eastAsia="宋体" w:cs="宋体"/>
                <w:color w:val="auto"/>
                <w:sz w:val="22"/>
                <w:szCs w:val="21"/>
                <w:highlight w:val="none"/>
              </w:rPr>
              <w:t>0万</w:t>
            </w:r>
            <w:r>
              <w:rPr>
                <w:rFonts w:hint="eastAsia" w:ascii="宋体" w:hAnsi="宋体" w:eastAsia="宋体" w:cs="宋体"/>
                <w:color w:val="auto"/>
                <w:sz w:val="22"/>
                <w:szCs w:val="21"/>
                <w:highlight w:val="none"/>
                <w:lang w:eastAsia="zh-CN"/>
              </w:rPr>
              <w:t>元</w:t>
            </w:r>
            <w:r>
              <w:rPr>
                <w:rFonts w:hint="eastAsia" w:ascii="宋体" w:hAnsi="宋体" w:eastAsia="宋体" w:cs="宋体"/>
                <w:color w:val="auto"/>
                <w:sz w:val="22"/>
                <w:szCs w:val="21"/>
                <w:highlight w:val="none"/>
              </w:rPr>
              <w:t>以上消防维保业绩</w:t>
            </w:r>
          </w:p>
          <w:p>
            <w:pPr>
              <w:keepNext w:val="0"/>
              <w:keepLines w:val="0"/>
              <w:pageBreakBefore w:val="0"/>
              <w:kinsoku/>
              <w:overflowPunct/>
              <w:topLinePunct w:val="0"/>
              <w:bidi w:val="0"/>
              <w:spacing w:line="400" w:lineRule="exact"/>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单</w:t>
            </w:r>
            <w:r>
              <w:rPr>
                <w:rFonts w:hint="eastAsia" w:ascii="宋体" w:hAnsi="宋体" w:eastAsia="宋体" w:cs="宋体"/>
                <w:color w:val="auto"/>
                <w:sz w:val="22"/>
                <w:szCs w:val="21"/>
                <w:highlight w:val="none"/>
                <w:lang w:eastAsia="zh-CN"/>
              </w:rPr>
              <w:t>个</w:t>
            </w:r>
            <w:r>
              <w:rPr>
                <w:rFonts w:hint="eastAsia" w:ascii="宋体" w:hAnsi="宋体" w:eastAsia="宋体" w:cs="宋体"/>
                <w:color w:val="auto"/>
                <w:sz w:val="22"/>
                <w:szCs w:val="21"/>
                <w:highlight w:val="none"/>
              </w:rPr>
              <w:t>合同金额</w:t>
            </w:r>
            <w:r>
              <w:rPr>
                <w:rFonts w:hint="eastAsia" w:ascii="宋体" w:hAnsi="宋体" w:eastAsia="宋体" w:cs="宋体"/>
                <w:color w:val="auto"/>
                <w:sz w:val="22"/>
                <w:szCs w:val="21"/>
                <w:highlight w:val="none"/>
                <w:lang w:val="en-US" w:eastAsia="zh-CN"/>
              </w:rPr>
              <w:t>8</w:t>
            </w:r>
            <w:r>
              <w:rPr>
                <w:rFonts w:hint="eastAsia" w:ascii="宋体" w:hAnsi="宋体" w:eastAsia="宋体" w:cs="宋体"/>
                <w:color w:val="auto"/>
                <w:sz w:val="22"/>
                <w:szCs w:val="21"/>
                <w:highlight w:val="none"/>
              </w:rPr>
              <w:t>万元以上消防维修施工改造业绩</w:t>
            </w:r>
          </w:p>
          <w:p>
            <w:pPr>
              <w:autoSpaceDE w:val="0"/>
              <w:autoSpaceDN w:val="0"/>
              <w:adjustRightInd w:val="0"/>
              <w:spacing w:line="360"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单</w:t>
            </w:r>
            <w:r>
              <w:rPr>
                <w:rFonts w:hint="eastAsia" w:ascii="宋体" w:hAnsi="宋体" w:eastAsia="宋体" w:cs="宋体"/>
                <w:color w:val="auto"/>
                <w:sz w:val="22"/>
                <w:szCs w:val="21"/>
                <w:highlight w:val="none"/>
                <w:lang w:eastAsia="zh-CN"/>
              </w:rPr>
              <w:t>个</w:t>
            </w:r>
            <w:r>
              <w:rPr>
                <w:rFonts w:hint="eastAsia" w:ascii="宋体" w:hAnsi="宋体" w:eastAsia="宋体" w:cs="宋体"/>
                <w:color w:val="auto"/>
                <w:sz w:val="22"/>
                <w:szCs w:val="21"/>
                <w:highlight w:val="none"/>
              </w:rPr>
              <w:t>合同金额</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万元以上消防评估业绩</w:t>
            </w:r>
          </w:p>
          <w:p>
            <w:pPr>
              <w:autoSpaceDE w:val="0"/>
              <w:autoSpaceDN w:val="0"/>
              <w:adjustRightInd w:val="0"/>
              <w:spacing w:line="360" w:lineRule="auto"/>
              <w:jc w:val="left"/>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rPr>
              <w:t>正在履约中或已履约完成的项目业绩，均予以认可</w:t>
            </w:r>
            <w:r>
              <w:rPr>
                <w:rFonts w:hint="eastAsia" w:ascii="宋体" w:hAnsi="宋体" w:eastAsia="宋体" w:cs="宋体"/>
                <w:b w:val="0"/>
                <w:bCs/>
                <w:color w:val="auto"/>
                <w:sz w:val="22"/>
                <w:szCs w:val="21"/>
                <w:highlight w:val="none"/>
                <w:lang w:eastAsia="zh-CN"/>
              </w:rPr>
              <w:t>；</w:t>
            </w:r>
            <w:r>
              <w:rPr>
                <w:rFonts w:hint="eastAsia" w:ascii="宋体" w:hAnsi="宋体" w:eastAsia="宋体" w:cs="宋体"/>
                <w:b w:val="0"/>
                <w:bCs/>
                <w:color w:val="auto"/>
                <w:sz w:val="22"/>
                <w:szCs w:val="21"/>
                <w:highlight w:val="none"/>
              </w:rPr>
              <w:t>响应文件中提供业绩合同扫描件，若合同中无法体现投标人名称、合同签订时间、</w:t>
            </w:r>
            <w:r>
              <w:rPr>
                <w:rFonts w:hint="eastAsia" w:ascii="宋体" w:hAnsi="宋体" w:eastAsia="宋体" w:cs="宋体"/>
                <w:b w:val="0"/>
                <w:bCs/>
                <w:color w:val="auto"/>
                <w:sz w:val="22"/>
                <w:szCs w:val="21"/>
                <w:highlight w:val="none"/>
                <w:lang w:eastAsia="zh-CN"/>
              </w:rPr>
              <w:t>合同金额</w:t>
            </w:r>
            <w:r>
              <w:rPr>
                <w:rFonts w:hint="eastAsia" w:ascii="宋体" w:hAnsi="宋体" w:eastAsia="宋体" w:cs="宋体"/>
                <w:b w:val="0"/>
                <w:bCs/>
                <w:color w:val="auto"/>
                <w:sz w:val="22"/>
                <w:szCs w:val="21"/>
                <w:highlight w:val="none"/>
              </w:rPr>
              <w:t>等关键评审因素的，须另附业主单位 (或合同甲方)出具的相关证明材料扫描件（须加盖业主单位（合同甲方）公章）</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供应商存在以下不良信用记录情形之一的,不得推荐为中标候选供应商,不得确定为中标供应商：</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（1）供应商被人民法院列入失信被执行人的；</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（2）供应商被市场监督管理部门（含工商行政管理部门）列入企业经营异常名录的；</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（3）供应商被税务部门列入重大税收违法案件当事人名单的；</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付款方式</w:t>
            </w:r>
          </w:p>
        </w:tc>
        <w:tc>
          <w:tcPr>
            <w:tcW w:w="3784" w:type="pct"/>
            <w:noWrap w:val="0"/>
            <w:vAlign w:val="center"/>
          </w:tcPr>
          <w:p>
            <w:pPr>
              <w:numPr>
                <w:ilvl w:val="0"/>
                <w:numId w:val="0"/>
              </w:numPr>
              <w:autoSpaceDE w:val="0"/>
              <w:autoSpaceDN w:val="0"/>
              <w:adjustRightInd w:val="0"/>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1.服务费用按季度支付。采购人每月组织服务质量考核，根据考核结果和实际维保时间及实际维保面积据实结算，采购人于每季度首月支付上季度服务费用。</w:t>
            </w:r>
          </w:p>
          <w:p>
            <w:pPr>
              <w:numPr>
                <w:ilvl w:val="0"/>
                <w:numId w:val="0"/>
              </w:num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2.支付前，</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需开具</w:t>
            </w:r>
            <w:r>
              <w:rPr>
                <w:rFonts w:hint="eastAsia" w:ascii="宋体" w:hAnsi="宋体" w:eastAsia="宋体" w:cs="宋体"/>
                <w:bCs/>
                <w:color w:val="auto"/>
                <w:sz w:val="24"/>
                <w:szCs w:val="24"/>
                <w:highlight w:val="none"/>
                <w:lang w:val="en-US" w:eastAsia="zh-CN"/>
              </w:rPr>
              <w:t>对应金额</w:t>
            </w:r>
            <w:r>
              <w:rPr>
                <w:rFonts w:hint="eastAsia" w:ascii="宋体" w:hAnsi="宋体" w:eastAsia="宋体" w:cs="宋体"/>
                <w:bCs/>
                <w:color w:val="auto"/>
                <w:sz w:val="24"/>
                <w:szCs w:val="24"/>
                <w:highlight w:val="none"/>
              </w:rPr>
              <w:t>增值税专用发票。</w:t>
            </w:r>
          </w:p>
          <w:p>
            <w:pPr>
              <w:autoSpaceDE w:val="0"/>
              <w:autoSpaceDN w:val="0"/>
              <w:adjustRightIn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服务地点</w:t>
            </w:r>
          </w:p>
        </w:tc>
        <w:tc>
          <w:tcPr>
            <w:tcW w:w="3784" w:type="pct"/>
            <w:noWrap w:val="0"/>
            <w:vAlign w:val="center"/>
          </w:tcPr>
          <w:p>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服务期限（工期）</w:t>
            </w:r>
          </w:p>
        </w:tc>
        <w:tc>
          <w:tcPr>
            <w:tcW w:w="3784" w:type="pct"/>
            <w:noWrap w:val="0"/>
            <w:vAlign w:val="center"/>
          </w:tcPr>
          <w:p>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合同签订后一年。合同到期后，如考核合格，在年度预算能保证的前提下，经双方同意，可续签下一年度合同，且续签合同金额不变，最多续签2次，合同一年一签。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5"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是否专门面向</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w:t>
            </w:r>
          </w:p>
        </w:tc>
        <w:tc>
          <w:tcPr>
            <w:tcW w:w="3784" w:type="pct"/>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5"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是否接受联合体投标</w:t>
            </w:r>
          </w:p>
        </w:tc>
        <w:tc>
          <w:tcPr>
            <w:tcW w:w="3784" w:type="pct"/>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5" w:type="pct"/>
            <w:noWrap w:val="0"/>
            <w:vAlign w:val="center"/>
          </w:tcPr>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本地化服务</w:t>
            </w:r>
          </w:p>
        </w:tc>
        <w:tc>
          <w:tcPr>
            <w:tcW w:w="3784" w:type="pct"/>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本项目是否要求本地化服务能力：</w:t>
            </w:r>
            <w:r>
              <w:rPr>
                <w:rFonts w:hint="eastAsia" w:ascii="宋体" w:hAnsi="宋体" w:eastAsia="宋体" w:cs="宋体"/>
                <w:b/>
                <w:bCs/>
                <w:color w:val="auto"/>
                <w:sz w:val="24"/>
                <w:szCs w:val="24"/>
                <w:highlight w:val="none"/>
                <w:u w:val="none"/>
              </w:rPr>
              <w:sym w:font="Wingdings" w:char="00FE"/>
            </w:r>
            <w:r>
              <w:rPr>
                <w:rFonts w:hint="eastAsia" w:ascii="宋体" w:hAnsi="宋体" w:eastAsia="宋体" w:cs="宋体"/>
                <w:color w:val="auto"/>
                <w:sz w:val="24"/>
                <w:szCs w:val="24"/>
                <w:highlight w:val="none"/>
              </w:rPr>
              <w:t>要求□不要求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本地化服务的能力是指具有以下条件之一：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1）在本地具有固定的办公场所及人员；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2）在本地注册成立的；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3）承诺成交即设立本地化服务机构。</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备注：“本地”系指：合肥市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5"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履约保证金退还时间</w:t>
            </w:r>
          </w:p>
        </w:tc>
        <w:tc>
          <w:tcPr>
            <w:tcW w:w="3784" w:type="pct"/>
            <w:noWrap w:val="0"/>
            <w:vAlign w:val="center"/>
          </w:tcPr>
          <w:p>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1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拟采用的评标办法</w:t>
            </w:r>
          </w:p>
        </w:tc>
        <w:tc>
          <w:tcPr>
            <w:tcW w:w="3784" w:type="pct"/>
            <w:noWrap w:val="0"/>
            <w:vAlign w:val="center"/>
          </w:tcPr>
          <w:p>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平均价法</w:t>
            </w:r>
          </w:p>
        </w:tc>
      </w:tr>
    </w:tbl>
    <w:p>
      <w:pPr>
        <w:spacing w:line="360" w:lineRule="auto"/>
        <w:ind w:firstLine="435"/>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二、项目概况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1.项目情况：本项目主要为合肥经开区香怡物业管理的</w:t>
      </w:r>
      <w:r>
        <w:rPr>
          <w:rFonts w:hint="eastAsia" w:ascii="宋体" w:hAnsi="宋体" w:eastAsia="宋体" w:cs="宋体"/>
          <w:bCs/>
          <w:color w:val="auto"/>
          <w:sz w:val="24"/>
          <w:szCs w:val="24"/>
          <w:highlight w:val="none"/>
          <w:lang w:val="en-US" w:eastAsia="zh-CN"/>
        </w:rPr>
        <w:t>明珠广场办公楼、海恒大厦、合肥大学香怡社区、烟墩商业街</w:t>
      </w:r>
      <w:r>
        <w:rPr>
          <w:rFonts w:hint="eastAsia" w:ascii="宋体" w:hAnsi="宋体" w:eastAsia="宋体" w:cs="宋体"/>
          <w:bCs/>
          <w:color w:val="auto"/>
          <w:sz w:val="24"/>
          <w:szCs w:val="24"/>
          <w:highlight w:val="none"/>
        </w:rPr>
        <w:t>提供消防设施检测</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维保服务。</w:t>
      </w:r>
      <w:r>
        <w:rPr>
          <w:rFonts w:hint="eastAsia" w:ascii="宋体" w:hAnsi="宋体" w:eastAsia="宋体" w:cs="宋体"/>
          <w:kern w:val="2"/>
          <w:sz w:val="24"/>
          <w:szCs w:val="18"/>
          <w:highlight w:val="none"/>
          <w:lang w:val="en-US" w:eastAsia="zh-CN" w:bidi="ar-SA"/>
        </w:rPr>
        <w:t>合同期内如有物业项目退出，该处服务自动终止。</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投标人自行踏勘现场，以便投标人获得有关投标文件编制和签署合同所需的进一步的资料。投标人踏勘现场自行得出的结论和解释由其自己负责，采购人不因此承担任何责任。踏勘现场的交通、食宿等由投标人自行安排，费用自理。</w:t>
      </w:r>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勘探现场时间：</w:t>
      </w:r>
      <w:r>
        <w:rPr>
          <w:rFonts w:hint="eastAsia" w:ascii="宋体" w:hAnsi="宋体" w:eastAsia="宋体" w:cs="宋体"/>
          <w:bCs/>
          <w:color w:val="auto"/>
          <w:sz w:val="24"/>
          <w:szCs w:val="24"/>
          <w:highlight w:val="none"/>
          <w:lang w:val="en-US" w:eastAsia="zh-CN"/>
        </w:rPr>
        <w:t>工作日上午8点半至11点半，下午2点至5点半；</w:t>
      </w:r>
    </w:p>
    <w:p>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联系方式：明珠广场办公楼：</w:t>
      </w:r>
      <w:r>
        <w:rPr>
          <w:rFonts w:hint="eastAsia" w:ascii="宋体" w:hAnsi="宋体" w:eastAsia="宋体" w:cs="宋体"/>
          <w:bCs/>
          <w:color w:val="auto"/>
          <w:sz w:val="24"/>
          <w:szCs w:val="24"/>
          <w:highlight w:val="none"/>
          <w:lang w:val="en-US" w:eastAsia="zh-CN"/>
        </w:rPr>
        <w:t>周跃星13655515115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海恒大厦：周卫星13956941946；合肥大学香怡社区：施维松13485740480；烟墩商业街：孙自力13866131669。</w:t>
      </w:r>
    </w:p>
    <w:p>
      <w:pPr>
        <w:spacing w:line="360" w:lineRule="auto"/>
        <w:ind w:firstLine="482" w:firstLineChars="200"/>
        <w:rPr>
          <w:rFonts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rPr>
        <w:t>三、服务需求</w:t>
      </w:r>
    </w:p>
    <w:p>
      <w:pPr>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eastAsia="zh-CN"/>
        </w:rPr>
        <w:t>进场</w:t>
      </w:r>
      <w:r>
        <w:rPr>
          <w:rFonts w:hint="eastAsia" w:ascii="宋体" w:hAnsi="宋体" w:eastAsia="宋体" w:cs="宋体"/>
          <w:b/>
          <w:bCs w:val="0"/>
          <w:color w:val="auto"/>
          <w:sz w:val="24"/>
          <w:szCs w:val="24"/>
          <w:highlight w:val="none"/>
        </w:rPr>
        <w:t>检测要求</w:t>
      </w:r>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进场</w:t>
      </w:r>
      <w:r>
        <w:rPr>
          <w:rFonts w:hint="eastAsia" w:ascii="宋体" w:hAnsi="宋体" w:eastAsia="宋体" w:cs="宋体"/>
          <w:bCs/>
          <w:color w:val="auto"/>
          <w:sz w:val="24"/>
          <w:szCs w:val="24"/>
          <w:highlight w:val="none"/>
        </w:rPr>
        <w:t>检测要求：</w:t>
      </w:r>
      <w:r>
        <w:rPr>
          <w:rFonts w:hint="eastAsia" w:ascii="宋体" w:hAnsi="宋体" w:eastAsia="宋体" w:cs="宋体"/>
          <w:bCs/>
          <w:color w:val="auto"/>
          <w:sz w:val="24"/>
          <w:szCs w:val="24"/>
          <w:highlight w:val="none"/>
          <w:lang w:eastAsia="zh-CN"/>
        </w:rPr>
        <w:t>采购人按现状移交中标人进行维修、维护；中标人进场时</w:t>
      </w:r>
      <w:r>
        <w:rPr>
          <w:rFonts w:hint="eastAsia" w:ascii="宋体" w:hAnsi="宋体" w:eastAsia="宋体" w:cs="宋体"/>
          <w:bCs/>
          <w:color w:val="auto"/>
          <w:sz w:val="24"/>
          <w:szCs w:val="24"/>
          <w:highlight w:val="none"/>
        </w:rPr>
        <w:t>负责对</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建筑消防设施进行检测</w:t>
      </w:r>
      <w:r>
        <w:rPr>
          <w:rFonts w:hint="eastAsia" w:ascii="宋体" w:hAnsi="宋体" w:eastAsia="宋体" w:cs="宋体"/>
          <w:bCs/>
          <w:color w:val="auto"/>
          <w:sz w:val="24"/>
          <w:szCs w:val="24"/>
          <w:highlight w:val="none"/>
          <w:lang w:eastAsia="zh-CN"/>
        </w:rPr>
        <w:t>、维修、保养，确保消防设施设备符合规范使用标准并正常使用。</w:t>
      </w:r>
    </w:p>
    <w:p>
      <w:pPr>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2.日常</w:t>
      </w:r>
      <w:r>
        <w:rPr>
          <w:rFonts w:hint="eastAsia" w:ascii="宋体" w:hAnsi="宋体" w:eastAsia="宋体" w:cs="宋体"/>
          <w:b/>
          <w:bCs w:val="0"/>
          <w:color w:val="auto"/>
          <w:sz w:val="24"/>
          <w:szCs w:val="24"/>
          <w:highlight w:val="none"/>
        </w:rPr>
        <w:t>维护保养</w:t>
      </w:r>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中标人负责对</w:t>
      </w:r>
      <w:r>
        <w:rPr>
          <w:rFonts w:hint="eastAsia" w:ascii="宋体" w:hAnsi="宋体" w:eastAsia="宋体" w:cs="宋体"/>
          <w:bCs/>
          <w:color w:val="auto"/>
          <w:sz w:val="24"/>
          <w:szCs w:val="24"/>
          <w:highlight w:val="none"/>
        </w:rPr>
        <w:t>火灾自动报警系统、消防联动控制系统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自动喷</w:t>
      </w:r>
      <w:r>
        <w:rPr>
          <w:rFonts w:hint="eastAsia" w:ascii="宋体" w:hAnsi="宋体" w:eastAsia="宋体" w:cs="宋体"/>
          <w:bCs/>
          <w:color w:val="auto"/>
          <w:sz w:val="24"/>
          <w:szCs w:val="24"/>
          <w:highlight w:val="none"/>
          <w:lang w:eastAsia="zh-CN"/>
        </w:rPr>
        <w:t>水</w:t>
      </w:r>
      <w:r>
        <w:rPr>
          <w:rFonts w:hint="eastAsia" w:ascii="宋体" w:hAnsi="宋体" w:eastAsia="宋体" w:cs="宋体"/>
          <w:bCs/>
          <w:color w:val="auto"/>
          <w:sz w:val="24"/>
          <w:szCs w:val="24"/>
          <w:highlight w:val="none"/>
        </w:rPr>
        <w:t>灭火系统、消火栓系统、</w:t>
      </w:r>
      <w:r>
        <w:rPr>
          <w:rFonts w:hint="eastAsia" w:ascii="宋体" w:hAnsi="宋体" w:eastAsia="宋体" w:cs="宋体"/>
          <w:bCs/>
          <w:color w:val="auto"/>
          <w:sz w:val="24"/>
          <w:szCs w:val="24"/>
          <w:highlight w:val="none"/>
          <w:lang w:eastAsia="zh-CN"/>
        </w:rPr>
        <w:t>机械防排烟系统</w:t>
      </w:r>
      <w:r>
        <w:rPr>
          <w:rFonts w:hint="eastAsia" w:ascii="宋体" w:hAnsi="宋体" w:eastAsia="宋体" w:cs="宋体"/>
          <w:bCs/>
          <w:color w:val="auto"/>
          <w:sz w:val="24"/>
          <w:szCs w:val="24"/>
          <w:highlight w:val="none"/>
        </w:rPr>
        <w:t>、消防</w:t>
      </w:r>
      <w:r>
        <w:rPr>
          <w:rFonts w:hint="eastAsia" w:ascii="宋体" w:hAnsi="宋体" w:eastAsia="宋体" w:cs="宋体"/>
          <w:bCs/>
          <w:color w:val="auto"/>
          <w:sz w:val="24"/>
          <w:szCs w:val="24"/>
          <w:highlight w:val="none"/>
          <w:lang w:eastAsia="zh-CN"/>
        </w:rPr>
        <w:t>广播</w:t>
      </w:r>
      <w:r>
        <w:rPr>
          <w:rFonts w:hint="eastAsia" w:ascii="宋体" w:hAnsi="宋体" w:eastAsia="宋体" w:cs="宋体"/>
          <w:bCs/>
          <w:color w:val="auto"/>
          <w:sz w:val="24"/>
          <w:szCs w:val="24"/>
          <w:highlight w:val="none"/>
        </w:rPr>
        <w:t>、消防电话</w:t>
      </w:r>
      <w:r>
        <w:rPr>
          <w:rFonts w:hint="eastAsia" w:ascii="宋体" w:hAnsi="宋体" w:eastAsia="宋体" w:cs="宋体"/>
          <w:bCs/>
          <w:color w:val="auto"/>
          <w:sz w:val="24"/>
          <w:szCs w:val="24"/>
          <w:highlight w:val="none"/>
          <w:lang w:eastAsia="zh-CN"/>
        </w:rPr>
        <w:t>、防火分隔系统、</w:t>
      </w:r>
      <w:r>
        <w:rPr>
          <w:rFonts w:hint="eastAsia" w:ascii="宋体" w:hAnsi="宋体" w:eastAsia="宋体" w:cs="宋体"/>
          <w:bCs/>
          <w:color w:val="auto"/>
          <w:sz w:val="24"/>
          <w:szCs w:val="24"/>
          <w:highlight w:val="none"/>
        </w:rPr>
        <w:t>应急照明和疏散指示系统、气体灭火系统</w:t>
      </w:r>
      <w:r>
        <w:rPr>
          <w:rFonts w:hint="eastAsia" w:ascii="宋体" w:hAnsi="宋体" w:eastAsia="宋体" w:cs="宋体"/>
          <w:bCs/>
          <w:color w:val="auto"/>
          <w:sz w:val="24"/>
          <w:szCs w:val="24"/>
          <w:highlight w:val="none"/>
          <w:lang w:eastAsia="zh-CN"/>
        </w:rPr>
        <w:t>、电气火灾监控系统等进行检测、维保、维修，并提供月度、季度、年度各消防系统的测试报告。</w:t>
      </w:r>
    </w:p>
    <w:p>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消防供配电设施、强电电缆电线、各类电机及控制柜由</w:t>
      </w:r>
      <w:r>
        <w:rPr>
          <w:rFonts w:hint="eastAsia" w:ascii="宋体" w:hAnsi="宋体" w:eastAsia="宋体" w:cs="宋体"/>
          <w:bCs/>
          <w:color w:val="auto"/>
          <w:sz w:val="24"/>
          <w:szCs w:val="24"/>
          <w:highlight w:val="none"/>
          <w:lang w:val="en-US" w:eastAsia="zh-CN"/>
        </w:rPr>
        <w:t>中标人进行检查，采购人自行维修处置。</w:t>
      </w:r>
    </w:p>
    <w:p>
      <w:pPr>
        <w:spacing w:line="360" w:lineRule="auto"/>
        <w:ind w:firstLine="482" w:firstLineChars="20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3.维护保养模式</w:t>
      </w:r>
    </w:p>
    <w:p>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中标人按要求对采购人各消防系统进行消防设施维保检测，每月出具消防设施维护保养报告。设备更换及维修所需的材料、辅材费、人工费用等由中标人负责。</w:t>
      </w:r>
    </w:p>
    <w:p>
      <w:pPr>
        <w:spacing w:line="360" w:lineRule="auto"/>
        <w:ind w:firstLine="437"/>
        <w:rPr>
          <w:rFonts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rPr>
        <w:t>四、报价要求</w:t>
      </w:r>
    </w:p>
    <w:p>
      <w:pPr>
        <w:spacing w:line="360" w:lineRule="auto"/>
        <w:ind w:firstLine="437"/>
        <w:rPr>
          <w:rFonts w:hint="eastAsia" w:ascii="宋体" w:hAnsi="宋体" w:eastAsia="宋体" w:cs="@仿宋_GB2312"/>
          <w:b w:val="0"/>
          <w:bCs w:val="0"/>
          <w:color w:val="auto"/>
          <w:sz w:val="24"/>
          <w:szCs w:val="18"/>
          <w:highlight w:val="none"/>
          <w:lang w:eastAsia="zh-CN"/>
        </w:rPr>
      </w:pPr>
      <w:r>
        <w:rPr>
          <w:rFonts w:hint="eastAsia" w:ascii="宋体" w:hAnsi="宋体" w:eastAsia="宋体" w:cs="@仿宋_GB2312"/>
          <w:color w:val="auto"/>
          <w:sz w:val="24"/>
          <w:szCs w:val="18"/>
          <w:highlight w:val="none"/>
        </w:rPr>
        <w:t>1</w:t>
      </w:r>
      <w:r>
        <w:rPr>
          <w:rFonts w:hint="eastAsia" w:ascii="宋体" w:hAnsi="宋体" w:eastAsia="宋体" w:cs="@仿宋_GB2312"/>
          <w:color w:val="auto"/>
          <w:sz w:val="24"/>
          <w:szCs w:val="18"/>
          <w:highlight w:val="none"/>
          <w:lang w:val="en-US" w:eastAsia="zh-CN"/>
        </w:rPr>
        <w:t>.</w:t>
      </w:r>
      <w:r>
        <w:rPr>
          <w:rFonts w:hint="eastAsia" w:ascii="宋体" w:hAnsi="宋体" w:eastAsia="宋体" w:cs="@仿宋_GB2312"/>
          <w:color w:val="auto"/>
          <w:sz w:val="24"/>
          <w:szCs w:val="18"/>
          <w:highlight w:val="none"/>
        </w:rPr>
        <w:t>本项目</w:t>
      </w:r>
      <w:r>
        <w:rPr>
          <w:rFonts w:hint="eastAsia" w:ascii="宋体" w:hAnsi="宋体" w:eastAsia="宋体" w:cs="@仿宋_GB2312"/>
          <w:color w:val="auto"/>
          <w:sz w:val="24"/>
          <w:szCs w:val="18"/>
          <w:highlight w:val="none"/>
          <w:lang w:eastAsia="zh-CN"/>
        </w:rPr>
        <w:t>预算总价</w:t>
      </w:r>
      <w:r>
        <w:rPr>
          <w:rFonts w:hint="eastAsia" w:ascii="宋体" w:hAnsi="宋体" w:eastAsia="宋体" w:cs="@仿宋_GB2312"/>
          <w:color w:val="auto"/>
          <w:sz w:val="24"/>
          <w:szCs w:val="18"/>
          <w:highlight w:val="none"/>
        </w:rPr>
        <w:t>为</w:t>
      </w:r>
      <w:r>
        <w:rPr>
          <w:rFonts w:hint="eastAsia" w:ascii="宋体" w:hAnsi="宋体" w:eastAsia="宋体" w:cs="@仿宋_GB2312"/>
          <w:b/>
          <w:bCs/>
          <w:color w:val="auto"/>
          <w:sz w:val="24"/>
          <w:szCs w:val="18"/>
          <w:highlight w:val="none"/>
          <w:lang w:val="en-US" w:eastAsia="zh-CN"/>
        </w:rPr>
        <w:t>7.2179</w:t>
      </w:r>
      <w:r>
        <w:rPr>
          <w:rFonts w:hint="eastAsia" w:ascii="宋体" w:hAnsi="宋体" w:eastAsia="宋体" w:cs="@仿宋_GB2312"/>
          <w:b/>
          <w:bCs/>
          <w:color w:val="auto"/>
          <w:sz w:val="24"/>
          <w:szCs w:val="18"/>
          <w:highlight w:val="none"/>
        </w:rPr>
        <w:t>万元/年</w:t>
      </w:r>
      <w:r>
        <w:rPr>
          <w:rFonts w:hint="eastAsia" w:ascii="宋体" w:hAnsi="宋体" w:eastAsia="宋体" w:cs="@仿宋_GB2312"/>
          <w:b w:val="0"/>
          <w:bCs w:val="0"/>
          <w:color w:val="auto"/>
          <w:sz w:val="24"/>
          <w:szCs w:val="18"/>
          <w:highlight w:val="none"/>
          <w:lang w:eastAsia="zh-CN"/>
        </w:rPr>
        <w:t>。</w:t>
      </w:r>
      <w:r>
        <w:rPr>
          <w:rFonts w:hint="eastAsia" w:ascii="宋体" w:hAnsi="宋体" w:eastAsia="宋体"/>
          <w:b w:val="0"/>
          <w:bCs/>
          <w:sz w:val="24"/>
          <w:szCs w:val="18"/>
          <w:highlight w:val="none"/>
          <w:lang w:eastAsia="zh-CN"/>
        </w:rPr>
        <w:t>投标人按费率报价，最接近所有报价平均值的报价单位确定为中标人。报价单位</w:t>
      </w:r>
      <w:r>
        <w:rPr>
          <w:rFonts w:hint="eastAsia" w:ascii="宋体" w:hAnsi="宋体" w:eastAsia="宋体"/>
          <w:b w:val="0"/>
          <w:bCs/>
          <w:sz w:val="24"/>
          <w:szCs w:val="18"/>
          <w:highlight w:val="none"/>
        </w:rPr>
        <w:t>报价</w:t>
      </w:r>
      <w:r>
        <w:rPr>
          <w:rFonts w:hint="eastAsia" w:ascii="宋体" w:hAnsi="宋体" w:eastAsia="宋体"/>
          <w:b w:val="0"/>
          <w:bCs/>
          <w:sz w:val="24"/>
          <w:szCs w:val="18"/>
          <w:highlight w:val="none"/>
          <w:lang w:eastAsia="zh-CN"/>
        </w:rPr>
        <w:t>费率必须低于</w:t>
      </w:r>
      <w:r>
        <w:rPr>
          <w:rFonts w:hint="eastAsia" w:ascii="宋体" w:hAnsi="宋体" w:eastAsia="宋体"/>
          <w:b w:val="0"/>
          <w:bCs/>
          <w:sz w:val="24"/>
          <w:szCs w:val="18"/>
          <w:highlight w:val="none"/>
          <w:lang w:val="en-US" w:eastAsia="zh-CN"/>
        </w:rPr>
        <w:t>100%</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spacing w:line="360" w:lineRule="auto"/>
        <w:jc w:val="center"/>
        <w:rPr>
          <w:rFonts w:hint="eastAsia" w:ascii="宋体" w:hAnsi="宋体" w:eastAsia="宋体" w:cs="@仿宋_GB2312"/>
          <w:color w:val="auto"/>
          <w:sz w:val="24"/>
          <w:szCs w:val="18"/>
          <w:highlight w:val="none"/>
          <w:lang w:eastAsia="zh-CN"/>
        </w:rPr>
      </w:pPr>
      <w:r>
        <w:rPr>
          <w:rFonts w:hint="eastAsia" w:ascii="宋体" w:hAnsi="宋体" w:eastAsia="宋体" w:cs="@仿宋_GB2312"/>
          <w:color w:val="auto"/>
          <w:sz w:val="24"/>
          <w:szCs w:val="18"/>
          <w:highlight w:val="none"/>
          <w:lang w:eastAsia="zh-CN"/>
        </w:rPr>
        <w:t>基准价格</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65"/>
        <w:gridCol w:w="1477"/>
        <w:gridCol w:w="147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4" w:type="dxa"/>
            <w:noWrap w:val="0"/>
            <w:vAlign w:val="center"/>
          </w:tcPr>
          <w:p>
            <w:pPr>
              <w:spacing w:line="360" w:lineRule="auto"/>
              <w:jc w:val="center"/>
              <w:rPr>
                <w:rFonts w:hint="eastAsia" w:ascii="宋体" w:hAnsi="宋体" w:eastAsia="宋体" w:cs="宋体"/>
                <w:b/>
                <w:bCs/>
                <w:color w:val="auto"/>
                <w:sz w:val="28"/>
                <w:szCs w:val="24"/>
                <w:highlight w:val="none"/>
                <w:vertAlign w:val="baseline"/>
                <w:lang w:val="en-US" w:eastAsia="zh-CN"/>
              </w:rPr>
            </w:pPr>
            <w:r>
              <w:rPr>
                <w:rFonts w:hint="eastAsia" w:ascii="宋体" w:hAnsi="宋体" w:eastAsia="宋体" w:cs="宋体"/>
                <w:b/>
                <w:bCs/>
                <w:color w:val="auto"/>
                <w:sz w:val="28"/>
                <w:szCs w:val="24"/>
                <w:highlight w:val="none"/>
                <w:vertAlign w:val="baseline"/>
                <w:lang w:val="en-US" w:eastAsia="zh-CN"/>
              </w:rPr>
              <w:t>项目</w:t>
            </w:r>
          </w:p>
        </w:tc>
        <w:tc>
          <w:tcPr>
            <w:tcW w:w="1365" w:type="dxa"/>
            <w:noWrap w:val="0"/>
            <w:vAlign w:val="center"/>
          </w:tcPr>
          <w:p>
            <w:pPr>
              <w:spacing w:line="360" w:lineRule="auto"/>
              <w:jc w:val="center"/>
              <w:rPr>
                <w:rFonts w:hint="eastAsia" w:ascii="宋体" w:hAnsi="宋体" w:eastAsia="宋体" w:cs="宋体"/>
                <w:b/>
                <w:bCs/>
                <w:color w:val="auto"/>
                <w:sz w:val="28"/>
                <w:szCs w:val="24"/>
                <w:highlight w:val="none"/>
                <w:vertAlign w:val="baseline"/>
                <w:lang w:val="en-US" w:eastAsia="zh-CN"/>
              </w:rPr>
            </w:pPr>
            <w:r>
              <w:rPr>
                <w:rFonts w:hint="eastAsia" w:ascii="宋体" w:hAnsi="宋体" w:eastAsia="宋体" w:cs="宋体"/>
                <w:b/>
                <w:bCs/>
                <w:color w:val="auto"/>
                <w:sz w:val="28"/>
                <w:szCs w:val="24"/>
                <w:highlight w:val="none"/>
                <w:vertAlign w:val="baseline"/>
                <w:lang w:val="en-US" w:eastAsia="zh-CN"/>
              </w:rPr>
              <w:t>面积（</w:t>
            </w:r>
            <w:r>
              <w:rPr>
                <w:rFonts w:hint="eastAsia" w:ascii="宋体" w:hAnsi="宋体" w:eastAsia="宋体" w:cs="@仿宋_GB2312"/>
                <w:b/>
                <w:bCs/>
                <w:color w:val="auto"/>
                <w:sz w:val="28"/>
                <w:szCs w:val="20"/>
                <w:highlight w:val="none"/>
                <w:lang w:val="en-US" w:eastAsia="zh-CN"/>
              </w:rPr>
              <w:t>㎡</w:t>
            </w:r>
            <w:r>
              <w:rPr>
                <w:rFonts w:hint="eastAsia" w:ascii="宋体" w:hAnsi="宋体" w:eastAsia="宋体" w:cs="宋体"/>
                <w:b/>
                <w:bCs/>
                <w:color w:val="auto"/>
                <w:sz w:val="28"/>
                <w:szCs w:val="24"/>
                <w:highlight w:val="none"/>
                <w:vertAlign w:val="baseline"/>
                <w:lang w:val="en-US" w:eastAsia="zh-CN"/>
              </w:rPr>
              <w:t>）</w:t>
            </w:r>
          </w:p>
        </w:tc>
        <w:tc>
          <w:tcPr>
            <w:tcW w:w="1477" w:type="dxa"/>
            <w:noWrap w:val="0"/>
            <w:vAlign w:val="center"/>
          </w:tcPr>
          <w:p>
            <w:pPr>
              <w:spacing w:line="240" w:lineRule="auto"/>
              <w:jc w:val="center"/>
              <w:rPr>
                <w:rFonts w:hint="default" w:ascii="宋体" w:hAnsi="宋体" w:eastAsia="宋体" w:cs="宋体"/>
                <w:b/>
                <w:bCs/>
                <w:color w:val="auto"/>
                <w:sz w:val="28"/>
                <w:szCs w:val="24"/>
                <w:highlight w:val="none"/>
                <w:vertAlign w:val="baseline"/>
                <w:lang w:val="en-US" w:eastAsia="zh-CN"/>
              </w:rPr>
            </w:pPr>
            <w:r>
              <w:rPr>
                <w:rFonts w:hint="eastAsia" w:ascii="宋体" w:hAnsi="宋体" w:eastAsia="宋体" w:cs="宋体"/>
                <w:b/>
                <w:bCs/>
                <w:color w:val="auto"/>
                <w:sz w:val="28"/>
                <w:szCs w:val="24"/>
                <w:highlight w:val="none"/>
                <w:vertAlign w:val="baseline"/>
                <w:lang w:val="en-US" w:eastAsia="zh-CN"/>
              </w:rPr>
              <w:t>预估单价（元/㎡）</w:t>
            </w:r>
          </w:p>
        </w:tc>
        <w:tc>
          <w:tcPr>
            <w:tcW w:w="1477" w:type="dxa"/>
            <w:noWrap w:val="0"/>
            <w:vAlign w:val="center"/>
          </w:tcPr>
          <w:p>
            <w:pPr>
              <w:spacing w:line="240" w:lineRule="auto"/>
              <w:jc w:val="center"/>
              <w:rPr>
                <w:rFonts w:hint="eastAsia" w:ascii="宋体" w:hAnsi="宋体" w:eastAsia="宋体" w:cs="宋体"/>
                <w:b/>
                <w:bCs/>
                <w:color w:val="auto"/>
                <w:sz w:val="28"/>
                <w:szCs w:val="24"/>
                <w:highlight w:val="none"/>
                <w:vertAlign w:val="baseline"/>
                <w:lang w:val="en-US" w:eastAsia="zh-CN"/>
              </w:rPr>
            </w:pPr>
            <w:r>
              <w:rPr>
                <w:rFonts w:hint="eastAsia" w:ascii="宋体" w:hAnsi="宋体" w:eastAsia="宋体" w:cs="宋体"/>
                <w:b/>
                <w:bCs/>
                <w:color w:val="auto"/>
                <w:sz w:val="28"/>
                <w:szCs w:val="24"/>
                <w:highlight w:val="none"/>
                <w:vertAlign w:val="baseline"/>
                <w:lang w:val="en-US" w:eastAsia="zh-CN"/>
              </w:rPr>
              <w:t>预估总价（元/年）</w:t>
            </w:r>
          </w:p>
        </w:tc>
        <w:tc>
          <w:tcPr>
            <w:tcW w:w="2616" w:type="dxa"/>
            <w:noWrap w:val="0"/>
            <w:vAlign w:val="center"/>
          </w:tcPr>
          <w:p>
            <w:pPr>
              <w:spacing w:line="360" w:lineRule="auto"/>
              <w:jc w:val="center"/>
              <w:rPr>
                <w:rFonts w:hint="eastAsia" w:ascii="宋体" w:hAnsi="宋体" w:eastAsia="宋体" w:cs="宋体"/>
                <w:b/>
                <w:bCs/>
                <w:color w:val="auto"/>
                <w:sz w:val="28"/>
                <w:szCs w:val="24"/>
                <w:highlight w:val="none"/>
                <w:vertAlign w:val="baseline"/>
                <w:lang w:val="en-US" w:eastAsia="zh-CN"/>
              </w:rPr>
            </w:pPr>
            <w:r>
              <w:rPr>
                <w:rFonts w:hint="eastAsia" w:ascii="宋体" w:hAnsi="宋体" w:eastAsia="宋体" w:cs="宋体"/>
                <w:b/>
                <w:bCs/>
                <w:color w:val="auto"/>
                <w:sz w:val="28"/>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8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海恒大厦</w:t>
            </w:r>
          </w:p>
        </w:tc>
        <w:tc>
          <w:tcPr>
            <w:tcW w:w="1365" w:type="dxa"/>
            <w:shd w:val="clear" w:color="auto" w:fill="auto"/>
            <w:noWrap w:val="0"/>
            <w:vAlign w:val="center"/>
          </w:tcPr>
          <w:p>
            <w:pPr>
              <w:spacing w:line="360" w:lineRule="auto"/>
              <w:jc w:val="center"/>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23373.2</w:t>
            </w:r>
          </w:p>
        </w:tc>
        <w:tc>
          <w:tcPr>
            <w:tcW w:w="1477" w:type="dxa"/>
            <w:vMerge w:val="restart"/>
            <w:shd w:val="clear" w:color="auto" w:fill="auto"/>
            <w:noWrap w:val="0"/>
            <w:vAlign w:val="center"/>
          </w:tcPr>
          <w:p>
            <w:pPr>
              <w:spacing w:line="360" w:lineRule="auto"/>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0.56</w:t>
            </w:r>
          </w:p>
          <w:p>
            <w:pPr>
              <w:spacing w:line="360" w:lineRule="auto"/>
              <w:jc w:val="center"/>
              <w:rPr>
                <w:rFonts w:hint="default" w:ascii="宋体" w:hAnsi="宋体" w:eastAsia="宋体" w:cs="宋体"/>
                <w:color w:val="auto"/>
                <w:sz w:val="24"/>
                <w:highlight w:val="none"/>
                <w:vertAlign w:val="baseline"/>
                <w:lang w:val="en-US" w:eastAsia="zh-CN"/>
              </w:rPr>
            </w:pPr>
          </w:p>
        </w:tc>
        <w:tc>
          <w:tcPr>
            <w:tcW w:w="1477" w:type="dxa"/>
            <w:shd w:val="clear" w:color="auto" w:fill="auto"/>
            <w:noWrap w:val="0"/>
            <w:vAlign w:val="center"/>
          </w:tcPr>
          <w:p>
            <w:pPr>
              <w:spacing w:line="360" w:lineRule="auto"/>
              <w:jc w:val="center"/>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13088.99</w:t>
            </w:r>
          </w:p>
        </w:tc>
        <w:tc>
          <w:tcPr>
            <w:tcW w:w="2616" w:type="dxa"/>
            <w:vMerge w:val="restart"/>
            <w:noWrap w:val="0"/>
            <w:vAlign w:val="center"/>
          </w:tcPr>
          <w:p>
            <w:pPr>
              <w:numPr>
                <w:ilvl w:val="0"/>
                <w:numId w:val="0"/>
              </w:numPr>
              <w:spacing w:line="240" w:lineRule="auto"/>
              <w:rPr>
                <w:rFonts w:hint="default" w:ascii="宋体" w:hAnsi="宋体" w:eastAsia="宋体" w:cs="@仿宋_GB2312"/>
                <w:color w:val="auto"/>
                <w:sz w:val="24"/>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84" w:type="dxa"/>
            <w:shd w:val="clear" w:color="auto" w:fill="auto"/>
            <w:noWrap w:val="0"/>
            <w:vAlign w:val="center"/>
          </w:tcPr>
          <w:p>
            <w:pPr>
              <w:spacing w:line="360" w:lineRule="auto"/>
              <w:jc w:val="center"/>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烟墩商业街</w:t>
            </w:r>
          </w:p>
        </w:tc>
        <w:tc>
          <w:tcPr>
            <w:tcW w:w="1365" w:type="dxa"/>
            <w:shd w:val="clear" w:color="auto" w:fill="auto"/>
            <w:noWrap w:val="0"/>
            <w:vAlign w:val="center"/>
          </w:tcPr>
          <w:p>
            <w:pPr>
              <w:spacing w:line="360" w:lineRule="auto"/>
              <w:jc w:val="center"/>
              <w:rPr>
                <w:rFonts w:hint="default"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30281</w:t>
            </w:r>
          </w:p>
        </w:tc>
        <w:tc>
          <w:tcPr>
            <w:tcW w:w="1477" w:type="dxa"/>
            <w:vMerge w:val="continue"/>
            <w:tcBorders/>
            <w:shd w:val="clear" w:color="auto" w:fill="auto"/>
            <w:noWrap w:val="0"/>
            <w:vAlign w:val="center"/>
          </w:tcPr>
          <w:p>
            <w:pPr>
              <w:spacing w:line="360" w:lineRule="auto"/>
              <w:jc w:val="center"/>
              <w:rPr>
                <w:rFonts w:hint="default" w:ascii="宋体" w:hAnsi="宋体" w:eastAsia="宋体" w:cs="宋体"/>
                <w:color w:val="auto"/>
                <w:sz w:val="24"/>
                <w:highlight w:val="none"/>
                <w:vertAlign w:val="baseline"/>
                <w:lang w:val="en-US" w:eastAsia="zh-CN"/>
              </w:rPr>
            </w:pPr>
          </w:p>
        </w:tc>
        <w:tc>
          <w:tcPr>
            <w:tcW w:w="1477" w:type="dxa"/>
            <w:shd w:val="clear" w:color="auto" w:fill="auto"/>
            <w:noWrap w:val="0"/>
            <w:vAlign w:val="center"/>
          </w:tcPr>
          <w:p>
            <w:pPr>
              <w:spacing w:line="360" w:lineRule="auto"/>
              <w:jc w:val="center"/>
              <w:rPr>
                <w:rFonts w:hint="default"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16957.36</w:t>
            </w:r>
          </w:p>
        </w:tc>
        <w:tc>
          <w:tcPr>
            <w:tcW w:w="2616" w:type="dxa"/>
            <w:vMerge w:val="continue"/>
            <w:noWrap w:val="0"/>
            <w:vAlign w:val="center"/>
          </w:tcPr>
          <w:p>
            <w:pPr>
              <w:spacing w:line="360" w:lineRule="auto"/>
              <w:jc w:val="center"/>
              <w:rPr>
                <w:rFonts w:hint="eastAsia" w:ascii="宋体" w:hAnsi="宋体" w:eastAsia="宋体" w:cs="宋体"/>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84" w:type="dxa"/>
            <w:shd w:val="clear" w:color="auto" w:fill="auto"/>
            <w:noWrap w:val="0"/>
            <w:vAlign w:val="center"/>
          </w:tcPr>
          <w:p>
            <w:pPr>
              <w:spacing w:line="240" w:lineRule="auto"/>
              <w:jc w:val="center"/>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合肥大学香怡社区</w:t>
            </w:r>
          </w:p>
        </w:tc>
        <w:tc>
          <w:tcPr>
            <w:tcW w:w="1365" w:type="dxa"/>
            <w:shd w:val="clear" w:color="auto" w:fill="auto"/>
            <w:noWrap w:val="0"/>
            <w:vAlign w:val="center"/>
          </w:tcPr>
          <w:p>
            <w:pPr>
              <w:spacing w:line="360" w:lineRule="auto"/>
              <w:jc w:val="center"/>
              <w:rPr>
                <w:rFonts w:hint="default"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67159.5</w:t>
            </w:r>
          </w:p>
        </w:tc>
        <w:tc>
          <w:tcPr>
            <w:tcW w:w="1477" w:type="dxa"/>
            <w:vMerge w:val="continue"/>
            <w:tcBorders/>
            <w:shd w:val="clear" w:color="auto" w:fill="auto"/>
            <w:noWrap w:val="0"/>
            <w:vAlign w:val="center"/>
          </w:tcPr>
          <w:p>
            <w:pPr>
              <w:spacing w:line="360" w:lineRule="auto"/>
              <w:jc w:val="center"/>
              <w:rPr>
                <w:rFonts w:hint="default" w:ascii="宋体" w:hAnsi="宋体" w:eastAsia="宋体" w:cs="宋体"/>
                <w:color w:val="auto"/>
                <w:sz w:val="24"/>
                <w:highlight w:val="none"/>
                <w:vertAlign w:val="baseline"/>
                <w:lang w:val="en-US" w:eastAsia="zh-CN"/>
              </w:rPr>
            </w:pPr>
          </w:p>
        </w:tc>
        <w:tc>
          <w:tcPr>
            <w:tcW w:w="1477" w:type="dxa"/>
            <w:shd w:val="clear" w:color="auto" w:fill="auto"/>
            <w:noWrap w:val="0"/>
            <w:vAlign w:val="center"/>
          </w:tcPr>
          <w:p>
            <w:pPr>
              <w:spacing w:line="360" w:lineRule="auto"/>
              <w:jc w:val="center"/>
              <w:rPr>
                <w:rFonts w:hint="default"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37609.32</w:t>
            </w:r>
          </w:p>
        </w:tc>
        <w:tc>
          <w:tcPr>
            <w:tcW w:w="2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合同签订后维保面积为49543.28㎡；2027年 3月1日起维保面积为67159.5㎡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8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明珠广场办公楼</w:t>
            </w:r>
          </w:p>
        </w:tc>
        <w:tc>
          <w:tcPr>
            <w:tcW w:w="1365" w:type="dxa"/>
            <w:shd w:val="clear" w:color="auto" w:fill="auto"/>
            <w:noWrap w:val="0"/>
            <w:vAlign w:val="center"/>
          </w:tcPr>
          <w:p>
            <w:pPr>
              <w:spacing w:line="360" w:lineRule="auto"/>
              <w:jc w:val="center"/>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8077.9</w:t>
            </w:r>
          </w:p>
        </w:tc>
        <w:tc>
          <w:tcPr>
            <w:tcW w:w="1477" w:type="dxa"/>
            <w:vMerge w:val="continue"/>
            <w:tcBorders/>
            <w:shd w:val="clear" w:color="auto" w:fill="auto"/>
            <w:noWrap w:val="0"/>
            <w:vAlign w:val="center"/>
          </w:tcPr>
          <w:p>
            <w:pPr>
              <w:spacing w:line="360" w:lineRule="auto"/>
              <w:jc w:val="center"/>
              <w:rPr>
                <w:rFonts w:hint="default" w:ascii="宋体" w:hAnsi="宋体" w:eastAsia="宋体" w:cs="宋体"/>
                <w:color w:val="auto"/>
                <w:sz w:val="24"/>
                <w:highlight w:val="none"/>
                <w:vertAlign w:val="baseline"/>
                <w:lang w:val="en-US" w:eastAsia="zh-CN"/>
              </w:rPr>
            </w:pPr>
          </w:p>
        </w:tc>
        <w:tc>
          <w:tcPr>
            <w:tcW w:w="1477" w:type="dxa"/>
            <w:shd w:val="clear" w:color="auto" w:fill="auto"/>
            <w:noWrap w:val="0"/>
            <w:vAlign w:val="center"/>
          </w:tcPr>
          <w:p>
            <w:pPr>
              <w:spacing w:line="360" w:lineRule="auto"/>
              <w:jc w:val="center"/>
              <w:rPr>
                <w:rFonts w:hint="eastAsia" w:ascii="宋体" w:hAnsi="宋体" w:eastAsia="宋体" w:cs="宋体"/>
                <w:color w:val="auto"/>
                <w:kern w:val="2"/>
                <w:sz w:val="24"/>
                <w:szCs w:val="22"/>
                <w:highlight w:val="none"/>
                <w:vertAlign w:val="baseline"/>
                <w:lang w:val="en-US" w:eastAsia="zh-CN" w:bidi="ar-SA"/>
              </w:rPr>
            </w:pPr>
            <w:r>
              <w:rPr>
                <w:rFonts w:hint="eastAsia" w:ascii="宋体" w:hAnsi="宋体" w:eastAsia="宋体" w:cs="宋体"/>
                <w:color w:val="auto"/>
                <w:sz w:val="24"/>
                <w:highlight w:val="none"/>
                <w:vertAlign w:val="baseline"/>
                <w:lang w:val="en-US" w:eastAsia="zh-CN"/>
              </w:rPr>
              <w:t>4523.62</w:t>
            </w:r>
          </w:p>
        </w:tc>
        <w:tc>
          <w:tcPr>
            <w:tcW w:w="26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84" w:type="dxa"/>
            <w:noWrap w:val="0"/>
            <w:vAlign w:val="center"/>
          </w:tcPr>
          <w:p>
            <w:pPr>
              <w:spacing w:line="360" w:lineRule="auto"/>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b/>
                <w:bCs/>
                <w:color w:val="auto"/>
                <w:sz w:val="28"/>
                <w:szCs w:val="24"/>
                <w:highlight w:val="none"/>
                <w:vertAlign w:val="baseline"/>
                <w:lang w:val="en-US" w:eastAsia="zh-CN"/>
              </w:rPr>
              <w:t>合计</w:t>
            </w:r>
          </w:p>
        </w:tc>
        <w:tc>
          <w:tcPr>
            <w:tcW w:w="1365" w:type="dxa"/>
            <w:noWrap w:val="0"/>
            <w:vAlign w:val="center"/>
          </w:tcPr>
          <w:p>
            <w:p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128891.6</w:t>
            </w:r>
          </w:p>
        </w:tc>
        <w:tc>
          <w:tcPr>
            <w:tcW w:w="1477" w:type="dxa"/>
            <w:noWrap w:val="0"/>
            <w:vAlign w:val="center"/>
          </w:tcPr>
          <w:p>
            <w:pPr>
              <w:spacing w:line="360" w:lineRule="auto"/>
              <w:jc w:val="center"/>
              <w:rPr>
                <w:rFonts w:hint="eastAsia" w:ascii="宋体" w:hAnsi="宋体" w:eastAsia="宋体" w:cs="宋体"/>
                <w:color w:val="auto"/>
                <w:sz w:val="24"/>
                <w:highlight w:val="none"/>
                <w:vertAlign w:val="baseline"/>
                <w:lang w:val="en-US" w:eastAsia="zh-CN"/>
              </w:rPr>
            </w:pPr>
          </w:p>
        </w:tc>
        <w:tc>
          <w:tcPr>
            <w:tcW w:w="1477" w:type="dxa"/>
            <w:noWrap w:val="0"/>
            <w:vAlign w:val="center"/>
          </w:tcPr>
          <w:p>
            <w:p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72179.29</w:t>
            </w:r>
          </w:p>
        </w:tc>
        <w:tc>
          <w:tcPr>
            <w:tcW w:w="2616" w:type="dxa"/>
            <w:noWrap w:val="0"/>
            <w:vAlign w:val="center"/>
          </w:tcPr>
          <w:p>
            <w:pPr>
              <w:spacing w:line="360" w:lineRule="auto"/>
              <w:jc w:val="center"/>
              <w:rPr>
                <w:rFonts w:hint="eastAsia" w:ascii="宋体" w:hAnsi="宋体" w:eastAsia="宋体" w:cs="宋体"/>
                <w:color w:val="auto"/>
                <w:sz w:val="24"/>
                <w:highlight w:val="none"/>
                <w:vertAlign w:val="baseline"/>
                <w:lang w:val="en-US" w:eastAsia="zh-CN"/>
              </w:rPr>
            </w:pPr>
          </w:p>
        </w:tc>
      </w:tr>
    </w:tbl>
    <w:p>
      <w:pPr>
        <w:spacing w:line="360" w:lineRule="auto"/>
        <w:ind w:firstLine="437"/>
        <w:rPr>
          <w:rFonts w:hint="eastAsia" w:ascii="宋体" w:hAnsi="宋体" w:eastAsia="宋体" w:cs="@仿宋_GB2312"/>
          <w:color w:val="auto"/>
          <w:sz w:val="24"/>
          <w:szCs w:val="18"/>
          <w:highlight w:val="none"/>
          <w:lang w:val="en-US" w:eastAsia="zh-CN"/>
        </w:rPr>
      </w:pPr>
      <w:r>
        <w:rPr>
          <w:rFonts w:hint="eastAsia" w:ascii="宋体" w:hAnsi="宋体" w:eastAsia="宋体" w:cs="@仿宋_GB2312"/>
          <w:b/>
          <w:bCs/>
          <w:color w:val="auto"/>
          <w:sz w:val="24"/>
          <w:szCs w:val="18"/>
          <w:highlight w:val="none"/>
          <w:lang w:val="en-US" w:eastAsia="zh-CN"/>
        </w:rPr>
        <w:t>说明：</w:t>
      </w:r>
      <w:r>
        <w:rPr>
          <w:rFonts w:hint="eastAsia" w:ascii="宋体" w:hAnsi="宋体" w:eastAsia="宋体" w:cs="@仿宋_GB2312"/>
          <w:b w:val="0"/>
          <w:bCs w:val="0"/>
          <w:color w:val="auto"/>
          <w:sz w:val="24"/>
          <w:szCs w:val="18"/>
          <w:highlight w:val="none"/>
          <w:lang w:val="en-US" w:eastAsia="zh-CN"/>
        </w:rPr>
        <w:t>合同期内需维保12次，每月1次。</w:t>
      </w:r>
      <w:r>
        <w:rPr>
          <w:rFonts w:hint="eastAsia" w:ascii="宋体" w:hAnsi="宋体" w:eastAsia="宋体" w:cs="@仿宋_GB2312"/>
          <w:color w:val="auto"/>
          <w:sz w:val="24"/>
          <w:szCs w:val="18"/>
          <w:highlight w:val="none"/>
          <w:lang w:val="en-US" w:eastAsia="zh-CN"/>
        </w:rPr>
        <w:t>维保费用依据实际维保次数和实际维保面积据实结算。</w:t>
      </w:r>
    </w:p>
    <w:p>
      <w:pPr>
        <w:spacing w:line="360" w:lineRule="auto"/>
        <w:ind w:firstLine="437"/>
        <w:rPr>
          <w:rFonts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lang w:val="en-US" w:eastAsia="zh-CN"/>
        </w:rPr>
        <w:t>2</w:t>
      </w:r>
      <w:r>
        <w:rPr>
          <w:rFonts w:hint="eastAsia" w:ascii="宋体" w:hAnsi="宋体" w:eastAsia="宋体" w:cs="@仿宋_GB2312"/>
          <w:color w:val="auto"/>
          <w:sz w:val="24"/>
          <w:szCs w:val="18"/>
          <w:highlight w:val="none"/>
        </w:rPr>
        <w:t>.</w:t>
      </w:r>
      <w:r>
        <w:rPr>
          <w:rFonts w:hint="eastAsia" w:ascii="宋体" w:hAnsi="宋体" w:eastAsia="宋体" w:cs="@仿宋_GB2312"/>
          <w:color w:val="auto"/>
          <w:sz w:val="24"/>
          <w:szCs w:val="18"/>
          <w:highlight w:val="none"/>
          <w:lang w:eastAsia="zh-CN"/>
        </w:rPr>
        <w:t>上述基准价格</w:t>
      </w:r>
      <w:r>
        <w:rPr>
          <w:rFonts w:hint="eastAsia" w:ascii="宋体" w:hAnsi="宋体" w:eastAsia="宋体" w:cs="@仿宋_GB2312"/>
          <w:color w:val="auto"/>
          <w:sz w:val="24"/>
          <w:szCs w:val="18"/>
          <w:highlight w:val="none"/>
        </w:rPr>
        <w:t>包含维保人员工资、管理费、施工费、交通费、通讯费、福利、社保、劳保费、利润、服务费、合同期内的责任险费用、税费、检验检测费、年检费</w:t>
      </w:r>
      <w:r>
        <w:rPr>
          <w:rFonts w:hint="eastAsia" w:ascii="宋体" w:hAnsi="宋体" w:eastAsia="宋体" w:cs="@仿宋_GB2312"/>
          <w:color w:val="auto"/>
          <w:sz w:val="24"/>
          <w:szCs w:val="18"/>
          <w:highlight w:val="none"/>
          <w:lang w:eastAsia="zh-CN"/>
        </w:rPr>
        <w:t>、</w:t>
      </w:r>
      <w:r>
        <w:rPr>
          <w:rFonts w:hint="eastAsia" w:ascii="宋体" w:hAnsi="宋体" w:eastAsia="宋体" w:cs="@仿宋_GB2312"/>
          <w:color w:val="auto"/>
          <w:sz w:val="24"/>
          <w:szCs w:val="18"/>
          <w:highlight w:val="none"/>
        </w:rPr>
        <w:t>维修费、</w:t>
      </w:r>
      <w:r>
        <w:rPr>
          <w:rFonts w:hint="eastAsia" w:ascii="宋体" w:hAnsi="宋体" w:eastAsia="宋体" w:cs="@仿宋_GB2312"/>
          <w:color w:val="auto"/>
          <w:sz w:val="24"/>
          <w:szCs w:val="18"/>
          <w:highlight w:val="none"/>
          <w:lang w:eastAsia="zh-CN"/>
        </w:rPr>
        <w:t>设备损坏更换费用（包含主机、配件）</w:t>
      </w:r>
      <w:r>
        <w:rPr>
          <w:rFonts w:hint="eastAsia" w:ascii="宋体" w:hAnsi="宋体" w:eastAsia="宋体" w:cs="@仿宋_GB2312"/>
          <w:color w:val="auto"/>
          <w:sz w:val="24"/>
          <w:szCs w:val="18"/>
          <w:highlight w:val="none"/>
        </w:rPr>
        <w:t>等一切费用。</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lang w:val="en-US" w:eastAsia="zh-CN"/>
        </w:rPr>
        <w:t>3</w:t>
      </w:r>
      <w:r>
        <w:rPr>
          <w:rFonts w:hint="eastAsia" w:hAnsi="宋体" w:eastAsia="宋体" w:cs="@仿宋_GB2312"/>
          <w:color w:val="auto"/>
          <w:sz w:val="24"/>
          <w:szCs w:val="18"/>
          <w:highlight w:val="none"/>
        </w:rPr>
        <w:t>.中标</w:t>
      </w:r>
      <w:r>
        <w:rPr>
          <w:rFonts w:hint="eastAsia" w:hAnsi="宋体" w:eastAsia="宋体" w:cs="@仿宋_GB2312"/>
          <w:color w:val="auto"/>
          <w:sz w:val="24"/>
          <w:szCs w:val="18"/>
          <w:highlight w:val="none"/>
          <w:lang w:val="en-US" w:eastAsia="zh-CN"/>
        </w:rPr>
        <w:t>费率</w:t>
      </w:r>
      <w:r>
        <w:rPr>
          <w:rFonts w:hint="eastAsia" w:hAnsi="宋体" w:eastAsia="宋体" w:cs="@仿宋_GB2312"/>
          <w:color w:val="auto"/>
          <w:sz w:val="24"/>
          <w:szCs w:val="18"/>
          <w:highlight w:val="none"/>
        </w:rPr>
        <w:t>在中标后的合同期内保持不变，即不因市场价格或政策性价格的调整而增减。请投标人报价时综合考虑，合理报价。投标人应自行踏勘现场，</w:t>
      </w:r>
      <w:r>
        <w:rPr>
          <w:rFonts w:hint="eastAsia" w:hAnsi="宋体" w:eastAsia="宋体" w:cs="@仿宋_GB2312"/>
          <w:color w:val="auto"/>
          <w:sz w:val="24"/>
          <w:szCs w:val="18"/>
          <w:highlight w:val="none"/>
          <w:lang w:eastAsia="zh-CN"/>
        </w:rPr>
        <w:t>避免</w:t>
      </w:r>
      <w:r>
        <w:rPr>
          <w:rFonts w:hint="eastAsia" w:hAnsi="宋体" w:eastAsia="宋体" w:cs="@仿宋_GB2312"/>
          <w:color w:val="auto"/>
          <w:sz w:val="24"/>
          <w:szCs w:val="18"/>
          <w:highlight w:val="none"/>
        </w:rPr>
        <w:t>导致中标后无法兑现服务。</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lang w:val="en-US" w:eastAsia="zh-CN"/>
        </w:rPr>
        <w:t>4</w:t>
      </w:r>
      <w:r>
        <w:rPr>
          <w:rFonts w:hint="eastAsia" w:hAnsi="宋体" w:eastAsia="宋体" w:cs="@仿宋_GB2312"/>
          <w:color w:val="auto"/>
          <w:sz w:val="24"/>
          <w:szCs w:val="18"/>
          <w:highlight w:val="none"/>
        </w:rPr>
        <w:t>.中标人应按合肥市行业主管部门的规定办理相关手续。</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lang w:val="en-US" w:eastAsia="zh-CN"/>
        </w:rPr>
        <w:t>5</w:t>
      </w:r>
      <w:r>
        <w:rPr>
          <w:rFonts w:hint="eastAsia" w:hAnsi="宋体" w:eastAsia="宋体" w:cs="@仿宋_GB2312"/>
          <w:color w:val="auto"/>
          <w:sz w:val="24"/>
          <w:szCs w:val="18"/>
          <w:highlight w:val="none"/>
        </w:rPr>
        <w:t>.中标人须为本项目购买安全责任险，保险费用包含在报价总价中，</w:t>
      </w:r>
      <w:r>
        <w:rPr>
          <w:rFonts w:hint="eastAsia" w:hAnsi="宋体" w:eastAsia="宋体" w:cs="@仿宋_GB2312"/>
          <w:color w:val="auto"/>
          <w:sz w:val="24"/>
          <w:szCs w:val="18"/>
          <w:highlight w:val="none"/>
          <w:lang w:eastAsia="zh-CN"/>
        </w:rPr>
        <w:t>采购</w:t>
      </w:r>
      <w:r>
        <w:rPr>
          <w:rFonts w:hint="eastAsia" w:hAnsi="宋体" w:eastAsia="宋体" w:cs="@仿宋_GB2312"/>
          <w:color w:val="auto"/>
          <w:sz w:val="24"/>
          <w:szCs w:val="18"/>
          <w:highlight w:val="none"/>
        </w:rPr>
        <w:t>人不再另行支付保险费用，请投标人充分考虑相关风险并进行合理报价。</w:t>
      </w:r>
    </w:p>
    <w:p>
      <w:pPr>
        <w:spacing w:line="360" w:lineRule="auto"/>
        <w:ind w:firstLine="482" w:firstLineChars="200"/>
        <w:rPr>
          <w:rFonts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rPr>
        <w:t>五、其他要求</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1.定期检查、保养各种消防设施，及时进行维修工作，保障消防系统处于无故障状态，且满足消防规范要求。</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2.发现有故障后应及时维修或更换。</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3.向采购人提供详细的月、季、年维护保养计划、保养记录以及维修记录，所有材料提交纸质文档，双方负责人签字后交采购人存档。</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4.在巡检过程中，发现有消防隐患或者其他影响消防安全的问题，中标人应及时消除。</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5.当接到采购人故障报告后，中标人专业维保人员立即赶到现场维修，非工作时间2小时内需到故障现场进行维修工作，24小时内排除故障，如现场无备件，应待备件到场后24小时内排除故障。</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6.维护保养所需的工具、检测仪器及其他必备物品中标人自备。</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7.若维保期间中标人没有及时维修导致消防设施没有发挥其功能，造成消防事故，给采购人造成损失，中标人赔偿损失并承担法律责任。</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8.采购人提供的图纸和技术资料中标人有保密义务，不得对第三方泄露，否则采购人有权要求中标人赔偿损失。</w:t>
      </w:r>
    </w:p>
    <w:p>
      <w:pPr>
        <w:pStyle w:val="8"/>
        <w:wordWrap w:val="0"/>
        <w:spacing w:line="360" w:lineRule="auto"/>
        <w:ind w:firstLine="480" w:firstLineChars="200"/>
        <w:rPr>
          <w:rFonts w:hint="eastAsia" w:hAnsi="宋体" w:eastAsia="宋体" w:cs="@仿宋_GB2312"/>
          <w:color w:val="auto"/>
          <w:sz w:val="24"/>
          <w:szCs w:val="18"/>
          <w:highlight w:val="none"/>
          <w:lang w:val="en-US" w:eastAsia="zh-CN"/>
        </w:rPr>
      </w:pPr>
      <w:r>
        <w:rPr>
          <w:rFonts w:hint="eastAsia" w:hAnsi="宋体" w:eastAsia="宋体" w:cs="@仿宋_GB2312"/>
          <w:color w:val="auto"/>
          <w:sz w:val="24"/>
          <w:szCs w:val="18"/>
          <w:highlight w:val="none"/>
          <w:lang w:val="en-US" w:eastAsia="zh-CN"/>
        </w:rPr>
        <w:t>9.中标人需根据各项目管理处特点和实际需求，编写下列材料：</w:t>
      </w:r>
    </w:p>
    <w:p>
      <w:pPr>
        <w:pStyle w:val="8"/>
        <w:wordWrap w:val="0"/>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仿宋_GB2312"/>
          <w:color w:val="auto"/>
          <w:sz w:val="24"/>
          <w:szCs w:val="24"/>
          <w:highlight w:val="none"/>
          <w:lang w:val="en-US" w:eastAsia="zh-CN"/>
        </w:rPr>
        <w:t>（1）</w:t>
      </w:r>
      <w:r>
        <w:rPr>
          <w:rFonts w:hint="eastAsia" w:ascii="宋体" w:hAnsi="宋体" w:eastAsia="宋体" w:cs="宋体"/>
          <w:color w:val="auto"/>
          <w:sz w:val="24"/>
          <w:szCs w:val="24"/>
          <w:highlight w:val="none"/>
        </w:rPr>
        <w:t>项目分析报告，内容包括但不限于：项目现场状况、</w:t>
      </w:r>
      <w:r>
        <w:rPr>
          <w:rFonts w:hint="eastAsia" w:ascii="宋体" w:hAnsi="宋体" w:eastAsia="宋体" w:cs="宋体"/>
          <w:color w:val="auto"/>
          <w:sz w:val="24"/>
          <w:szCs w:val="24"/>
          <w:highlight w:val="none"/>
          <w:lang w:eastAsia="zh-CN"/>
        </w:rPr>
        <w:t>消防设备</w:t>
      </w:r>
      <w:r>
        <w:rPr>
          <w:rFonts w:hint="eastAsia" w:ascii="宋体" w:hAnsi="宋体" w:eastAsia="宋体" w:cs="宋体"/>
          <w:color w:val="auto"/>
          <w:sz w:val="24"/>
          <w:szCs w:val="24"/>
          <w:highlight w:val="none"/>
        </w:rPr>
        <w:t>运行状况、重难点分析、服务愿景等主要方面。</w:t>
      </w:r>
    </w:p>
    <w:p>
      <w:pPr>
        <w:pStyle w:val="8"/>
        <w:wordWrap w:val="0"/>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2</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明确的服务方案、工作流程等。</w:t>
      </w:r>
    </w:p>
    <w:p>
      <w:pPr>
        <w:pStyle w:val="8"/>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3</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明确的消防隐患管理及处置流程、沟通反馈机制、消防维保档案管理及要求等</w:t>
      </w:r>
    </w:p>
    <w:p>
      <w:pPr>
        <w:pStyle w:val="8"/>
        <w:wordWrap w:val="0"/>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4</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消防维保过程中应急抢修方案，</w:t>
      </w:r>
      <w:r>
        <w:rPr>
          <w:rFonts w:hint="eastAsia" w:ascii="宋体" w:hAnsi="宋体" w:eastAsia="宋体" w:cs="宋体"/>
          <w:color w:val="auto"/>
          <w:sz w:val="24"/>
          <w:szCs w:val="24"/>
          <w:highlight w:val="none"/>
          <w:lang w:eastAsia="zh-CN"/>
        </w:rPr>
        <w:t>明确</w:t>
      </w:r>
      <w:r>
        <w:rPr>
          <w:rFonts w:hint="eastAsia" w:ascii="宋体" w:hAnsi="宋体" w:eastAsia="宋体" w:cs="宋体"/>
          <w:color w:val="auto"/>
          <w:sz w:val="24"/>
          <w:szCs w:val="24"/>
          <w:highlight w:val="none"/>
        </w:rPr>
        <w:t>反应时效，处理质量。</w:t>
      </w:r>
    </w:p>
    <w:p>
      <w:pPr>
        <w:pStyle w:val="8"/>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5</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日常消防维保过程中工作安全、质量、进度的保障方案</w:t>
      </w:r>
      <w:r>
        <w:rPr>
          <w:rFonts w:hint="eastAsia" w:ascii="宋体" w:hAnsi="宋体" w:eastAsia="宋体" w:cs="宋体"/>
          <w:color w:val="auto"/>
          <w:sz w:val="24"/>
          <w:szCs w:val="24"/>
          <w:highlight w:val="none"/>
          <w:lang w:eastAsia="zh-CN"/>
        </w:rPr>
        <w:t>。</w:t>
      </w:r>
    </w:p>
    <w:p>
      <w:pPr>
        <w:pStyle w:val="8"/>
        <w:wordWrap w:val="0"/>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6</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重大活动、接待、检查等事项期间人力组织措施方案和现场管理方案</w:t>
      </w:r>
      <w:r>
        <w:rPr>
          <w:rFonts w:hint="eastAsia" w:hAnsi="宋体" w:eastAsia="宋体" w:cs="宋体"/>
          <w:color w:val="auto"/>
          <w:sz w:val="24"/>
          <w:szCs w:val="24"/>
          <w:highlight w:val="none"/>
          <w:lang w:val="en-US" w:eastAsia="zh-CN"/>
        </w:rPr>
        <w:t>。</w:t>
      </w:r>
    </w:p>
    <w:p>
      <w:pPr>
        <w:pStyle w:val="8"/>
        <w:wordWrap w:val="0"/>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上述中标人提供的材料应具有</w:t>
      </w:r>
      <w:r>
        <w:rPr>
          <w:rFonts w:hint="eastAsia" w:ascii="宋体" w:hAnsi="宋体" w:eastAsia="宋体" w:cs="宋体"/>
          <w:color w:val="auto"/>
          <w:sz w:val="22"/>
          <w:szCs w:val="21"/>
          <w:highlight w:val="none"/>
        </w:rPr>
        <w:t>全面性、合理性</w:t>
      </w:r>
      <w:r>
        <w:rPr>
          <w:rFonts w:hint="eastAsia"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可行性</w:t>
      </w:r>
      <w:r>
        <w:rPr>
          <w:rFonts w:hint="eastAsia"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可操作性强</w:t>
      </w:r>
      <w:r>
        <w:rPr>
          <w:rFonts w:hint="eastAsia" w:hAnsi="宋体" w:eastAsia="宋体" w:cs="宋体"/>
          <w:color w:val="auto"/>
          <w:sz w:val="22"/>
          <w:szCs w:val="21"/>
          <w:highlight w:val="none"/>
          <w:lang w:eastAsia="zh-CN"/>
        </w:rPr>
        <w:t>，并得到项目管理处认可。</w:t>
      </w:r>
    </w:p>
    <w:p>
      <w:pPr>
        <w:spacing w:line="360" w:lineRule="auto"/>
        <w:ind w:firstLine="482" w:firstLineChars="200"/>
        <w:rPr>
          <w:rFonts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rPr>
        <w:t>六、管理考核</w:t>
      </w:r>
    </w:p>
    <w:p>
      <w:pPr>
        <w:pStyle w:val="8"/>
        <w:wordWrap w:val="0"/>
        <w:spacing w:line="360" w:lineRule="auto"/>
        <w:ind w:firstLine="482" w:firstLineChars="200"/>
        <w:rPr>
          <w:rFonts w:hAnsi="宋体" w:eastAsia="宋体" w:cs="@仿宋_GB2312"/>
          <w:b/>
          <w:bCs/>
          <w:color w:val="auto"/>
          <w:sz w:val="24"/>
          <w:szCs w:val="18"/>
          <w:highlight w:val="none"/>
        </w:rPr>
      </w:pPr>
      <w:r>
        <w:rPr>
          <w:rFonts w:hint="eastAsia" w:hAnsi="宋体" w:eastAsia="宋体" w:cs="@仿宋_GB2312"/>
          <w:b/>
          <w:bCs/>
          <w:color w:val="auto"/>
          <w:sz w:val="24"/>
          <w:szCs w:val="18"/>
          <w:highlight w:val="none"/>
        </w:rPr>
        <w:t>(一) 考核形式</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lang w:val="en-US" w:eastAsia="zh-CN"/>
        </w:rPr>
        <w:t>1.</w:t>
      </w:r>
      <w:r>
        <w:rPr>
          <w:rFonts w:hint="eastAsia" w:hAnsi="宋体" w:eastAsia="宋体" w:cs="@仿宋_GB2312"/>
          <w:color w:val="auto"/>
          <w:sz w:val="24"/>
          <w:szCs w:val="18"/>
          <w:highlight w:val="none"/>
        </w:rPr>
        <w:t>由</w:t>
      </w:r>
      <w:r>
        <w:rPr>
          <w:rFonts w:hint="eastAsia" w:hAnsi="宋体" w:eastAsia="宋体" w:cs="@仿宋_GB2312"/>
          <w:color w:val="auto"/>
          <w:sz w:val="24"/>
          <w:szCs w:val="18"/>
          <w:highlight w:val="none"/>
          <w:lang w:eastAsia="zh-CN"/>
        </w:rPr>
        <w:t>采购人</w:t>
      </w:r>
      <w:r>
        <w:rPr>
          <w:rFonts w:hint="eastAsia" w:hAnsi="宋体" w:eastAsia="宋体" w:cs="@仿宋_GB2312"/>
          <w:color w:val="auto"/>
          <w:sz w:val="24"/>
          <w:szCs w:val="18"/>
          <w:highlight w:val="none"/>
        </w:rPr>
        <w:t>组织考核工作小组，安排专人(不少于2人) 负责</w:t>
      </w:r>
      <w:r>
        <w:rPr>
          <w:rFonts w:hint="eastAsia" w:hAnsi="宋体" w:eastAsia="宋体" w:cs="@仿宋_GB2312"/>
          <w:color w:val="auto"/>
          <w:sz w:val="24"/>
          <w:szCs w:val="18"/>
          <w:highlight w:val="none"/>
          <w:lang w:eastAsia="zh-CN"/>
        </w:rPr>
        <w:t>，</w:t>
      </w:r>
      <w:r>
        <w:rPr>
          <w:rFonts w:hint="eastAsia" w:hAnsi="宋体" w:eastAsia="宋体" w:cs="@仿宋_GB2312"/>
          <w:color w:val="auto"/>
          <w:sz w:val="24"/>
          <w:szCs w:val="18"/>
          <w:highlight w:val="none"/>
        </w:rPr>
        <w:t>每月</w:t>
      </w:r>
      <w:r>
        <w:rPr>
          <w:rFonts w:hint="eastAsia" w:hAnsi="宋体" w:eastAsia="宋体" w:cs="@仿宋_GB2312"/>
          <w:color w:val="auto"/>
          <w:sz w:val="24"/>
          <w:szCs w:val="18"/>
          <w:highlight w:val="none"/>
          <w:lang w:eastAsia="zh-CN"/>
        </w:rPr>
        <w:t>考核</w:t>
      </w:r>
      <w:r>
        <w:rPr>
          <w:rFonts w:hint="eastAsia" w:hAnsi="宋体" w:eastAsia="宋体" w:cs="@仿宋_GB2312"/>
          <w:color w:val="auto"/>
          <w:sz w:val="24"/>
          <w:szCs w:val="18"/>
          <w:highlight w:val="none"/>
        </w:rPr>
        <w:t>一次，对照本文件</w:t>
      </w:r>
      <w:r>
        <w:rPr>
          <w:rFonts w:hint="eastAsia" w:hAnsi="宋体" w:eastAsia="宋体" w:cs="@仿宋_GB2312"/>
          <w:b/>
          <w:bCs/>
          <w:color w:val="auto"/>
          <w:sz w:val="24"/>
          <w:szCs w:val="18"/>
          <w:highlight w:val="none"/>
          <w:lang w:eastAsia="zh-CN"/>
        </w:rPr>
        <w:t>考核标准</w:t>
      </w:r>
      <w:r>
        <w:rPr>
          <w:rFonts w:hint="eastAsia" w:hAnsi="宋体" w:eastAsia="宋体" w:cs="@仿宋_GB2312"/>
          <w:color w:val="auto"/>
          <w:sz w:val="24"/>
          <w:szCs w:val="18"/>
          <w:highlight w:val="none"/>
        </w:rPr>
        <w:t>，现场评分、亮分，并由中标人对</w:t>
      </w:r>
      <w:r>
        <w:rPr>
          <w:rFonts w:hint="eastAsia" w:hAnsi="宋体" w:eastAsia="宋体" w:cs="@仿宋_GB2312"/>
          <w:color w:val="auto"/>
          <w:sz w:val="24"/>
          <w:szCs w:val="18"/>
          <w:highlight w:val="none"/>
          <w:lang w:eastAsia="zh-CN"/>
        </w:rPr>
        <w:t>考核</w:t>
      </w:r>
      <w:r>
        <w:rPr>
          <w:rFonts w:hint="eastAsia" w:hAnsi="宋体" w:eastAsia="宋体" w:cs="@仿宋_GB2312"/>
          <w:color w:val="auto"/>
          <w:sz w:val="24"/>
          <w:szCs w:val="18"/>
          <w:highlight w:val="none"/>
        </w:rPr>
        <w:t>结果认可签字。</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lang w:val="en-US" w:eastAsia="zh-CN"/>
        </w:rPr>
        <w:t>2.</w:t>
      </w:r>
      <w:r>
        <w:rPr>
          <w:rFonts w:hint="eastAsia" w:hAnsi="宋体" w:eastAsia="宋体" w:cs="@仿宋_GB2312"/>
          <w:color w:val="auto"/>
          <w:sz w:val="24"/>
          <w:szCs w:val="18"/>
          <w:highlight w:val="none"/>
        </w:rPr>
        <w:t>若中标人拒不签字，按照考核检查照片和现场考核人员两人签字为准， 作为考核依据。</w:t>
      </w:r>
    </w:p>
    <w:p>
      <w:pPr>
        <w:pStyle w:val="8"/>
        <w:wordWrap w:val="0"/>
        <w:spacing w:line="360" w:lineRule="auto"/>
        <w:ind w:firstLine="482" w:firstLineChars="200"/>
        <w:rPr>
          <w:rFonts w:hAnsi="宋体" w:eastAsia="宋体" w:cs="@仿宋_GB2312"/>
          <w:b/>
          <w:bCs/>
          <w:color w:val="auto"/>
          <w:sz w:val="24"/>
          <w:szCs w:val="18"/>
          <w:highlight w:val="none"/>
        </w:rPr>
      </w:pPr>
      <w:r>
        <w:rPr>
          <w:rFonts w:hint="eastAsia" w:hAnsi="宋体" w:eastAsia="宋体" w:cs="@仿宋_GB2312"/>
          <w:b/>
          <w:bCs/>
          <w:color w:val="auto"/>
          <w:sz w:val="24"/>
          <w:szCs w:val="18"/>
          <w:highlight w:val="none"/>
        </w:rPr>
        <w:t xml:space="preserve">(二) </w:t>
      </w:r>
      <w:r>
        <w:rPr>
          <w:rFonts w:hint="eastAsia" w:hAnsi="宋体" w:eastAsia="宋体" w:cs="@仿宋_GB2312"/>
          <w:b/>
          <w:bCs/>
          <w:color w:val="auto"/>
          <w:sz w:val="24"/>
          <w:szCs w:val="18"/>
          <w:highlight w:val="none"/>
          <w:lang w:eastAsia="zh-CN"/>
        </w:rPr>
        <w:t>考核</w:t>
      </w:r>
      <w:r>
        <w:rPr>
          <w:rFonts w:hint="eastAsia" w:hAnsi="宋体" w:eastAsia="宋体" w:cs="@仿宋_GB2312"/>
          <w:b/>
          <w:bCs/>
          <w:color w:val="auto"/>
          <w:sz w:val="24"/>
          <w:szCs w:val="18"/>
          <w:highlight w:val="none"/>
        </w:rPr>
        <w:t>评定</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rPr>
        <w:t>考核分值为100分</w:t>
      </w:r>
      <w:r>
        <w:rPr>
          <w:rFonts w:hint="eastAsia" w:hAnsi="宋体" w:eastAsia="宋体" w:cs="@仿宋_GB2312"/>
          <w:color w:val="auto"/>
          <w:sz w:val="24"/>
          <w:szCs w:val="18"/>
          <w:highlight w:val="none"/>
          <w:lang w:eastAsia="zh-CN"/>
        </w:rPr>
        <w:t>，</w:t>
      </w:r>
      <w:r>
        <w:rPr>
          <w:rFonts w:hint="eastAsia" w:hAnsi="宋体" w:eastAsia="宋体" w:cs="@仿宋_GB2312"/>
          <w:color w:val="auto"/>
          <w:sz w:val="24"/>
          <w:szCs w:val="18"/>
          <w:highlight w:val="none"/>
        </w:rPr>
        <w:t>每次考核按照《考核</w:t>
      </w:r>
      <w:r>
        <w:rPr>
          <w:rFonts w:hint="eastAsia" w:hAnsi="宋体" w:eastAsia="宋体" w:cs="@仿宋_GB2312"/>
          <w:color w:val="auto"/>
          <w:sz w:val="24"/>
          <w:szCs w:val="18"/>
          <w:highlight w:val="none"/>
          <w:lang w:eastAsia="zh-CN"/>
        </w:rPr>
        <w:t>标准</w:t>
      </w:r>
      <w:r>
        <w:rPr>
          <w:rFonts w:hint="eastAsia" w:hAnsi="宋体" w:eastAsia="宋体" w:cs="@仿宋_GB2312"/>
          <w:color w:val="auto"/>
          <w:sz w:val="24"/>
          <w:szCs w:val="18"/>
          <w:highlight w:val="none"/>
        </w:rPr>
        <w:t>》规定进行</w:t>
      </w:r>
      <w:r>
        <w:rPr>
          <w:rFonts w:hint="eastAsia" w:hAnsi="宋体" w:eastAsia="宋体" w:cs="@仿宋_GB2312"/>
          <w:color w:val="auto"/>
          <w:sz w:val="24"/>
          <w:szCs w:val="18"/>
          <w:highlight w:val="none"/>
          <w:lang w:eastAsia="zh-CN"/>
        </w:rPr>
        <w:t>考核</w:t>
      </w:r>
      <w:r>
        <w:rPr>
          <w:rFonts w:hint="eastAsia" w:hAnsi="宋体" w:eastAsia="宋体" w:cs="@仿宋_GB2312"/>
          <w:color w:val="auto"/>
          <w:sz w:val="24"/>
          <w:szCs w:val="18"/>
          <w:highlight w:val="none"/>
        </w:rPr>
        <w:t>，</w:t>
      </w:r>
      <w:r>
        <w:rPr>
          <w:rFonts w:hint="eastAsia" w:hAnsi="宋体" w:eastAsia="宋体" w:cs="@仿宋_GB2312"/>
          <w:color w:val="auto"/>
          <w:sz w:val="24"/>
          <w:szCs w:val="18"/>
          <w:highlight w:val="none"/>
          <w:lang w:eastAsia="zh-CN"/>
        </w:rPr>
        <w:t>考核</w:t>
      </w:r>
      <w:r>
        <w:rPr>
          <w:rFonts w:hint="eastAsia" w:hAnsi="宋体" w:eastAsia="宋体" w:cs="@仿宋_GB2312"/>
          <w:color w:val="auto"/>
          <w:sz w:val="24"/>
          <w:szCs w:val="18"/>
          <w:highlight w:val="none"/>
        </w:rPr>
        <w:t>结果作为对中标人支付日常维保服务费用的依据。</w:t>
      </w:r>
    </w:p>
    <w:p>
      <w:pPr>
        <w:pStyle w:val="8"/>
        <w:wordWrap w:val="0"/>
        <w:spacing w:line="360" w:lineRule="auto"/>
        <w:ind w:firstLine="482" w:firstLineChars="200"/>
        <w:rPr>
          <w:rFonts w:hAnsi="宋体" w:eastAsia="宋体" w:cs="@仿宋_GB2312"/>
          <w:b/>
          <w:bCs/>
          <w:color w:val="auto"/>
          <w:sz w:val="24"/>
          <w:szCs w:val="18"/>
          <w:highlight w:val="none"/>
        </w:rPr>
      </w:pPr>
      <w:r>
        <w:rPr>
          <w:rFonts w:hint="eastAsia" w:hAnsi="宋体" w:eastAsia="宋体" w:cs="@仿宋_GB2312"/>
          <w:b/>
          <w:bCs/>
          <w:color w:val="auto"/>
          <w:sz w:val="24"/>
          <w:szCs w:val="18"/>
          <w:highlight w:val="none"/>
        </w:rPr>
        <w:t>(三) 管理考核</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rPr>
        <w:t>1.每月考核得分≥85分为合格。</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rPr>
        <w:t>2.本项目维保工作受到国家、省、市、区表彰 (凭证书或文件)</w:t>
      </w:r>
      <w:r>
        <w:rPr>
          <w:rFonts w:hint="eastAsia" w:hAnsi="宋体" w:eastAsia="宋体" w:cs="@仿宋_GB2312"/>
          <w:color w:val="auto"/>
          <w:sz w:val="24"/>
          <w:szCs w:val="18"/>
          <w:highlight w:val="none"/>
          <w:lang w:val="en-US" w:eastAsia="zh-CN"/>
        </w:rPr>
        <w:t>, 当</w:t>
      </w:r>
      <w:r>
        <w:rPr>
          <w:rFonts w:hint="eastAsia" w:hAnsi="宋体" w:eastAsia="宋体" w:cs="@仿宋_GB2312"/>
          <w:color w:val="auto"/>
          <w:sz w:val="24"/>
          <w:szCs w:val="18"/>
          <w:highlight w:val="none"/>
        </w:rPr>
        <w:t>月在得分中分别增加4 分、3 分、2 分、1 分。</w:t>
      </w:r>
    </w:p>
    <w:p>
      <w:pPr>
        <w:pStyle w:val="8"/>
        <w:wordWrap w:val="0"/>
        <w:spacing w:line="360" w:lineRule="auto"/>
        <w:ind w:firstLine="480" w:firstLineChars="200"/>
        <w:rPr>
          <w:rFonts w:hint="eastAsia" w:hAnsi="宋体" w:eastAsia="宋体" w:cs="@仿宋_GB2312"/>
          <w:color w:val="auto"/>
          <w:sz w:val="24"/>
          <w:szCs w:val="18"/>
          <w:highlight w:val="none"/>
          <w:lang w:eastAsia="zh-CN"/>
        </w:rPr>
      </w:pPr>
      <w:r>
        <w:rPr>
          <w:rFonts w:hint="eastAsia" w:hAnsi="宋体" w:eastAsia="宋体" w:cs="@仿宋_GB2312"/>
          <w:color w:val="auto"/>
          <w:sz w:val="24"/>
          <w:szCs w:val="18"/>
          <w:highlight w:val="none"/>
        </w:rPr>
        <w:t>3.每月考核</w:t>
      </w:r>
      <w:r>
        <w:rPr>
          <w:rFonts w:hint="eastAsia" w:hAnsi="宋体" w:eastAsia="宋体" w:cs="@仿宋_GB2312"/>
          <w:color w:val="auto"/>
          <w:sz w:val="24"/>
          <w:szCs w:val="18"/>
          <w:highlight w:val="none"/>
          <w:lang w:eastAsia="zh-CN"/>
        </w:rPr>
        <w:t>产生的处罚金额从服务费中扣除。</w:t>
      </w:r>
    </w:p>
    <w:p>
      <w:pPr>
        <w:pStyle w:val="8"/>
        <w:wordWrap w:val="0"/>
        <w:spacing w:line="360" w:lineRule="auto"/>
        <w:ind w:firstLine="480" w:firstLineChars="200"/>
        <w:rPr>
          <w:rFonts w:hint="eastAsia" w:hAnsi="宋体" w:eastAsia="宋体" w:cs="@仿宋_GB2312"/>
          <w:color w:val="auto"/>
          <w:sz w:val="24"/>
          <w:szCs w:val="18"/>
          <w:highlight w:val="none"/>
          <w:lang w:eastAsia="zh-CN"/>
        </w:rPr>
      </w:pPr>
      <w:r>
        <w:rPr>
          <w:rFonts w:hint="eastAsia" w:hAnsi="宋体" w:eastAsia="宋体" w:cs="@仿宋_GB2312"/>
          <w:color w:val="auto"/>
          <w:sz w:val="24"/>
          <w:szCs w:val="18"/>
          <w:highlight w:val="none"/>
        </w:rPr>
        <w:t>4.被省、市、区媒体曝光，确属本职工作失误或失职，造成不良影响的， 在当月总分中扣4分</w:t>
      </w:r>
      <w:r>
        <w:rPr>
          <w:rFonts w:hint="eastAsia" w:hAnsi="宋体" w:eastAsia="宋体" w:cs="@仿宋_GB2312"/>
          <w:color w:val="auto"/>
          <w:sz w:val="24"/>
          <w:szCs w:val="18"/>
          <w:highlight w:val="none"/>
          <w:lang w:eastAsia="zh-CN"/>
        </w:rPr>
        <w:t>，并处以每起</w:t>
      </w:r>
      <w:r>
        <w:rPr>
          <w:rFonts w:hint="eastAsia" w:hAnsi="宋体" w:eastAsia="宋体" w:cs="@仿宋_GB2312"/>
          <w:color w:val="auto"/>
          <w:sz w:val="24"/>
          <w:szCs w:val="18"/>
          <w:highlight w:val="none"/>
        </w:rPr>
        <w:t>1000元</w:t>
      </w:r>
      <w:r>
        <w:rPr>
          <w:rFonts w:hint="eastAsia" w:hAnsi="宋体" w:eastAsia="宋体" w:cs="@仿宋_GB2312"/>
          <w:color w:val="auto"/>
          <w:sz w:val="24"/>
          <w:szCs w:val="18"/>
          <w:highlight w:val="none"/>
          <w:lang w:eastAsia="zh-CN"/>
        </w:rPr>
        <w:t>的处罚。</w:t>
      </w:r>
    </w:p>
    <w:p>
      <w:pPr>
        <w:pStyle w:val="8"/>
        <w:wordWrap w:val="0"/>
        <w:spacing w:line="360" w:lineRule="auto"/>
        <w:ind w:firstLine="480" w:firstLineChars="200"/>
        <w:rPr>
          <w:rFonts w:hAnsi="宋体" w:eastAsia="宋体" w:cs="@仿宋_GB2312"/>
          <w:color w:val="auto"/>
          <w:sz w:val="24"/>
          <w:szCs w:val="18"/>
          <w:highlight w:val="none"/>
        </w:rPr>
      </w:pPr>
      <w:r>
        <w:rPr>
          <w:rFonts w:hint="eastAsia" w:hAnsi="宋体" w:eastAsia="宋体" w:cs="@仿宋_GB2312"/>
          <w:color w:val="auto"/>
          <w:sz w:val="24"/>
          <w:szCs w:val="18"/>
          <w:highlight w:val="none"/>
        </w:rPr>
        <w:t>5.在法定节假日和省、市重大活动期间，因管理不到位，群众反映强烈的，在当月总分中扣4 分</w:t>
      </w:r>
      <w:r>
        <w:rPr>
          <w:rFonts w:hint="eastAsia" w:hAnsi="宋体" w:eastAsia="宋体" w:cs="@仿宋_GB2312"/>
          <w:color w:val="auto"/>
          <w:sz w:val="24"/>
          <w:szCs w:val="18"/>
          <w:highlight w:val="none"/>
          <w:lang w:eastAsia="zh-CN"/>
        </w:rPr>
        <w:t>，并处以每起</w:t>
      </w:r>
      <w:r>
        <w:rPr>
          <w:rFonts w:hint="eastAsia" w:hAnsi="宋体" w:eastAsia="宋体" w:cs="@仿宋_GB2312"/>
          <w:color w:val="auto"/>
          <w:sz w:val="24"/>
          <w:szCs w:val="18"/>
          <w:highlight w:val="none"/>
        </w:rPr>
        <w:t>1000元</w:t>
      </w:r>
      <w:r>
        <w:rPr>
          <w:rFonts w:hint="eastAsia" w:hAnsi="宋体" w:eastAsia="宋体" w:cs="@仿宋_GB2312"/>
          <w:color w:val="auto"/>
          <w:sz w:val="24"/>
          <w:szCs w:val="18"/>
          <w:highlight w:val="none"/>
          <w:lang w:eastAsia="zh-CN"/>
        </w:rPr>
        <w:t>的处罚。</w:t>
      </w:r>
    </w:p>
    <w:p>
      <w:pPr>
        <w:pStyle w:val="8"/>
        <w:wordWrap w:val="0"/>
        <w:spacing w:line="360" w:lineRule="auto"/>
        <w:ind w:firstLine="480" w:firstLineChars="200"/>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6.连续两个月考核在85分(不含85分) 以下的，</w:t>
      </w:r>
      <w:r>
        <w:rPr>
          <w:rFonts w:hint="eastAsia" w:hAnsi="宋体" w:eastAsia="宋体" w:cs="@仿宋_GB2312"/>
          <w:color w:val="auto"/>
          <w:sz w:val="24"/>
          <w:szCs w:val="18"/>
          <w:highlight w:val="none"/>
          <w:lang w:eastAsia="zh-CN"/>
        </w:rPr>
        <w:t>采购人</w:t>
      </w:r>
      <w:r>
        <w:rPr>
          <w:rFonts w:hint="eastAsia" w:hAnsi="宋体" w:eastAsia="宋体" w:cs="@仿宋_GB2312"/>
          <w:color w:val="auto"/>
          <w:sz w:val="24"/>
          <w:szCs w:val="18"/>
          <w:highlight w:val="none"/>
        </w:rPr>
        <w:t>有权解除合同</w:t>
      </w:r>
      <w:r>
        <w:rPr>
          <w:rFonts w:hint="eastAsia" w:hAnsi="宋体" w:eastAsia="宋体" w:cs="@仿宋_GB2312"/>
          <w:color w:val="auto"/>
          <w:sz w:val="24"/>
          <w:szCs w:val="18"/>
          <w:highlight w:val="none"/>
          <w:lang w:eastAsia="zh-CN"/>
        </w:rPr>
        <w:t>，</w:t>
      </w:r>
      <w:r>
        <w:rPr>
          <w:rFonts w:hint="eastAsia" w:hAnsi="宋体" w:eastAsia="宋体" w:cs="@仿宋_GB2312"/>
          <w:color w:val="auto"/>
          <w:sz w:val="24"/>
          <w:szCs w:val="18"/>
          <w:highlight w:val="none"/>
        </w:rPr>
        <w:t>造成的影响和损失均由中标人承担。</w:t>
      </w:r>
    </w:p>
    <w:p>
      <w:pPr>
        <w:spacing w:line="360" w:lineRule="auto"/>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附件：考核标准</w:t>
      </w:r>
    </w:p>
    <w:p>
      <w:pPr>
        <w:spacing w:line="300" w:lineRule="auto"/>
        <w:rPr>
          <w:rFonts w:hint="eastAsia" w:hAnsi="宋体" w:eastAsia="宋体" w:cs="@仿宋_GB2312"/>
          <w:color w:val="auto"/>
          <w:sz w:val="24"/>
          <w:szCs w:val="18"/>
          <w:highlight w:val="none"/>
          <w:lang w:eastAsia="zh-CN"/>
        </w:rPr>
      </w:pPr>
      <w:r>
        <w:rPr>
          <w:rFonts w:hint="eastAsia" w:hAnsi="宋体" w:eastAsia="宋体" w:cs="@仿宋_GB2312"/>
          <w:color w:val="auto"/>
          <w:sz w:val="24"/>
          <w:szCs w:val="18"/>
          <w:highlight w:val="none"/>
        </w:rPr>
        <w:t xml:space="preserve">  </w:t>
      </w:r>
      <w:r>
        <w:rPr>
          <w:rFonts w:hint="eastAsia" w:ascii="宋体" w:hAnsi="宋体" w:eastAsia="宋体" w:cs="宋体"/>
          <w:color w:val="auto"/>
          <w:sz w:val="24"/>
          <w:szCs w:val="18"/>
          <w:highlight w:val="none"/>
          <w:lang w:val="en-US" w:eastAsia="zh-CN"/>
        </w:rPr>
        <w:t>1.</w:t>
      </w:r>
      <w:r>
        <w:rPr>
          <w:rFonts w:hint="eastAsia" w:hAnsi="宋体" w:eastAsia="宋体" w:cs="@仿宋_GB2312"/>
          <w:color w:val="auto"/>
          <w:sz w:val="24"/>
          <w:szCs w:val="18"/>
          <w:highlight w:val="none"/>
        </w:rPr>
        <w:t>火灾自动报警系统</w:t>
      </w:r>
    </w:p>
    <w:tbl>
      <w:tblPr>
        <w:tblStyle w:val="18"/>
        <w:tblW w:w="9603" w:type="dxa"/>
        <w:jc w:val="center"/>
        <w:tblLayout w:type="fixed"/>
        <w:tblCellMar>
          <w:top w:w="15" w:type="dxa"/>
          <w:left w:w="15" w:type="dxa"/>
          <w:bottom w:w="15" w:type="dxa"/>
          <w:right w:w="15" w:type="dxa"/>
        </w:tblCellMar>
      </w:tblPr>
      <w:tblGrid>
        <w:gridCol w:w="746"/>
        <w:gridCol w:w="2857"/>
        <w:gridCol w:w="3027"/>
        <w:gridCol w:w="2973"/>
      </w:tblGrid>
      <w:tr>
        <w:tblPrEx>
          <w:tblCellMar>
            <w:top w:w="15" w:type="dxa"/>
            <w:left w:w="15" w:type="dxa"/>
            <w:bottom w:w="15" w:type="dxa"/>
            <w:right w:w="15" w:type="dxa"/>
          </w:tblCellMar>
        </w:tblPrEx>
        <w:trPr>
          <w:trHeight w:val="228"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序号</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维护保养工作内容</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维护保养标准</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24"/>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1612"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1</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每月检查控制主机各项功能是否正常</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主机外观完好、整洁，保证控制主机自检、复位、消音、火灾报警、故障报警、打印等各项功能正常工作，信号输入、输出模块运行状态正常，火灾显示器运行状态正常</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default" w:hAnsi="宋体" w:eastAsia="宋体" w:cs="@仿宋_GB2312"/>
                <w:color w:val="auto"/>
                <w:sz w:val="22"/>
                <w:szCs w:val="22"/>
                <w:highlight w:val="none"/>
                <w:lang w:val="en-US"/>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912"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2</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每年用测试仪分区域分批次测试温感、烟感、红外等探测器火灾报警和故障报警功能（覆盖率≥50%）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探测器动作灵敏、报警准确</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r>
        <w:tblPrEx>
          <w:tblCellMar>
            <w:top w:w="15" w:type="dxa"/>
            <w:left w:w="15" w:type="dxa"/>
            <w:bottom w:w="15" w:type="dxa"/>
            <w:right w:w="15" w:type="dxa"/>
          </w:tblCellMar>
        </w:tblPrEx>
        <w:trPr>
          <w:trHeight w:val="827"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3</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每月对火灾声光报警装置进行检查、测试</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火灾声光报警装置正常</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1020"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4</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每季检查所有手动报警按钮是否遗漏、损坏、遮挡，测试所有手动报警按钮报警功能</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手动报警按钮无缺漏、损坏或遮挡，手动报警按钮动作灵敏、报警准确</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1020"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5</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每季对备用电源进行1-2次冲放电试验、1次主备电源切换试验</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主、备电源自动切换功能正常</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r>
        <w:tblPrEx>
          <w:tblCellMar>
            <w:top w:w="15" w:type="dxa"/>
            <w:left w:w="15" w:type="dxa"/>
            <w:bottom w:w="15" w:type="dxa"/>
            <w:right w:w="15" w:type="dxa"/>
          </w:tblCellMar>
        </w:tblPrEx>
        <w:trPr>
          <w:trHeight w:val="625"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22"/>
                <w:highlight w:val="none"/>
                <w:lang w:val="en-US" w:eastAsia="zh-CN"/>
              </w:rPr>
            </w:pPr>
            <w:r>
              <w:rPr>
                <w:rFonts w:hint="eastAsia" w:hAnsi="宋体" w:eastAsia="宋体" w:cs="@仿宋_GB2312"/>
                <w:color w:val="auto"/>
                <w:sz w:val="22"/>
                <w:szCs w:val="22"/>
                <w:highlight w:val="none"/>
                <w:lang w:val="en-US" w:eastAsia="zh-CN"/>
              </w:rPr>
              <w:t>6</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每季检查消防主机所有接线端子是否松动、破损和脱落</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sz w:val="22"/>
                <w:szCs w:val="22"/>
                <w:highlight w:val="none"/>
              </w:rPr>
              <w:t>主机设备的所有接线牢固，无松动、破损和脱落</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left"/>
              <w:rPr>
                <w:rFonts w:hint="eastAsia" w:hAnsi="宋体" w:eastAsia="宋体" w:cs="@仿宋_GB2312"/>
                <w:color w:val="auto"/>
                <w:sz w:val="22"/>
                <w:szCs w:val="22"/>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bl>
    <w:p>
      <w:pPr>
        <w:pStyle w:val="8"/>
        <w:numPr>
          <w:ilvl w:val="0"/>
          <w:numId w:val="0"/>
        </w:numPr>
        <w:wordWrap w:val="0"/>
        <w:spacing w:line="360" w:lineRule="auto"/>
        <w:rPr>
          <w:rFonts w:hint="eastAsia" w:hAnsi="宋体" w:eastAsia="宋体" w:cs="@仿宋_GB2312"/>
          <w:color w:val="auto"/>
          <w:sz w:val="24"/>
          <w:szCs w:val="18"/>
          <w:highlight w:val="none"/>
        </w:rPr>
      </w:pPr>
      <w:r>
        <w:rPr>
          <w:rFonts w:hint="eastAsia" w:ascii="宋体" w:hAnsi="宋体" w:eastAsia="宋体" w:cs="@仿宋_GB2312"/>
          <w:color w:val="auto"/>
          <w:kern w:val="2"/>
          <w:sz w:val="24"/>
          <w:szCs w:val="18"/>
          <w:highlight w:val="none"/>
          <w:lang w:val="en-US" w:eastAsia="zh-CN" w:bidi="ar-SA"/>
        </w:rPr>
        <w:t>2.</w:t>
      </w:r>
      <w:r>
        <w:rPr>
          <w:rFonts w:hint="eastAsia" w:hAnsi="宋体" w:eastAsia="宋体" w:cs="@仿宋_GB2312"/>
          <w:color w:val="auto"/>
          <w:sz w:val="24"/>
          <w:szCs w:val="18"/>
          <w:highlight w:val="none"/>
        </w:rPr>
        <w:t>自动喷</w:t>
      </w:r>
      <w:r>
        <w:rPr>
          <w:rFonts w:hint="eastAsia" w:hAnsi="宋体" w:eastAsia="宋体" w:cs="@仿宋_GB2312"/>
          <w:color w:val="auto"/>
          <w:sz w:val="24"/>
          <w:szCs w:val="18"/>
          <w:highlight w:val="none"/>
          <w:lang w:eastAsia="zh-CN"/>
        </w:rPr>
        <w:t>水</w:t>
      </w:r>
      <w:r>
        <w:rPr>
          <w:rFonts w:hint="eastAsia" w:hAnsi="宋体" w:eastAsia="宋体" w:cs="@仿宋_GB2312"/>
          <w:color w:val="auto"/>
          <w:sz w:val="24"/>
          <w:szCs w:val="18"/>
          <w:highlight w:val="none"/>
        </w:rPr>
        <w:t>灭火系统</w:t>
      </w:r>
    </w:p>
    <w:tbl>
      <w:tblPr>
        <w:tblStyle w:val="18"/>
        <w:tblW w:w="9585" w:type="dxa"/>
        <w:tblInd w:w="-549" w:type="dxa"/>
        <w:tblLayout w:type="fixed"/>
        <w:tblCellMar>
          <w:top w:w="15" w:type="dxa"/>
          <w:left w:w="15" w:type="dxa"/>
          <w:bottom w:w="15" w:type="dxa"/>
          <w:right w:w="15" w:type="dxa"/>
        </w:tblCellMar>
      </w:tblPr>
      <w:tblGrid>
        <w:gridCol w:w="750"/>
        <w:gridCol w:w="2835"/>
        <w:gridCol w:w="3000"/>
        <w:gridCol w:w="3000"/>
      </w:tblGrid>
      <w:tr>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维护保养工作内容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维护保养标准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54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每月检查喷淋头是否完好</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喷淋头完好，无滴漏</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127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35" w:type="dxa"/>
            <w:tcBorders>
              <w:top w:val="single" w:color="000000" w:sz="4" w:space="0"/>
              <w:left w:val="single" w:color="000000" w:sz="4" w:space="0"/>
              <w:bottom w:val="single" w:color="000000" w:sz="4" w:space="0"/>
              <w:right w:val="single" w:color="000000" w:sz="4" w:space="0"/>
            </w:tcBorders>
            <w:noWrap w:val="0"/>
            <w:vAlign w:val="top"/>
          </w:tcPr>
          <w:p>
            <w:pPr>
              <w:pStyle w:val="8"/>
              <w:wordWrap w:val="0"/>
              <w:spacing w:line="240" w:lineRule="auto"/>
              <w:jc w:val="both"/>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每月检查报警阀组外观，试验排水阀排水功能，检查压力开关、水力警铃、水流指示器报警功能</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pStyle w:val="8"/>
              <w:wordWrap w:val="0"/>
              <w:spacing w:line="240" w:lineRule="auto"/>
              <w:jc w:val="both"/>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 xml:space="preserve">报警阀组外观完好，排水功能正常，水力警铃、压力开关、水流指示器动作灵敏，消防控制室报警联动正常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97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ind w:firstLine="440" w:firstLineChars="200"/>
              <w:jc w:val="center"/>
              <w:rPr>
                <w:rFonts w:hint="eastAsia" w:hAnsi="宋体" w:eastAsia="宋体" w:cs="@仿宋_GB2312"/>
                <w:color w:val="auto"/>
                <w:sz w:val="22"/>
                <w:szCs w:val="16"/>
                <w:highlight w:val="none"/>
              </w:rPr>
            </w:pPr>
          </w:p>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喷淋管网各个阀门是否处于正常工作状态，阀体是否完好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各阀门在正常开关位置，阀体无损坏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89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lang w:eastAsia="zh-CN"/>
              </w:rPr>
            </w:pPr>
            <w:r>
              <w:rPr>
                <w:rFonts w:hint="eastAsia" w:hAnsi="宋体" w:eastAsia="宋体" w:cs="@仿宋_GB2312"/>
                <w:color w:val="auto"/>
                <w:sz w:val="22"/>
                <w:szCs w:val="16"/>
                <w:highlight w:val="none"/>
              </w:rPr>
              <w:t>每月对喷淋系统管网进行</w:t>
            </w:r>
            <w:r>
              <w:rPr>
                <w:rFonts w:hint="eastAsia" w:hAnsi="宋体" w:eastAsia="宋体" w:cs="@仿宋_GB2312"/>
                <w:color w:val="auto"/>
                <w:sz w:val="22"/>
                <w:szCs w:val="16"/>
                <w:highlight w:val="none"/>
                <w:lang w:eastAsia="zh-CN"/>
              </w:rPr>
              <w:t>抽检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喷淋管网外观完好，无变形、无锈蚀和渗透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3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每季对喷淋管网进行末端放水试验</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试验压力符合规范要求</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3</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防火分隔系统</w:t>
      </w:r>
    </w:p>
    <w:tbl>
      <w:tblPr>
        <w:tblStyle w:val="18"/>
        <w:tblW w:w="9585" w:type="dxa"/>
        <w:tblInd w:w="-564" w:type="dxa"/>
        <w:tblLayout w:type="fixed"/>
        <w:tblCellMar>
          <w:top w:w="15" w:type="dxa"/>
          <w:left w:w="15" w:type="dxa"/>
          <w:bottom w:w="15" w:type="dxa"/>
          <w:right w:w="15" w:type="dxa"/>
        </w:tblCellMar>
      </w:tblPr>
      <w:tblGrid>
        <w:gridCol w:w="780"/>
        <w:gridCol w:w="2835"/>
        <w:gridCol w:w="2985"/>
        <w:gridCol w:w="2985"/>
      </w:tblGrid>
      <w:tr>
        <w:tblPrEx>
          <w:tblCellMar>
            <w:top w:w="15" w:type="dxa"/>
            <w:left w:w="15" w:type="dxa"/>
            <w:bottom w:w="15" w:type="dxa"/>
            <w:right w:w="15" w:type="dxa"/>
          </w:tblCellMar>
        </w:tblPrEx>
        <w:trPr>
          <w:trHeight w:val="489"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每年测试所有防火卷帘门烟、温感报警器联动功能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防火卷帘门联动动作正常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4"/>
                <w:szCs w:val="18"/>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r>
        <w:tblPrEx>
          <w:tblCellMar>
            <w:top w:w="15" w:type="dxa"/>
            <w:left w:w="15" w:type="dxa"/>
            <w:bottom w:w="15" w:type="dxa"/>
            <w:right w:w="15" w:type="dxa"/>
          </w:tblCellMar>
        </w:tblPrEx>
        <w:trPr>
          <w:trHeight w:val="1386"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w:t>
            </w:r>
            <w:r>
              <w:rPr>
                <w:rFonts w:hint="eastAsia" w:hAnsi="宋体" w:eastAsia="宋体" w:cs="@仿宋_GB2312"/>
                <w:color w:val="auto"/>
                <w:sz w:val="22"/>
                <w:szCs w:val="16"/>
                <w:highlight w:val="none"/>
                <w:lang w:eastAsia="zh-CN"/>
              </w:rPr>
              <w:t>季</w:t>
            </w:r>
            <w:r>
              <w:rPr>
                <w:rFonts w:hint="eastAsia" w:hAnsi="宋体" w:eastAsia="宋体" w:cs="@仿宋_GB2312"/>
                <w:color w:val="auto"/>
                <w:sz w:val="22"/>
                <w:szCs w:val="16"/>
                <w:highlight w:val="none"/>
              </w:rPr>
              <w:t>检查所有防火卷帘门外观及配件完整性，测试所有防火卷帘门现场手动、远程起降功能是否正常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防火卷帘外观无破损，现场和远程控制卷帘起、降功能正常，升降平稳，无卡死、停顿现象</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4"/>
                <w:szCs w:val="18"/>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r>
        <w:tblPrEx>
          <w:tblCellMar>
            <w:top w:w="15" w:type="dxa"/>
            <w:left w:w="15" w:type="dxa"/>
            <w:bottom w:w="15" w:type="dxa"/>
            <w:right w:w="15" w:type="dxa"/>
          </w:tblCellMar>
        </w:tblPrEx>
        <w:trPr>
          <w:trHeight w:val="1096"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防火疏散门外观及配件完整性、启闭功能及密封性能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外观无破损，开、关正常，密封性能符合要求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4"/>
                <w:szCs w:val="18"/>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81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防火疏散门门吸联动功能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门吸联动功能正常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4"/>
                <w:szCs w:val="18"/>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81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w:t>
            </w:r>
            <w:r>
              <w:rPr>
                <w:rFonts w:hint="eastAsia" w:hAnsi="宋体" w:eastAsia="宋体" w:cs="@仿宋_GB2312"/>
                <w:color w:val="auto"/>
                <w:sz w:val="22"/>
                <w:szCs w:val="16"/>
                <w:highlight w:val="none"/>
                <w:lang w:eastAsia="zh-CN"/>
              </w:rPr>
              <w:t>季</w:t>
            </w:r>
            <w:r>
              <w:rPr>
                <w:rFonts w:hint="eastAsia" w:hAnsi="宋体" w:eastAsia="宋体" w:cs="@仿宋_GB2312"/>
                <w:color w:val="auto"/>
                <w:sz w:val="22"/>
                <w:szCs w:val="16"/>
                <w:highlight w:val="none"/>
              </w:rPr>
              <w:t>检查防火墙外观、防火封堵外观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防火墙上无不符合规范的孔洞，防火封堵紧密填实</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4"/>
                <w:szCs w:val="18"/>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4</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消防电话</w:t>
      </w:r>
    </w:p>
    <w:tbl>
      <w:tblPr>
        <w:tblStyle w:val="18"/>
        <w:tblpPr w:leftFromText="180" w:rightFromText="180" w:vertAnchor="text" w:horzAnchor="page" w:tblpX="1237" w:tblpY="132"/>
        <w:tblOverlap w:val="never"/>
        <w:tblW w:w="9585" w:type="dxa"/>
        <w:tblInd w:w="0" w:type="dxa"/>
        <w:tblLayout w:type="fixed"/>
        <w:tblCellMar>
          <w:top w:w="15" w:type="dxa"/>
          <w:left w:w="15" w:type="dxa"/>
          <w:bottom w:w="15" w:type="dxa"/>
          <w:right w:w="15" w:type="dxa"/>
        </w:tblCellMar>
      </w:tblPr>
      <w:tblGrid>
        <w:gridCol w:w="780"/>
        <w:gridCol w:w="2835"/>
        <w:gridCol w:w="2985"/>
        <w:gridCol w:w="2985"/>
      </w:tblGrid>
      <w:tr>
        <w:tblPrEx>
          <w:tblCellMar>
            <w:top w:w="15" w:type="dxa"/>
            <w:left w:w="15" w:type="dxa"/>
            <w:bottom w:w="15" w:type="dxa"/>
            <w:right w:w="15" w:type="dxa"/>
          </w:tblCellMar>
        </w:tblPrEx>
        <w:trPr>
          <w:trHeight w:val="493"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573"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每月检查消防专用电话、插孔是否完好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外观完好、清洁</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894"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消防专用电话、插孔的通讯是否畅通，语音是否清晰、响亮</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lang w:eastAsia="zh-CN"/>
              </w:rPr>
            </w:pPr>
            <w:r>
              <w:rPr>
                <w:rFonts w:hint="eastAsia" w:hAnsi="宋体" w:eastAsia="宋体" w:cs="@仿宋_GB2312"/>
                <w:color w:val="auto"/>
                <w:sz w:val="22"/>
                <w:szCs w:val="16"/>
                <w:highlight w:val="none"/>
              </w:rPr>
              <w:t>通讯畅通，语音清晰、响亮</w:t>
            </w:r>
            <w:r>
              <w:rPr>
                <w:rFonts w:hint="eastAsia" w:hAnsi="宋体" w:eastAsia="宋体" w:cs="@仿宋_GB2312"/>
                <w:color w:val="auto"/>
                <w:sz w:val="22"/>
                <w:szCs w:val="16"/>
                <w:highlight w:val="none"/>
                <w:lang w:eastAsia="zh-CN"/>
              </w:rPr>
              <w:t>，全年覆盖</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测试</w:t>
            </w:r>
            <w:r>
              <w:rPr>
                <w:rFonts w:hint="eastAsia" w:hAnsi="宋体" w:eastAsia="宋体" w:cs="@仿宋_GB2312"/>
                <w:color w:val="auto"/>
                <w:sz w:val="22"/>
                <w:szCs w:val="16"/>
                <w:highlight w:val="none"/>
              </w:rPr>
              <w:t>消防控制室外线电话的拨打功能</w:t>
            </w:r>
          </w:p>
        </w:tc>
        <w:tc>
          <w:tcPr>
            <w:tcW w:w="2985"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通讯畅通，语音清晰、响亮</w:t>
            </w:r>
          </w:p>
        </w:tc>
        <w:tc>
          <w:tcPr>
            <w:tcW w:w="2985"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5</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消防广播</w:t>
      </w:r>
    </w:p>
    <w:tbl>
      <w:tblPr>
        <w:tblStyle w:val="18"/>
        <w:tblW w:w="9570" w:type="dxa"/>
        <w:tblInd w:w="-549" w:type="dxa"/>
        <w:tblLayout w:type="fixed"/>
        <w:tblCellMar>
          <w:top w:w="15" w:type="dxa"/>
          <w:left w:w="15" w:type="dxa"/>
          <w:bottom w:w="15" w:type="dxa"/>
          <w:right w:w="15" w:type="dxa"/>
        </w:tblCellMar>
      </w:tblPr>
      <w:tblGrid>
        <w:gridCol w:w="750"/>
        <w:gridCol w:w="2850"/>
        <w:gridCol w:w="2985"/>
        <w:gridCol w:w="2985"/>
      </w:tblGrid>
      <w:tr>
        <w:trPr>
          <w:trHeight w:val="22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hAnsi="宋体" w:eastAsia="宋体" w:cs="@仿宋_GB2312"/>
                <w:b/>
                <w:bCs/>
                <w:color w:val="auto"/>
                <w:sz w:val="24"/>
                <w:szCs w:val="18"/>
                <w:highlight w:val="none"/>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b/>
                <w:bCs/>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94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每月测试消防广播主机的功能是否正常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主机功能正常，紧急切换功能正常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扬声器外观，测试扬声器音量、音质</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扬声器外观完好，声音响亮、清晰</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6</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应急照明及疏散指示标识系统</w:t>
      </w:r>
    </w:p>
    <w:tbl>
      <w:tblPr>
        <w:tblStyle w:val="18"/>
        <w:tblW w:w="9570" w:type="dxa"/>
        <w:tblInd w:w="-549" w:type="dxa"/>
        <w:tblLayout w:type="fixed"/>
        <w:tblCellMar>
          <w:top w:w="15" w:type="dxa"/>
          <w:left w:w="15" w:type="dxa"/>
          <w:bottom w:w="15" w:type="dxa"/>
          <w:right w:w="15" w:type="dxa"/>
        </w:tblCellMar>
      </w:tblPr>
      <w:tblGrid>
        <w:gridCol w:w="750"/>
        <w:gridCol w:w="2850"/>
        <w:gridCol w:w="2985"/>
        <w:gridCol w:w="2985"/>
      </w:tblGrid>
      <w:tr>
        <w:trPr>
          <w:trHeight w:val="22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93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应急照明灯及疏散指示标识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应急照明灯、疏散指示标识外观无破损、工作状态正常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93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每季对应急照明及疏散指示标识进行主备电切换测试，查看应急灯照度和持续照度时间是否符合要求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主备电切换功能正常，切换备电后，应急灯照度和持续照亮时间符合规范要求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bl>
    <w:p>
      <w:pPr>
        <w:pStyle w:val="8"/>
        <w:wordWrap w:val="0"/>
        <w:spacing w:line="360" w:lineRule="auto"/>
        <w:rPr>
          <w:rFonts w:hint="eastAsia" w:hAnsi="宋体" w:eastAsia="宋体" w:cs="@仿宋_GB2312"/>
          <w:color w:val="auto"/>
          <w:sz w:val="24"/>
          <w:szCs w:val="18"/>
          <w:highlight w:val="none"/>
          <w:lang w:eastAsia="zh-CN"/>
        </w:rPr>
      </w:pPr>
      <w:r>
        <w:rPr>
          <w:rFonts w:hint="eastAsia" w:hAnsi="宋体" w:eastAsia="宋体" w:cs="@仿宋_GB2312"/>
          <w:color w:val="auto"/>
          <w:sz w:val="24"/>
          <w:szCs w:val="18"/>
          <w:highlight w:val="none"/>
        </w:rPr>
        <w:t>7</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消火栓</w:t>
      </w:r>
      <w:r>
        <w:rPr>
          <w:rFonts w:hint="eastAsia" w:hAnsi="宋体" w:eastAsia="宋体" w:cs="@仿宋_GB2312"/>
          <w:color w:val="auto"/>
          <w:sz w:val="24"/>
          <w:szCs w:val="18"/>
          <w:highlight w:val="none"/>
          <w:lang w:eastAsia="zh-CN"/>
        </w:rPr>
        <w:t>系统</w:t>
      </w:r>
    </w:p>
    <w:tbl>
      <w:tblPr>
        <w:tblStyle w:val="18"/>
        <w:tblW w:w="9570" w:type="dxa"/>
        <w:tblInd w:w="-549" w:type="dxa"/>
        <w:tblLayout w:type="fixed"/>
        <w:tblCellMar>
          <w:top w:w="15" w:type="dxa"/>
          <w:left w:w="15" w:type="dxa"/>
          <w:bottom w:w="15" w:type="dxa"/>
          <w:right w:w="15" w:type="dxa"/>
        </w:tblCellMar>
      </w:tblPr>
      <w:tblGrid>
        <w:gridCol w:w="750"/>
        <w:gridCol w:w="2850"/>
        <w:gridCol w:w="2985"/>
        <w:gridCol w:w="2985"/>
      </w:tblGrid>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66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每月抽检消防栓外观及配件完整情况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 xml:space="preserve">消防栓外观无损坏、配件完整 </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7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每半年测试全部消防栓静压</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测试的消防栓压力符合规范要求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每月至少试射一次消火栓（防区最不利点）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消防栓喷射时充实水柱符合规范要求、测试动压符合规范要求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125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每月测试消防栓报警联动功能是否正常</w:t>
            </w:r>
          </w:p>
        </w:tc>
        <w:tc>
          <w:tcPr>
            <w:tcW w:w="2985"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试验消防栓报警按钮，各项联动设施动作，消防控制室有报警信号显示</w:t>
            </w:r>
          </w:p>
        </w:tc>
        <w:tc>
          <w:tcPr>
            <w:tcW w:w="2985"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w:t>
            </w:r>
            <w:r>
              <w:rPr>
                <w:rFonts w:hint="eastAsia" w:hAnsi="宋体" w:eastAsia="宋体" w:cs="@仿宋_GB2312"/>
                <w:color w:val="auto"/>
                <w:sz w:val="22"/>
                <w:szCs w:val="16"/>
                <w:highlight w:val="none"/>
                <w:lang w:eastAsia="zh-CN"/>
              </w:rPr>
              <w:t>抽检</w:t>
            </w:r>
            <w:r>
              <w:rPr>
                <w:rFonts w:hint="eastAsia" w:hAnsi="宋体" w:eastAsia="宋体" w:cs="@仿宋_GB2312"/>
                <w:color w:val="auto"/>
                <w:sz w:val="22"/>
                <w:szCs w:val="16"/>
                <w:highlight w:val="none"/>
              </w:rPr>
              <w:t>各阀门是否处于正常工作状态，阀体是否完好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各阀门在正常开关状态，阀体无破损、漏水</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95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每月对消防栓系统管网进行</w:t>
            </w:r>
            <w:r>
              <w:rPr>
                <w:rFonts w:hint="eastAsia" w:hAnsi="宋体" w:eastAsia="宋体" w:cs="@仿宋_GB2312"/>
                <w:color w:val="auto"/>
                <w:sz w:val="22"/>
                <w:szCs w:val="16"/>
                <w:highlight w:val="none"/>
                <w:lang w:eastAsia="zh-CN"/>
              </w:rPr>
              <w:t>外观</w:t>
            </w:r>
            <w:r>
              <w:rPr>
                <w:rFonts w:hint="eastAsia" w:hAnsi="宋体" w:eastAsia="宋体" w:cs="@仿宋_GB2312"/>
                <w:color w:val="auto"/>
                <w:sz w:val="22"/>
                <w:szCs w:val="16"/>
                <w:highlight w:val="none"/>
              </w:rPr>
              <w:t>检查</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消防栓系统管网完好，无变形、锈蚀和渗漏</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5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每月检查水泵接合器</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水泵接合器外观完好，配置齐全，无变形、渗漏、缺损</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8</w:t>
      </w:r>
      <w:r>
        <w:rPr>
          <w:rFonts w:hint="eastAsia" w:hAnsi="宋体" w:eastAsia="宋体" w:cs="@仿宋_GB2312"/>
          <w:color w:val="auto"/>
          <w:sz w:val="24"/>
          <w:szCs w:val="18"/>
          <w:highlight w:val="none"/>
          <w:lang w:val="en-US" w:eastAsia="zh-CN"/>
        </w:rPr>
        <w:t>.机械</w:t>
      </w:r>
      <w:r>
        <w:rPr>
          <w:rFonts w:hint="eastAsia" w:hAnsi="宋体" w:eastAsia="宋体" w:cs="@仿宋_GB2312"/>
          <w:color w:val="auto"/>
          <w:sz w:val="24"/>
          <w:szCs w:val="18"/>
          <w:highlight w:val="none"/>
        </w:rPr>
        <w:t>防排烟系统</w:t>
      </w:r>
    </w:p>
    <w:tbl>
      <w:tblPr>
        <w:tblStyle w:val="18"/>
        <w:tblW w:w="9600" w:type="dxa"/>
        <w:tblInd w:w="-549" w:type="dxa"/>
        <w:tblLayout w:type="fixed"/>
        <w:tblCellMar>
          <w:top w:w="15" w:type="dxa"/>
          <w:left w:w="15" w:type="dxa"/>
          <w:bottom w:w="15" w:type="dxa"/>
          <w:right w:w="15" w:type="dxa"/>
        </w:tblCellMar>
      </w:tblPr>
      <w:tblGrid>
        <w:gridCol w:w="750"/>
        <w:gridCol w:w="2850"/>
        <w:gridCol w:w="3000"/>
        <w:gridCol w:w="3000"/>
      </w:tblGrid>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维护保养工作内容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维护保养标准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93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每月检查排烟风机、排烟阀及控制柜运行状态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风机运行稳定，无异常震动、噪声，风量、风压满足要求，排烟阀开关灵活，密闭性好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3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每月测试排烟风机手动/自动启停动作</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手动/自动启停动作正常</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w:t>
            </w:r>
            <w:r>
              <w:rPr>
                <w:rFonts w:hint="eastAsia" w:hAnsi="宋体" w:eastAsia="宋体" w:cs="@仿宋_GB2312"/>
                <w:color w:val="auto"/>
                <w:sz w:val="22"/>
                <w:szCs w:val="16"/>
                <w:highlight w:val="none"/>
                <w:lang w:eastAsia="zh-CN"/>
              </w:rPr>
              <w:t>月抽查</w:t>
            </w:r>
            <w:r>
              <w:rPr>
                <w:rFonts w:hint="eastAsia" w:hAnsi="宋体" w:eastAsia="宋体" w:cs="@仿宋_GB2312"/>
                <w:color w:val="auto"/>
                <w:sz w:val="22"/>
                <w:szCs w:val="16"/>
                <w:highlight w:val="none"/>
              </w:rPr>
              <w:t>防火阀及联动功能是否正常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防火阀阀体完好，联动动作正常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w:t>
            </w:r>
            <w:r>
              <w:rPr>
                <w:rFonts w:hint="eastAsia" w:hAnsi="宋体" w:eastAsia="宋体" w:cs="@仿宋_GB2312"/>
                <w:color w:val="auto"/>
                <w:sz w:val="22"/>
                <w:szCs w:val="16"/>
                <w:highlight w:val="none"/>
                <w:lang w:eastAsia="zh-CN"/>
              </w:rPr>
              <w:t>季</w:t>
            </w:r>
            <w:r>
              <w:rPr>
                <w:rFonts w:hint="eastAsia" w:hAnsi="宋体" w:eastAsia="宋体" w:cs="@仿宋_GB2312"/>
                <w:color w:val="auto"/>
                <w:sz w:val="22"/>
                <w:szCs w:val="16"/>
                <w:highlight w:val="none"/>
              </w:rPr>
              <w:t>测试排烟风机、排烟阀联动功能是否正常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default" w:hAnsi="宋体" w:eastAsia="宋体" w:cs="@仿宋_GB2312"/>
                <w:color w:val="auto"/>
                <w:sz w:val="22"/>
                <w:szCs w:val="16"/>
                <w:highlight w:val="none"/>
                <w:lang w:val="en-US" w:eastAsia="zh-CN"/>
              </w:rPr>
            </w:pPr>
            <w:r>
              <w:rPr>
                <w:rFonts w:hint="eastAsia" w:hAnsi="宋体" w:eastAsia="宋体" w:cs="@仿宋_GB2312"/>
                <w:color w:val="auto"/>
                <w:sz w:val="22"/>
                <w:szCs w:val="16"/>
                <w:highlight w:val="none"/>
              </w:rPr>
              <w:t>联动功能正常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2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每月对风管进行外观检查</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风管无变形、损伤</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9</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 xml:space="preserve">消防供水设施      </w:t>
      </w:r>
    </w:p>
    <w:tbl>
      <w:tblPr>
        <w:tblStyle w:val="18"/>
        <w:tblW w:w="9600" w:type="dxa"/>
        <w:tblInd w:w="-549" w:type="dxa"/>
        <w:tblLayout w:type="fixed"/>
        <w:tblCellMar>
          <w:top w:w="15" w:type="dxa"/>
          <w:left w:w="15" w:type="dxa"/>
          <w:bottom w:w="15" w:type="dxa"/>
          <w:right w:w="15" w:type="dxa"/>
        </w:tblCellMar>
      </w:tblPr>
      <w:tblGrid>
        <w:gridCol w:w="765"/>
        <w:gridCol w:w="2835"/>
        <w:gridCol w:w="3000"/>
        <w:gridCol w:w="3000"/>
      </w:tblGrid>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维护保养工作内容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维护保养标准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9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每月核对消防水池/消防水塔/消防水箱储水状态，检查消防水塔/消防水箱自动进水功能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高/低水位报警正常，消防水塔/消防水箱自动进水功能正常</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每月检查消防水泵及控制柜运行状态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消防水泵和控制柜运行正常</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每月检查消防水池/水箱/水塔进口阀门、出口阀门、水泵进出口阀门状态</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阀门开关状态正常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每月测试泵房水泵远程/本地启泵功能</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远程/本地启泵正常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每季测试稳压泵、</w:t>
            </w:r>
            <w:r>
              <w:rPr>
                <w:rFonts w:hint="eastAsia" w:hAnsi="宋体" w:eastAsia="宋体" w:cs="@仿宋_GB2312"/>
                <w:color w:val="auto"/>
                <w:sz w:val="22"/>
                <w:szCs w:val="16"/>
                <w:highlight w:val="none"/>
                <w:lang w:eastAsia="zh-CN"/>
              </w:rPr>
              <w:t>增压</w:t>
            </w:r>
            <w:r>
              <w:rPr>
                <w:rFonts w:hint="eastAsia" w:hAnsi="宋体" w:eastAsia="宋体" w:cs="@仿宋_GB2312"/>
                <w:color w:val="auto"/>
                <w:sz w:val="22"/>
                <w:szCs w:val="16"/>
                <w:highlight w:val="none"/>
              </w:rPr>
              <w:t>泵、气压水罐工作状态</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模拟系统渗漏，测试稳压泵、增压泵及气压水罐稳压、增压能力</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0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每季测试泄压装置动作</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泄压阀动作正常</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r>
        <w:tblPrEx>
          <w:tblCellMar>
            <w:top w:w="15" w:type="dxa"/>
            <w:left w:w="15" w:type="dxa"/>
            <w:bottom w:w="15" w:type="dxa"/>
            <w:right w:w="15" w:type="dxa"/>
          </w:tblCellMar>
        </w:tblPrEx>
        <w:trPr>
          <w:trHeight w:val="78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每年进行喷淋、消火栓、水幕供水系统水流量测试</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流量测试满足要求</w:t>
            </w:r>
          </w:p>
        </w:tc>
        <w:tc>
          <w:tcPr>
            <w:tcW w:w="3000" w:type="dxa"/>
            <w:tcBorders>
              <w:top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1</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，并扣除服务费200元。</w:t>
            </w:r>
          </w:p>
        </w:tc>
      </w:tr>
    </w:tbl>
    <w:p>
      <w:pPr>
        <w:pStyle w:val="8"/>
        <w:wordWrap w:val="0"/>
        <w:spacing w:line="360" w:lineRule="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10</w:t>
      </w:r>
      <w:r>
        <w:rPr>
          <w:rFonts w:hint="eastAsia" w:hAnsi="宋体" w:eastAsia="宋体" w:cs="@仿宋_GB2312"/>
          <w:color w:val="auto"/>
          <w:sz w:val="24"/>
          <w:szCs w:val="18"/>
          <w:highlight w:val="none"/>
          <w:lang w:val="en-US" w:eastAsia="zh-CN"/>
        </w:rPr>
        <w:t>.</w:t>
      </w:r>
      <w:r>
        <w:rPr>
          <w:rFonts w:hint="eastAsia" w:hAnsi="宋体" w:eastAsia="宋体" w:cs="@仿宋_GB2312"/>
          <w:color w:val="auto"/>
          <w:sz w:val="24"/>
          <w:szCs w:val="18"/>
          <w:highlight w:val="none"/>
        </w:rPr>
        <w:t>气体灭火系统</w:t>
      </w:r>
    </w:p>
    <w:tbl>
      <w:tblPr>
        <w:tblStyle w:val="18"/>
        <w:tblW w:w="9585" w:type="dxa"/>
        <w:tblInd w:w="-549" w:type="dxa"/>
        <w:tblLayout w:type="fixed"/>
        <w:tblCellMar>
          <w:top w:w="15" w:type="dxa"/>
          <w:left w:w="15" w:type="dxa"/>
          <w:bottom w:w="15" w:type="dxa"/>
          <w:right w:w="15" w:type="dxa"/>
        </w:tblCellMar>
      </w:tblPr>
      <w:tblGrid>
        <w:gridCol w:w="765"/>
        <w:gridCol w:w="2850"/>
        <w:gridCol w:w="2985"/>
        <w:gridCol w:w="2985"/>
      </w:tblGrid>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hAnsi="宋体" w:eastAsia="宋体" w:cs="@仿宋_GB2312"/>
                <w:b/>
                <w:bCs/>
                <w:color w:val="auto"/>
                <w:sz w:val="24"/>
                <w:szCs w:val="18"/>
                <w:highlight w:val="none"/>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360" w:lineRule="auto"/>
              <w:jc w:val="center"/>
              <w:rPr>
                <w:rFonts w:hint="eastAsia" w:hAnsi="宋体" w:eastAsia="宋体" w:cs="@仿宋_GB2312"/>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扣分标准</w:t>
            </w:r>
          </w:p>
        </w:tc>
      </w:tr>
      <w:tr>
        <w:tblPrEx>
          <w:tblCellMar>
            <w:top w:w="15" w:type="dxa"/>
            <w:left w:w="15" w:type="dxa"/>
            <w:bottom w:w="15" w:type="dxa"/>
            <w:right w:w="15" w:type="dxa"/>
          </w:tblCellMar>
        </w:tblPrEx>
        <w:trPr>
          <w:trHeight w:val="9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每月对灭火剂储存容器、驱动气瓶、探测器、选择阀、单向阀、电磁阀、集流器、喷嘴、管网等全部系统组件进行外观检查</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灭火剂称重合格，灭火剂和驱动储存容器压力在正常范围，铅封完好，无组件变形和其他机械损伤，表面无锈蚀</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9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每季测试烟感、光感等探测器报警功能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探测器动作灵敏、报警准确</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78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每季测试手动启动、停止功能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手动启动、停止正常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r>
        <w:tblPrEx>
          <w:tblCellMar>
            <w:top w:w="15" w:type="dxa"/>
            <w:left w:w="15" w:type="dxa"/>
            <w:bottom w:w="15" w:type="dxa"/>
            <w:right w:w="15" w:type="dxa"/>
          </w:tblCellMar>
        </w:tblPrEx>
        <w:trPr>
          <w:trHeight w:val="104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jc w:val="center"/>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每季对防护区进行一次模拟启动试验</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sz w:val="22"/>
                <w:szCs w:val="16"/>
                <w:highlight w:val="none"/>
              </w:rPr>
              <w:t>报警、联动动作正常，试验合格</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8"/>
              <w:wordWrap w:val="0"/>
              <w:spacing w:line="240" w:lineRule="auto"/>
              <w:rPr>
                <w:rFonts w:hint="eastAsia" w:hAnsi="宋体" w:eastAsia="宋体" w:cs="@仿宋_GB2312"/>
                <w:color w:val="auto"/>
                <w:sz w:val="22"/>
                <w:szCs w:val="16"/>
                <w:highlight w:val="none"/>
              </w:rPr>
            </w:pPr>
            <w:r>
              <w:rPr>
                <w:rFonts w:hint="eastAsia" w:hAnsi="宋体" w:eastAsia="宋体" w:cs="@仿宋_GB2312"/>
                <w:color w:val="auto"/>
                <w:kern w:val="2"/>
                <w:sz w:val="22"/>
                <w:szCs w:val="16"/>
                <w:highlight w:val="none"/>
                <w:lang w:val="en-US" w:eastAsia="zh-CN" w:bidi="ar-SA"/>
              </w:rPr>
              <w:t>任一处未达标准</w:t>
            </w:r>
            <w:r>
              <w:rPr>
                <w:rFonts w:hint="eastAsia" w:ascii="宋体" w:hAnsi="宋体" w:eastAsia="宋体" w:cs="@仿宋_GB2312"/>
                <w:color w:val="auto"/>
                <w:kern w:val="2"/>
                <w:sz w:val="22"/>
                <w:szCs w:val="16"/>
                <w:highlight w:val="none"/>
                <w:lang w:val="en-US" w:eastAsia="zh-CN" w:bidi="ar-SA"/>
              </w:rPr>
              <w:t>，扣考核评分</w:t>
            </w:r>
            <w:r>
              <w:rPr>
                <w:rFonts w:hint="eastAsia" w:hAnsi="宋体" w:eastAsia="宋体" w:cs="@仿宋_GB2312"/>
                <w:color w:val="auto"/>
                <w:kern w:val="2"/>
                <w:sz w:val="22"/>
                <w:szCs w:val="16"/>
                <w:highlight w:val="none"/>
                <w:lang w:val="en-US" w:eastAsia="zh-CN" w:bidi="ar-SA"/>
              </w:rPr>
              <w:t>0.5</w:t>
            </w:r>
            <w:r>
              <w:rPr>
                <w:rFonts w:hint="eastAsia" w:ascii="宋体" w:hAnsi="宋体" w:eastAsia="宋体" w:cs="@仿宋_GB2312"/>
                <w:color w:val="auto"/>
                <w:kern w:val="2"/>
                <w:sz w:val="22"/>
                <w:szCs w:val="16"/>
                <w:highlight w:val="none"/>
                <w:lang w:val="en-US" w:eastAsia="zh-CN" w:bidi="ar-SA"/>
              </w:rPr>
              <w:t>分</w:t>
            </w:r>
            <w:r>
              <w:rPr>
                <w:rFonts w:hint="eastAsia" w:hAnsi="宋体" w:eastAsia="宋体" w:cs="@仿宋_GB2312"/>
                <w:color w:val="auto"/>
                <w:kern w:val="2"/>
                <w:sz w:val="22"/>
                <w:szCs w:val="16"/>
                <w:highlight w:val="none"/>
                <w:lang w:val="en-US" w:eastAsia="zh-CN" w:bidi="ar-SA"/>
              </w:rPr>
              <w:t>，并扣除服务费100元。</w:t>
            </w: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5B63FB5"/>
    <w:rsid w:val="174F3E72"/>
    <w:rsid w:val="19371A3D"/>
    <w:rsid w:val="1B562B38"/>
    <w:rsid w:val="1BBE6F12"/>
    <w:rsid w:val="1BE340FE"/>
    <w:rsid w:val="1CD51C99"/>
    <w:rsid w:val="1DB440B4"/>
    <w:rsid w:val="1EA9518B"/>
    <w:rsid w:val="1EF02DBA"/>
    <w:rsid w:val="229D0F23"/>
    <w:rsid w:val="2560638D"/>
    <w:rsid w:val="2888575B"/>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jc w:val="left"/>
    </w:pPr>
    <w:rPr>
      <w:caps/>
      <w:szCs w:val="24"/>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5"/>
    <w:next w:val="5"/>
    <w:link w:val="27"/>
    <w:autoRedefine/>
    <w:semiHidden/>
    <w:unhideWhenUsed/>
    <w:qFormat/>
    <w:uiPriority w:val="99"/>
    <w:rPr>
      <w:b/>
      <w:bCs/>
    </w:rPr>
  </w:style>
  <w:style w:type="paragraph" w:styleId="17">
    <w:name w:val="Body Text First Indent 2"/>
    <w:basedOn w:val="7"/>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1"/>
    <w:autoRedefine/>
    <w:qFormat/>
    <w:uiPriority w:val="99"/>
    <w:rPr>
      <w:sz w:val="18"/>
      <w:szCs w:val="18"/>
    </w:rPr>
  </w:style>
  <w:style w:type="character" w:customStyle="1" w:styleId="24">
    <w:name w:val="页脚 Char"/>
    <w:basedOn w:val="20"/>
    <w:link w:val="10"/>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5"/>
    <w:autoRedefine/>
    <w:semiHidden/>
    <w:qFormat/>
    <w:uiPriority w:val="99"/>
  </w:style>
  <w:style w:type="character" w:customStyle="1" w:styleId="27">
    <w:name w:val="批注主题 Char"/>
    <w:basedOn w:val="26"/>
    <w:link w:val="16"/>
    <w:autoRedefine/>
    <w:semiHidden/>
    <w:qFormat/>
    <w:uiPriority w:val="99"/>
    <w:rPr>
      <w:b/>
      <w:bCs/>
    </w:rPr>
  </w:style>
  <w:style w:type="character" w:customStyle="1" w:styleId="28">
    <w:name w:val="批注框文本 Char"/>
    <w:basedOn w:val="20"/>
    <w:link w:val="9"/>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2026-01-12T01:24:44Z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