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8"/>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36" w:firstLineChars="98"/>
        <w:jc w:val="center"/>
        <w:rPr>
          <w:rFonts w:hAnsi="宋体"/>
          <w:b/>
          <w:color w:val="000000"/>
          <w:sz w:val="24"/>
          <w:szCs w:val="24"/>
        </w:rPr>
      </w:pPr>
      <w:r>
        <w:rPr>
          <w:rFonts w:hint="eastAsia" w:hAnsi="宋体"/>
          <w:b/>
          <w:color w:val="000000"/>
          <w:sz w:val="24"/>
          <w:szCs w:val="24"/>
        </w:rPr>
        <w:t>报价表格式</w:t>
      </w:r>
    </w:p>
    <w:tbl>
      <w:tblPr>
        <w:tblStyle w:val="20"/>
        <w:tblpPr w:leftFromText="180" w:rightFromText="180" w:vertAnchor="text" w:horzAnchor="page" w:tblpX="1652"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sz w:val="24"/>
                <w:szCs w:val="24"/>
              </w:rPr>
            </w:pPr>
            <w:r>
              <w:rPr>
                <w:rFonts w:hint="eastAsia" w:hAnsi="宋体"/>
                <w:b/>
                <w:color w:val="000000"/>
                <w:sz w:val="24"/>
                <w:szCs w:val="24"/>
              </w:rPr>
              <w:t>供应商名称</w:t>
            </w:r>
          </w:p>
        </w:tc>
        <w:tc>
          <w:tcPr>
            <w:tcW w:w="6492" w:type="dxa"/>
            <w:tcBorders>
              <w:left w:val="single" w:color="auto" w:sz="4" w:space="0"/>
            </w:tcBorders>
          </w:tcPr>
          <w:p>
            <w:pPr>
              <w:spacing w:line="360" w:lineRule="auto"/>
              <w:rPr>
                <w:rFonts w:hAns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sz w:val="24"/>
                <w:szCs w:val="24"/>
              </w:rPr>
            </w:pPr>
            <w:r>
              <w:rPr>
                <w:rFonts w:hint="eastAsia" w:hAnsi="宋体"/>
                <w:b/>
                <w:color w:val="000000"/>
                <w:sz w:val="24"/>
                <w:szCs w:val="24"/>
              </w:rPr>
              <w:t>评标范围</w:t>
            </w:r>
          </w:p>
        </w:tc>
        <w:tc>
          <w:tcPr>
            <w:tcW w:w="6492" w:type="dxa"/>
            <w:tcBorders>
              <w:left w:val="single" w:color="auto" w:sz="4" w:space="0"/>
            </w:tcBorders>
            <w:vAlign w:val="center"/>
          </w:tcPr>
          <w:p>
            <w:pPr>
              <w:snapToGrid w:val="0"/>
              <w:spacing w:line="360" w:lineRule="auto"/>
              <w:rPr>
                <w:rFonts w:hAnsi="宋体"/>
                <w:b/>
                <w:color w:val="000000"/>
                <w:sz w:val="24"/>
                <w:szCs w:val="24"/>
              </w:rPr>
            </w:pPr>
            <w:r>
              <w:rPr>
                <w:rFonts w:hint="eastAsia" w:hAnsi="宋体"/>
                <w:bCs/>
                <w:color w:val="000000"/>
                <w:sz w:val="24"/>
                <w:szCs w:val="24"/>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sz w:val="24"/>
                <w:szCs w:val="24"/>
              </w:rPr>
            </w:pPr>
            <w:r>
              <w:rPr>
                <w:rFonts w:hint="eastAsia" w:hAnsi="宋体"/>
                <w:b/>
                <w:color w:val="000000"/>
                <w:sz w:val="24"/>
                <w:szCs w:val="24"/>
              </w:rPr>
              <w:t>报价</w:t>
            </w:r>
          </w:p>
          <w:p>
            <w:pPr>
              <w:spacing w:line="360" w:lineRule="auto"/>
              <w:jc w:val="center"/>
              <w:rPr>
                <w:rFonts w:hAnsi="宋体"/>
                <w:b/>
                <w:color w:val="000000"/>
                <w:sz w:val="24"/>
                <w:szCs w:val="24"/>
              </w:rPr>
            </w:pPr>
            <w:r>
              <w:rPr>
                <w:rFonts w:hint="eastAsia" w:hAnsi="宋体"/>
                <w:b/>
                <w:color w:val="000000"/>
                <w:sz w:val="24"/>
                <w:szCs w:val="24"/>
              </w:rPr>
              <w:t>（详见备注说明）</w:t>
            </w:r>
          </w:p>
        </w:tc>
        <w:tc>
          <w:tcPr>
            <w:tcW w:w="6492" w:type="dxa"/>
            <w:vAlign w:val="center"/>
          </w:tcPr>
          <w:p>
            <w:pPr>
              <w:snapToGrid w:val="0"/>
              <w:spacing w:line="360" w:lineRule="auto"/>
              <w:rPr>
                <w:rFonts w:hAnsi="宋体"/>
                <w:bCs/>
                <w:color w:val="000000"/>
                <w:sz w:val="24"/>
                <w:szCs w:val="24"/>
              </w:rPr>
            </w:pPr>
          </w:p>
          <w:p>
            <w:pPr>
              <w:snapToGrid w:val="0"/>
              <w:spacing w:line="360" w:lineRule="auto"/>
              <w:rPr>
                <w:rFonts w:hint="eastAsia" w:hAnsi="宋体" w:eastAsiaTheme="minorEastAsia"/>
                <w:bCs/>
                <w:color w:val="000000"/>
                <w:sz w:val="24"/>
                <w:szCs w:val="24"/>
                <w:u w:val="single"/>
                <w:lang w:val="en-US" w:eastAsia="zh-CN"/>
              </w:rPr>
            </w:pPr>
            <w:r>
              <w:rPr>
                <w:rFonts w:hint="eastAsia" w:hAnsi="宋体"/>
                <w:bCs/>
                <w:color w:val="000000"/>
                <w:sz w:val="24"/>
                <w:szCs w:val="24"/>
                <w:lang w:val="en-US" w:eastAsia="zh-CN"/>
              </w:rPr>
              <w:t>费率</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u w:val="single"/>
                <w:lang w:val="en-US" w:eastAsia="zh-CN"/>
              </w:rPr>
              <w:t>%</w:t>
            </w:r>
          </w:p>
          <w:p>
            <w:pPr>
              <w:snapToGrid w:val="0"/>
              <w:spacing w:line="360" w:lineRule="auto"/>
              <w:rPr>
                <w:rFonts w:hint="default" w:hAnsi="宋体" w:eastAsiaTheme="minorEastAsia"/>
                <w:b/>
                <w:color w:val="000000"/>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sz w:val="24"/>
                <w:szCs w:val="24"/>
              </w:rPr>
            </w:pPr>
            <w:r>
              <w:rPr>
                <w:rFonts w:hint="eastAsia" w:hAnsi="宋体"/>
                <w:b/>
                <w:color w:val="000000"/>
                <w:sz w:val="24"/>
                <w:szCs w:val="24"/>
              </w:rPr>
              <w:t>备注说明</w:t>
            </w:r>
          </w:p>
        </w:tc>
        <w:tc>
          <w:tcPr>
            <w:tcW w:w="6492" w:type="dxa"/>
          </w:tcPr>
          <w:p>
            <w:pPr>
              <w:spacing w:line="360" w:lineRule="auto"/>
              <w:rPr>
                <w:rFonts w:ascii="宋体" w:hAnsi="宋体" w:eastAsia="宋体" w:cs="宋体"/>
                <w:b/>
                <w:bCs/>
                <w:i w:val="0"/>
                <w:iCs w:val="0"/>
                <w:color w:val="333333"/>
                <w:sz w:val="24"/>
                <w:szCs w:val="24"/>
                <w:u w:val="none"/>
              </w:rPr>
            </w:pPr>
          </w:p>
          <w:p>
            <w:pPr>
              <w:spacing w:line="360" w:lineRule="auto"/>
              <w:rPr>
                <w:rFonts w:hAnsi="宋体"/>
                <w:b/>
                <w:color w:val="000000"/>
                <w:sz w:val="24"/>
                <w:szCs w:val="24"/>
              </w:rPr>
            </w:pPr>
            <w:r>
              <w:rPr>
                <w:rFonts w:ascii="宋体" w:hAnsi="宋体" w:eastAsia="宋体" w:cs="宋体"/>
                <w:b/>
                <w:bCs/>
                <w:i w:val="0"/>
                <w:iCs w:val="0"/>
                <w:color w:val="333333"/>
                <w:sz w:val="24"/>
                <w:szCs w:val="24"/>
                <w:u w:val="none"/>
              </w:rPr>
              <w:t>本项目最高投标费率不得超过50% ，否则投标无效。</w:t>
            </w:r>
          </w:p>
        </w:tc>
      </w:tr>
    </w:tbl>
    <w:p>
      <w:pPr>
        <w:snapToGrid w:val="0"/>
        <w:spacing w:line="360" w:lineRule="auto"/>
        <w:jc w:val="left"/>
        <w:rPr>
          <w:rFonts w:hint="eastAsia" w:hAnsi="宋体"/>
          <w:b/>
          <w:color w:val="000000"/>
          <w:sz w:val="24"/>
          <w:szCs w:val="24"/>
        </w:rPr>
      </w:pPr>
    </w:p>
    <w:p>
      <w:pPr>
        <w:snapToGrid w:val="0"/>
        <w:spacing w:line="360" w:lineRule="auto"/>
        <w:jc w:val="left"/>
        <w:rPr>
          <w:rFonts w:hint="eastAsia" w:hAnsi="宋体"/>
          <w:b/>
          <w:color w:val="000000"/>
          <w:sz w:val="24"/>
          <w:szCs w:val="24"/>
        </w:rPr>
      </w:pPr>
    </w:p>
    <w:p>
      <w:pPr>
        <w:snapToGrid w:val="0"/>
        <w:spacing w:line="360" w:lineRule="auto"/>
        <w:jc w:val="left"/>
        <w:rPr>
          <w:rFonts w:hAnsi="宋体"/>
          <w:b/>
          <w:color w:val="000000"/>
          <w:sz w:val="24"/>
          <w:szCs w:val="24"/>
        </w:rPr>
      </w:pPr>
      <w:r>
        <w:rPr>
          <w:rFonts w:hint="eastAsia" w:hAnsi="宋体"/>
          <w:b/>
          <w:color w:val="000000"/>
          <w:sz w:val="24"/>
          <w:szCs w:val="24"/>
        </w:rPr>
        <w:t>项目名称：</w:t>
      </w:r>
    </w:p>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lang w:eastAsia="zh-CN"/>
        </w:rPr>
        <w:t>1.</w:t>
      </w:r>
      <w:r>
        <w:rPr>
          <w:rFonts w:hint="eastAsia" w:hAnsi="宋体"/>
          <w:b/>
          <w:bCs/>
          <w:color w:val="000000"/>
          <w:szCs w:val="28"/>
        </w:rPr>
        <w:t>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lang w:eastAsia="zh-CN"/>
        </w:rPr>
        <w:t>2.</w:t>
      </w:r>
      <w:r>
        <w:rPr>
          <w:rFonts w:hint="eastAsia" w:hAnsi="宋体"/>
          <w:b/>
          <w:bCs/>
          <w:color w:val="000000"/>
          <w:szCs w:val="28"/>
        </w:rPr>
        <w:t>特殊事项在备注中注明。</w:t>
      </w:r>
    </w:p>
    <w:p>
      <w:pPr>
        <w:adjustRightInd w:val="0"/>
        <w:snapToGrid w:val="0"/>
        <w:spacing w:line="360" w:lineRule="auto"/>
        <w:ind w:firstLine="422" w:firstLineChars="2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sz w:val="24"/>
          <w:szCs w:val="24"/>
        </w:rPr>
      </w:pPr>
    </w:p>
    <w:p>
      <w:pPr>
        <w:jc w:val="center"/>
        <w:rPr>
          <w:rFonts w:hAnsi="宋体"/>
          <w:b/>
          <w:color w:val="000000"/>
          <w:sz w:val="32"/>
          <w:szCs w:val="32"/>
        </w:rPr>
      </w:pPr>
      <w:bookmarkStart w:id="8" w:name="OLE_LINK3"/>
      <w:r>
        <w:rPr>
          <w:rFonts w:hint="eastAsia" w:hAnsi="宋体"/>
          <w:b/>
          <w:color w:val="000000"/>
          <w:sz w:val="32"/>
          <w:szCs w:val="32"/>
        </w:rPr>
        <w:t>采购项目需求表</w:t>
      </w:r>
    </w:p>
    <w:bookmarkEnd w:id="8"/>
    <w:tbl>
      <w:tblPr>
        <w:tblStyle w:val="20"/>
        <w:tblpPr w:leftFromText="180" w:rightFromText="180" w:vertAnchor="text" w:horzAnchor="page" w:tblpX="1232" w:tblpY="471"/>
        <w:tblOverlap w:val="never"/>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725"/>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725"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内容</w:t>
            </w:r>
          </w:p>
        </w:tc>
        <w:tc>
          <w:tcPr>
            <w:tcW w:w="6855" w:type="dxa"/>
            <w:vAlign w:val="center"/>
          </w:tcPr>
          <w:p>
            <w:pPr>
              <w:pStyle w:val="45"/>
              <w:widowControl w:val="0"/>
              <w:spacing w:before="0" w:beforeAutospacing="0" w:after="0" w:afterAutospacing="0"/>
              <w:rPr>
                <w:rFonts w:hint="eastAsia" w:ascii="宋体" w:hAnsi="宋体" w:eastAsia="宋体" w:cs="宋体"/>
                <w:bCs w:val="0"/>
                <w:color w:val="000000"/>
                <w:kern w:val="2"/>
                <w:sz w:val="24"/>
                <w:szCs w:val="24"/>
              </w:rPr>
            </w:pPr>
            <w:r>
              <w:rPr>
                <w:rFonts w:hint="eastAsia" w:ascii="宋体" w:hAnsi="宋体" w:eastAsia="宋体" w:cs="宋体"/>
                <w:bCs w:val="0"/>
                <w:color w:val="00000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1725" w:type="dxa"/>
            <w:vAlign w:val="center"/>
          </w:tcPr>
          <w:p>
            <w:pPr>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项目名称</w:t>
            </w:r>
          </w:p>
        </w:tc>
        <w:tc>
          <w:tcPr>
            <w:tcW w:w="6855" w:type="dxa"/>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eastAsia" w:ascii="宋体" w:hAnsi="宋体" w:eastAsia="宋体" w:cstheme="minorBidi"/>
                <w:b w:val="0"/>
                <w:bCs w:val="0"/>
                <w:kern w:val="2"/>
                <w:sz w:val="24"/>
                <w:szCs w:val="24"/>
                <w:highlight w:val="none"/>
                <w:lang w:val="en-US" w:eastAsia="zh-CN" w:bidi="ar-SA"/>
              </w:rPr>
            </w:pPr>
            <w:r>
              <w:rPr>
                <w:rFonts w:hint="eastAsia" w:ascii="宋体" w:hAnsi="宋体" w:eastAsia="宋体" w:cstheme="minorBidi"/>
                <w:b w:val="0"/>
                <w:bCs w:val="0"/>
                <w:kern w:val="2"/>
                <w:sz w:val="24"/>
                <w:szCs w:val="24"/>
                <w:highlight w:val="none"/>
                <w:lang w:val="en-US" w:eastAsia="zh-CN" w:bidi="ar-SA"/>
              </w:rPr>
              <w:t>公用公司本部及子公司2026-2027年度自营工程项目结算审计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1725" w:type="dxa"/>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w:t>
            </w:r>
            <w:r>
              <w:rPr>
                <w:rFonts w:hint="eastAsia" w:ascii="宋体" w:hAnsi="宋体" w:eastAsia="宋体" w:cs="宋体"/>
                <w:color w:val="000000"/>
                <w:sz w:val="24"/>
                <w:szCs w:val="24"/>
                <w:lang w:val="en-US" w:eastAsia="zh-CN"/>
              </w:rPr>
              <w:t>概况</w:t>
            </w:r>
          </w:p>
        </w:tc>
        <w:tc>
          <w:tcPr>
            <w:tcW w:w="6855" w:type="dxa"/>
            <w:vAlign w:val="center"/>
          </w:tcPr>
          <w:p>
            <w:pPr>
              <w:spacing w:line="360" w:lineRule="auto"/>
              <w:rPr>
                <w:rFonts w:hint="default" w:ascii="宋体" w:hAnsi="宋体" w:eastAsia="宋体" w:cs="宋体"/>
                <w:b w:val="0"/>
                <w:bCs w:val="0"/>
                <w:color w:val="000000"/>
                <w:sz w:val="24"/>
                <w:szCs w:val="24"/>
                <w:lang w:val="en-US" w:eastAsia="zh-CN"/>
              </w:rPr>
            </w:pPr>
            <w:r>
              <w:rPr>
                <w:rFonts w:hint="eastAsia" w:ascii="宋体" w:hAnsi="宋体" w:eastAsia="宋体"/>
                <w:b w:val="0"/>
                <w:bCs w:val="0"/>
                <w:sz w:val="24"/>
                <w:szCs w:val="24"/>
                <w:highlight w:val="none"/>
                <w:lang w:val="en-US" w:eastAsia="zh-CN"/>
              </w:rPr>
              <w:t>本项目拟招2家服务单位对公用公司及子公司：本项目拟招2家服务单位对公用公司及子公司自营工程进行结算审计，审计费预算为暂定价，最终按项目实际造价计费。年工程量约4105万元（排水中心1960万元、市政中心800万元、新桥分公司1230万元、园林公司1960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1725"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供应商资格</w:t>
            </w:r>
          </w:p>
        </w:tc>
        <w:tc>
          <w:tcPr>
            <w:tcW w:w="6855" w:type="dxa"/>
            <w:vAlign w:val="center"/>
          </w:tcPr>
          <w:p>
            <w:pPr>
              <w:spacing w:line="360" w:lineRule="auto"/>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rPr>
              <w:t>1.符合《中华人民共和国政府采购法》第二十二条的规定；</w:t>
            </w:r>
          </w:p>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Theme="minorEastAsia" w:hAnsiTheme="minorEastAsia" w:cstheme="minorEastAsia"/>
                <w:sz w:val="24"/>
                <w:szCs w:val="24"/>
                <w:lang w:val="en-US" w:eastAsia="zh-CN"/>
              </w:rPr>
              <w:t>2.</w:t>
            </w:r>
            <w:r>
              <w:rPr>
                <w:rFonts w:hint="eastAsia" w:ascii="宋体" w:hAnsi="宋体" w:eastAsia="宋体"/>
                <w:b w:val="0"/>
                <w:bCs w:val="0"/>
                <w:sz w:val="24"/>
                <w:szCs w:val="24"/>
                <w:highlight w:val="none"/>
              </w:rPr>
              <w:t>具有本地化</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rPr>
              <w:t>合肥市</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rPr>
              <w:t>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4</w:t>
            </w:r>
          </w:p>
        </w:tc>
        <w:tc>
          <w:tcPr>
            <w:tcW w:w="1725" w:type="dxa"/>
            <w:vAlign w:val="center"/>
          </w:tcPr>
          <w:p>
            <w:pPr>
              <w:pStyle w:val="45"/>
              <w:widowControl w:val="0"/>
              <w:spacing w:before="0" w:beforeAutospacing="0" w:after="0" w:afterAutospacing="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资金来源</w:t>
            </w:r>
          </w:p>
        </w:tc>
        <w:tc>
          <w:tcPr>
            <w:tcW w:w="6855" w:type="dxa"/>
            <w:vAlign w:val="center"/>
          </w:tcPr>
          <w:p>
            <w:pPr>
              <w:pStyle w:val="45"/>
              <w:widowControl w:val="0"/>
              <w:spacing w:before="0" w:beforeAutospacing="0" w:after="0" w:afterAutospacing="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725" w:type="dxa"/>
          </w:tcPr>
          <w:p>
            <w:pPr>
              <w:spacing w:line="5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标段划分</w:t>
            </w:r>
          </w:p>
        </w:tc>
        <w:tc>
          <w:tcPr>
            <w:tcW w:w="6855" w:type="dxa"/>
            <w:vAlign w:val="center"/>
          </w:tcPr>
          <w:p>
            <w:pPr>
              <w:spacing w:line="500" w:lineRule="exact"/>
              <w:ind w:firstLine="120" w:firstLineChars="5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vAlign w:val="center"/>
          </w:tcPr>
          <w:p>
            <w:pPr>
              <w:spacing w:line="500" w:lineRule="exact"/>
              <w:ind w:right="102"/>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725" w:type="dxa"/>
            <w:vAlign w:val="center"/>
          </w:tcPr>
          <w:p>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付款方式</w:t>
            </w:r>
          </w:p>
        </w:tc>
        <w:tc>
          <w:tcPr>
            <w:tcW w:w="6855" w:type="dxa"/>
          </w:tcPr>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1.项目最终审计费用：依据就高不就低原则，根据（1）和（2）的计算结果，以高的结算审计费用为最终审计费用。</w:t>
            </w:r>
          </w:p>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（1）结算审计费用=送审额×基本收费率×中标费率。其中，基本收费按照《安徽省建设工程造价咨询服务项目及收费标准》中第六项计费方式计算。</w:t>
            </w:r>
          </w:p>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（2）结算审计费用=送审额×核减率×（核减收费率5%×中标费率。注：（1）不计取核增费用；不计取钢筋抽样费用；无计时收费；</w:t>
            </w:r>
          </w:p>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2.除另有约定外，招标人无须再向中标人另行支付其他任何费用及税费，包括但不限于食宿费、交通费、流转税、所得税等。</w:t>
            </w:r>
          </w:p>
          <w:p>
            <w:pPr>
              <w:spacing w:line="360" w:lineRule="auto"/>
              <w:rPr>
                <w:rFonts w:hint="eastAsia" w:ascii="宋体" w:hAnsi="宋体" w:eastAsia="宋体" w:cstheme="minorBidi"/>
                <w:b w:val="0"/>
                <w:bCs w:val="0"/>
                <w:kern w:val="2"/>
                <w:sz w:val="24"/>
                <w:szCs w:val="24"/>
                <w:highlight w:val="none"/>
                <w:lang w:val="en-US" w:eastAsia="zh-CN" w:bidi="ar-SA"/>
              </w:rPr>
            </w:pPr>
            <w:r>
              <w:rPr>
                <w:rFonts w:hint="eastAsia" w:ascii="宋体" w:hAnsi="宋体" w:eastAsia="宋体"/>
                <w:b w:val="0"/>
                <w:bCs w:val="0"/>
                <w:sz w:val="24"/>
                <w:szCs w:val="24"/>
                <w:highlight w:val="none"/>
                <w:lang w:val="en-US" w:eastAsia="zh-CN"/>
              </w:rPr>
              <w:t>3.审核最低收费为1000元，不参与优惠计算。工程结算审核项目中，暂停审核及退审项</w:t>
            </w:r>
            <w:r>
              <w:rPr>
                <w:rFonts w:hint="eastAsia" w:ascii="宋体" w:hAnsi="宋体" w:eastAsia="宋体" w:cstheme="minorBidi"/>
                <w:b w:val="0"/>
                <w:bCs w:val="0"/>
                <w:kern w:val="2"/>
                <w:sz w:val="24"/>
                <w:szCs w:val="24"/>
                <w:highlight w:val="none"/>
                <w:lang w:val="en-US" w:eastAsia="zh-CN" w:bidi="ar-SA"/>
              </w:rPr>
              <w:t>目暂不结算费用。被审核单位对审核结果不予认可，提起法律诉讼 或仲裁的项目，在最终判决或仲裁结果基础上，双方协商结算审计费。工期因故延 长的，费用不增加。</w:t>
            </w:r>
          </w:p>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4.复审核减率超过1.5%的，招标人有权拒绝支付复审项目的审计服务费。复审发现价款结算审计重大错误或遗漏的，按上述进行处理并同时上报区公共资源 交易监督管理部门。</w:t>
            </w:r>
          </w:p>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5.举例：</w:t>
            </w:r>
          </w:p>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例1 ：委托结算项目总投资为100万元，若结算审核中的核减率为6.71% ，若中标费率为40%，其工程结算审核咨询服务费最终为：</w:t>
            </w:r>
          </w:p>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基本收费：送审额 100万元×基本收费率（3.0‰）×中标费率40%=1200元</w:t>
            </w:r>
          </w:p>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核减额收费：送审额 100万元×核减率6.71%×核减收费率5%×中标费率40%=1342元。</w:t>
            </w:r>
          </w:p>
          <w:p>
            <w:pPr>
              <w:spacing w:line="360" w:lineRule="auto"/>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 xml:space="preserve">基本收费1200元〈核减额收费1342元，按1342元计取最终审计费。 </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b w:val="0"/>
                <w:bCs w:val="0"/>
                <w:sz w:val="24"/>
                <w:szCs w:val="24"/>
                <w:highlight w:val="none"/>
                <w:lang w:val="en-US" w:eastAsia="zh-CN"/>
              </w:rPr>
              <w:t>例2 ：计算所得费用低于1000元，其咨询服务费为：最低收费1000元。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80" w:type="dxa"/>
            <w:vAlign w:val="center"/>
          </w:tcPr>
          <w:p>
            <w:pPr>
              <w:spacing w:line="500" w:lineRule="exact"/>
              <w:ind w:right="102"/>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725" w:type="dxa"/>
            <w:vAlign w:val="center"/>
          </w:tcPr>
          <w:p>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联合体投标</w:t>
            </w:r>
          </w:p>
        </w:tc>
        <w:tc>
          <w:tcPr>
            <w:tcW w:w="6855" w:type="dxa"/>
            <w:vAlign w:val="center"/>
          </w:tcPr>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w:t>
            </w:r>
            <w:r>
              <w:rPr>
                <w:rFonts w:hint="eastAsia" w:ascii="宋体" w:hAnsi="宋体" w:eastAsia="宋体" w:cs="宋体"/>
                <w:color w:val="000000" w:themeColor="text1"/>
                <w:sz w:val="24"/>
                <w:szCs w:val="24"/>
                <w:lang w:val="zh-CN"/>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80"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725" w:type="dxa"/>
          </w:tcPr>
          <w:p>
            <w:pPr>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服务地点</w:t>
            </w:r>
          </w:p>
        </w:tc>
        <w:tc>
          <w:tcPr>
            <w:tcW w:w="6855" w:type="dxa"/>
          </w:tcPr>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80"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725" w:type="dxa"/>
            <w:vAlign w:val="center"/>
          </w:tcPr>
          <w:p>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服务期限</w:t>
            </w:r>
          </w:p>
        </w:tc>
        <w:tc>
          <w:tcPr>
            <w:tcW w:w="6855" w:type="dxa"/>
            <w:vAlign w:val="center"/>
          </w:tcPr>
          <w:p>
            <w:pPr>
              <w:pStyle w:val="74"/>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rPr>
              <w:t>服务</w:t>
            </w:r>
            <w:r>
              <w:rPr>
                <w:rFonts w:hint="eastAsia" w:ascii="宋体" w:hAnsi="宋体" w:eastAsia="宋体" w:cs="宋体"/>
                <w:sz w:val="24"/>
                <w:szCs w:val="24"/>
                <w:highlight w:val="none"/>
              </w:rPr>
              <w:t>期限：1+X年（X≤</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），合同期满后根据履约情况，经合同双方协商一致，可续签合同，合同金额、服务内容保持不变。</w:t>
            </w:r>
          </w:p>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当出现以下因素时，采购人有权随时终止合同，中标供应商不得以任何理由提出索赔要求：（1）政策性调整；（2）因中标供应商原因发生安全事故。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80"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725" w:type="dxa"/>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bCs/>
                <w:color w:val="000000"/>
                <w:sz w:val="24"/>
                <w:szCs w:val="24"/>
              </w:rPr>
              <w:t>踏勘现场</w:t>
            </w:r>
          </w:p>
        </w:tc>
        <w:tc>
          <w:tcPr>
            <w:tcW w:w="6855" w:type="dxa"/>
            <w:vAlign w:val="center"/>
          </w:tcPr>
          <w:p>
            <w:pPr>
              <w:spacing w:line="500" w:lineRule="exact"/>
              <w:rPr>
                <w:rFonts w:hint="eastAsia" w:ascii="宋体" w:hAnsi="宋体" w:eastAsia="宋体" w:cs="宋体"/>
                <w:color w:val="000000"/>
                <w:sz w:val="24"/>
                <w:szCs w:val="24"/>
                <w:lang w:val="zh-CN"/>
              </w:rPr>
            </w:pPr>
            <w:r>
              <w:rPr>
                <w:rFonts w:hint="eastAsia" w:ascii="宋体" w:hAnsi="宋体" w:eastAsia="宋体" w:cs="宋体"/>
                <w:b/>
                <w:color w:val="000000"/>
                <w:sz w:val="24"/>
                <w:szCs w:val="24"/>
              </w:rPr>
              <w:sym w:font="Wingdings" w:char="00FE"/>
            </w:r>
            <w:r>
              <w:rPr>
                <w:rFonts w:hint="eastAsia" w:ascii="宋体" w:hAnsi="宋体" w:eastAsia="宋体" w:cs="宋体"/>
                <w:bCs/>
                <w:color w:val="000000"/>
                <w:sz w:val="24"/>
                <w:szCs w:val="24"/>
              </w:rPr>
              <w:t>自行踏勘</w:t>
            </w:r>
            <w:r>
              <w:rPr>
                <w:rFonts w:hint="eastAsia" w:ascii="宋体" w:hAnsi="宋体" w:eastAsia="宋体" w:cs="宋体"/>
                <w:color w:val="000000"/>
                <w:sz w:val="24"/>
                <w:szCs w:val="24"/>
              </w:rPr>
              <w:t xml:space="preserve">  □采购人</w:t>
            </w:r>
            <w:r>
              <w:rPr>
                <w:rFonts w:hint="eastAsia" w:ascii="宋体" w:hAnsi="宋体" w:eastAsia="宋体" w:cs="宋体"/>
                <w:color w:val="000000"/>
                <w:sz w:val="24"/>
                <w:szCs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0"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1725" w:type="dxa"/>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本地化服务</w:t>
            </w:r>
          </w:p>
        </w:tc>
        <w:tc>
          <w:tcPr>
            <w:tcW w:w="6855" w:type="dxa"/>
            <w:vAlign w:val="center"/>
          </w:tcPr>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本项目是否要求本地化服务能力：</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要求□不要求</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本地化服务的能力是指具有以下条件之一：</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1）在本地具有固定的办公场所及人员；</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2）在本地注册成立的；</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3）承诺成交即设立本地化服务机构。</w:t>
            </w:r>
          </w:p>
          <w:p>
            <w:pPr>
              <w:spacing w:line="50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备注：“本地”系指：合肥市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80" w:type="dxa"/>
            <w:vAlign w:val="center"/>
          </w:tcPr>
          <w:p>
            <w:pPr>
              <w:spacing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12</w:t>
            </w:r>
          </w:p>
        </w:tc>
        <w:tc>
          <w:tcPr>
            <w:tcW w:w="1725"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备注</w:t>
            </w:r>
          </w:p>
        </w:tc>
        <w:tc>
          <w:tcPr>
            <w:tcW w:w="6855" w:type="dxa"/>
            <w:vAlign w:val="center"/>
          </w:tcPr>
          <w:p>
            <w:pPr>
              <w:spacing w:line="500" w:lineRule="exact"/>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 xml:space="preserve">特别提醒：供应商参与投标，应当诚信守法、公平竞争。如有以提供虚假材料（包括但不限于虚假技术参数响应、虚假业绩、虚假证书、虚假检测报告等）、串通投标、隐瞒失信信息等谋取成交资格的行为，一经发现，将报监管部门严肃查处。 </w:t>
            </w:r>
          </w:p>
        </w:tc>
      </w:tr>
    </w:tbl>
    <w:p>
      <w:pPr>
        <w:bidi w:val="0"/>
        <w:jc w:val="both"/>
        <w:rPr>
          <w:rFonts w:hint="eastAsia"/>
          <w:b/>
          <w:bCs/>
          <w:sz w:val="24"/>
          <w:szCs w:val="24"/>
          <w:lang w:val="en-US" w:eastAsia="zh-CN"/>
        </w:rPr>
      </w:pPr>
    </w:p>
    <w:p>
      <w:pPr>
        <w:widowControl/>
        <w:kinsoku w:val="0"/>
        <w:autoSpaceDE w:val="0"/>
        <w:autoSpaceDN w:val="0"/>
        <w:adjustRightInd w:val="0"/>
        <w:snapToGrid w:val="0"/>
        <w:spacing w:before="101" w:line="226" w:lineRule="auto"/>
        <w:ind w:left="1898"/>
        <w:jc w:val="left"/>
        <w:textAlignment w:val="baseline"/>
        <w:rPr>
          <w:rFonts w:ascii="黑体" w:hAnsi="黑体" w:eastAsia="黑体" w:cs="黑体"/>
          <w:snapToGrid w:val="0"/>
          <w:color w:val="000000"/>
          <w:spacing w:val="8"/>
          <w:kern w:val="0"/>
          <w:sz w:val="24"/>
          <w:szCs w:val="24"/>
          <w:lang w:eastAsia="en-US"/>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（一）审核时限要求</w:t>
      </w:r>
    </w:p>
    <w:p>
      <w:pPr>
        <w:spacing w:line="360" w:lineRule="auto"/>
        <w:ind w:firstLine="480" w:firstLineChars="200"/>
        <w:outlineLvl w:val="0"/>
        <w:rPr>
          <w:rFonts w:hint="eastAsia" w:ascii="宋体" w:hAnsi="宋体" w:cs="宋体"/>
          <w:sz w:val="24"/>
          <w:szCs w:val="24"/>
        </w:rPr>
      </w:pPr>
      <w:r>
        <w:rPr>
          <w:rFonts w:hint="eastAsia" w:ascii="宋体" w:hAnsi="宋体" w:cs="宋体"/>
          <w:sz w:val="24"/>
          <w:szCs w:val="24"/>
        </w:rPr>
        <w:t>审计中介机构接到完整的审计资料，3000万元以下（3000万元以上、1亿元以上）单项工程，在2周（1个月、1.5个月）内完成初步审计，撰写初审报告；在1个月（1.5个月、2个月）内完成审计，并出具审核说明及结算定案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1.本项目需配备人员不少于5人，其中项目负责人1人，专业审计人员4人，</w:t>
      </w:r>
      <w:r>
        <w:rPr>
          <w:rFonts w:hint="eastAsia" w:asciiTheme="minorEastAsia" w:hAnsiTheme="minorEastAsia" w:eastAsiaTheme="minorEastAsia" w:cstheme="minorEastAsia"/>
          <w:sz w:val="24"/>
          <w:szCs w:val="24"/>
          <w:lang w:val="en-US" w:eastAsia="zh-CN"/>
        </w:rPr>
        <w:t>中标后，中标人应提供人员任职名单。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所报人员原则上不得调换。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.本项目禁止挂靠或转包，有下列情形之一，视同</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挂靠或转包，</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有权拒绝与</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签订合同或解除已签订的合同，并上报监管部门进行依法依规处理：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（1）合同签订后</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即申请投标所报人员进行调换，并申请调换人员达2人及以上的；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组织中标约谈及每月审计例会，要求上述人员配备需求表中的</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人员全部参加的，参加人员累计缺席</w:t>
      </w:r>
      <w:r>
        <w:rPr>
          <w:rFonts w:hint="eastAsia" w:asciiTheme="minorEastAsia" w:hAnsiTheme="minorEastAsia" w:cstheme="minorEastAsia"/>
          <w:sz w:val="24"/>
          <w:szCs w:val="24"/>
          <w:lang w:eastAsia="zh-CN"/>
        </w:rPr>
        <w:t>超过</w:t>
      </w:r>
      <w:r>
        <w:rPr>
          <w:rFonts w:hint="eastAsia" w:asciiTheme="minorEastAsia" w:hAnsiTheme="minorEastAsia" w:eastAsiaTheme="minorEastAsia" w:cstheme="minorEastAsia"/>
          <w:sz w:val="24"/>
          <w:szCs w:val="24"/>
        </w:rPr>
        <w:t>3人次的。</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bookmarkStart w:id="9" w:name="_Toc482188644"/>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rPr>
        <w:t>、</w:t>
      </w:r>
      <w:bookmarkEnd w:id="9"/>
      <w:r>
        <w:rPr>
          <w:rFonts w:hint="eastAsia" w:asciiTheme="minorEastAsia" w:hAnsiTheme="minorEastAsia" w:eastAsiaTheme="minorEastAsia" w:cstheme="minorEastAsia"/>
          <w:b/>
          <w:sz w:val="24"/>
          <w:szCs w:val="24"/>
        </w:rPr>
        <w:t>报价要求</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w:t>
      </w:r>
      <w:r>
        <w:rPr>
          <w:rFonts w:hint="eastAsia" w:asciiTheme="minorEastAsia" w:hAnsiTheme="minorEastAsia" w:eastAsiaTheme="minorEastAsia" w:cstheme="minorEastAsia"/>
          <w:sz w:val="24"/>
          <w:szCs w:val="24"/>
          <w:lang w:eastAsia="zh-CN"/>
        </w:rPr>
        <w:t>预算为</w:t>
      </w:r>
      <w:r>
        <w:rPr>
          <w:rFonts w:hint="eastAsia" w:asciiTheme="minorEastAsia" w:hAnsiTheme="minorEastAsia" w:cstheme="minorEastAsia"/>
          <w:sz w:val="24"/>
          <w:szCs w:val="24"/>
          <w:lang w:val="en-US" w:eastAsia="zh-CN"/>
        </w:rPr>
        <w:t>28.8</w:t>
      </w:r>
      <w:r>
        <w:rPr>
          <w:rFonts w:hint="eastAsia" w:asciiTheme="minorEastAsia" w:hAnsiTheme="minorEastAsia" w:eastAsiaTheme="minorEastAsia" w:cstheme="minorEastAsia"/>
          <w:sz w:val="24"/>
          <w:szCs w:val="24"/>
          <w:lang w:val="en-US" w:eastAsia="zh-CN"/>
        </w:rPr>
        <w:t>万元/年，投标人须</w:t>
      </w:r>
      <w:r>
        <w:rPr>
          <w:rFonts w:hint="eastAsia" w:asciiTheme="minorEastAsia" w:hAnsiTheme="minorEastAsia" w:eastAsiaTheme="minorEastAsia" w:cstheme="minorEastAsia"/>
          <w:sz w:val="24"/>
          <w:szCs w:val="24"/>
        </w:rPr>
        <w:t>报</w:t>
      </w:r>
      <w:r>
        <w:rPr>
          <w:rFonts w:hint="eastAsia" w:asciiTheme="minorEastAsia" w:hAnsiTheme="minorEastAsia" w:eastAsiaTheme="minorEastAsia" w:cstheme="minorEastAsia"/>
          <w:sz w:val="24"/>
          <w:szCs w:val="24"/>
          <w:lang w:eastAsia="zh-CN"/>
        </w:rPr>
        <w:t>出</w:t>
      </w:r>
      <w:r>
        <w:rPr>
          <w:rFonts w:hint="eastAsia" w:asciiTheme="minorEastAsia" w:hAnsiTheme="minorEastAsia" w:eastAsiaTheme="minorEastAsia" w:cstheme="minorEastAsia"/>
          <w:sz w:val="24"/>
          <w:szCs w:val="24"/>
          <w:lang w:val="en-US" w:eastAsia="zh-CN"/>
        </w:rPr>
        <w:t>费率</w:t>
      </w:r>
      <w:r>
        <w:rPr>
          <w:rFonts w:hint="eastAsia" w:asciiTheme="minorEastAsia" w:hAnsiTheme="minorEastAsia" w:cstheme="minorEastAsia"/>
          <w:sz w:val="24"/>
          <w:szCs w:val="24"/>
          <w:lang w:val="en-US" w:eastAsia="zh-CN"/>
        </w:rPr>
        <w:t>（＜50%）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费用据实结算，全年</w:t>
      </w:r>
      <w:r>
        <w:rPr>
          <w:rFonts w:hint="eastAsia" w:asciiTheme="minorEastAsia" w:hAnsiTheme="minorEastAsia" w:eastAsiaTheme="minorEastAsia" w:cstheme="minorEastAsia"/>
          <w:sz w:val="24"/>
          <w:szCs w:val="24"/>
          <w:lang w:eastAsia="zh-CN"/>
        </w:rPr>
        <w:t>总价</w:t>
      </w:r>
      <w:r>
        <w:rPr>
          <w:rFonts w:hint="eastAsia" w:asciiTheme="minorEastAsia" w:hAnsiTheme="minorEastAsia" w:eastAsiaTheme="minorEastAsia" w:cstheme="minorEastAsia"/>
          <w:sz w:val="24"/>
          <w:szCs w:val="24"/>
        </w:rPr>
        <w:t>不得超过</w:t>
      </w:r>
      <w:r>
        <w:rPr>
          <w:rFonts w:hint="eastAsia" w:asciiTheme="minorEastAsia" w:hAnsiTheme="minorEastAsia" w:eastAsiaTheme="minorEastAsia" w:cstheme="minorEastAsia"/>
          <w:sz w:val="24"/>
          <w:szCs w:val="24"/>
          <w:lang w:eastAsia="zh-CN"/>
        </w:rPr>
        <w:t>项目预算</w:t>
      </w:r>
      <w:r>
        <w:rPr>
          <w:rFonts w:hint="eastAsia" w:asciiTheme="minorEastAsia" w:hAnsiTheme="minorEastAsia" w:eastAsiaTheme="minorEastAsia" w:cstheme="minorEastAsia"/>
          <w:sz w:val="24"/>
          <w:szCs w:val="24"/>
        </w:rPr>
        <w:t>。投标人应充分考虑本项目服务内容涉及范围较广，地点分散等特殊性以及工作要求后，谨慎报价。</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报价包含但不限于人员工资、办公费、通讯费、差旅费、食宿费、验收等为完成本次项目所发生的一切费用、税金。投标人自行考虑可能存在的各种风险、责任、义务等支出。后期不得以工程量与总概预算差距较大、延期、估计不足等理由提出任何增加服务价款的要求。</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三</w:t>
      </w:r>
      <w:r>
        <w:rPr>
          <w:rFonts w:hint="eastAsia" w:asciiTheme="minorEastAsia" w:hAnsiTheme="minorEastAsia" w:eastAsiaTheme="minorEastAsia" w:cstheme="minorEastAsia"/>
          <w:b/>
          <w:sz w:val="24"/>
          <w:szCs w:val="24"/>
          <w:lang w:eastAsia="zh-CN"/>
        </w:rPr>
        <w:t>、评标方法和标准</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ascii="黑体" w:hAnsi="黑体" w:eastAsia="黑体" w:cs="黑体"/>
          <w:spacing w:val="8"/>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eastAsia="zh-CN"/>
        </w:rPr>
        <w:t>采用</w:t>
      </w:r>
      <w:r>
        <w:rPr>
          <w:rFonts w:hint="eastAsia" w:asciiTheme="minorEastAsia" w:hAnsiTheme="minorEastAsia" w:cstheme="minorEastAsia"/>
          <w:sz w:val="24"/>
          <w:szCs w:val="24"/>
          <w:lang w:val="en-US" w:eastAsia="zh-CN"/>
        </w:rPr>
        <w:t>综合评估法（一次平均）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具体评</w:t>
      </w:r>
      <w:r>
        <w:rPr>
          <w:rFonts w:hint="eastAsia" w:asciiTheme="minorEastAsia" w:hAnsiTheme="minorEastAsia" w:eastAsiaTheme="minorEastAsia" w:cstheme="minorEastAsia"/>
          <w:sz w:val="24"/>
          <w:szCs w:val="24"/>
          <w:lang w:eastAsia="zh-CN"/>
        </w:rPr>
        <w:t>定</w:t>
      </w:r>
      <w:r>
        <w:rPr>
          <w:rFonts w:hint="eastAsia" w:asciiTheme="minorEastAsia" w:hAnsiTheme="minorEastAsia" w:eastAsiaTheme="minorEastAsia" w:cstheme="minorEastAsia"/>
          <w:sz w:val="24"/>
          <w:szCs w:val="24"/>
        </w:rPr>
        <w:t>细则如下：</w:t>
      </w:r>
    </w:p>
    <w:p>
      <w:pPr>
        <w:jc w:val="center"/>
        <w:rPr>
          <w:b/>
          <w:bCs/>
          <w:color w:val="000000"/>
          <w:sz w:val="24"/>
          <w:szCs w:val="24"/>
        </w:rPr>
      </w:pPr>
    </w:p>
    <w:p>
      <w:pPr>
        <w:jc w:val="center"/>
        <w:rPr>
          <w:b/>
          <w:bCs/>
          <w:color w:val="000000"/>
          <w:sz w:val="24"/>
          <w:szCs w:val="24"/>
        </w:rPr>
      </w:pPr>
      <w:r>
        <w:rPr>
          <w:b/>
          <w:bCs/>
          <w:color w:val="000000"/>
          <w:sz w:val="24"/>
          <w:szCs w:val="24"/>
        </w:rPr>
        <w:t>综合评分明细表</w:t>
      </w:r>
    </w:p>
    <w:p>
      <w:pPr>
        <w:jc w:val="center"/>
        <w:rPr>
          <w:b/>
          <w:bCs/>
          <w:color w:val="000000"/>
          <w:sz w:val="24"/>
          <w:szCs w:val="24"/>
        </w:rPr>
      </w:pPr>
    </w:p>
    <w:tbl>
      <w:tblPr>
        <w:tblStyle w:val="20"/>
        <w:tblW w:w="5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8"/>
        <w:gridCol w:w="1144"/>
        <w:gridCol w:w="6290"/>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spacing w:line="400" w:lineRule="exact"/>
              <w:jc w:val="center"/>
              <w:rPr>
                <w:rFonts w:ascii="宋体" w:hAnsi="宋体" w:cs="宋体"/>
                <w:sz w:val="24"/>
                <w:szCs w:val="24"/>
              </w:rPr>
            </w:pPr>
            <w:r>
              <w:rPr>
                <w:rFonts w:hint="eastAsia" w:ascii="宋体" w:hAnsi="宋体" w:cs="宋体"/>
                <w:b/>
                <w:bCs/>
                <w:spacing w:val="13"/>
                <w:sz w:val="24"/>
                <w:szCs w:val="24"/>
              </w:rPr>
              <w:t>类别</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spacing w:line="400" w:lineRule="exact"/>
              <w:jc w:val="center"/>
              <w:rPr>
                <w:rFonts w:ascii="宋体" w:hAnsi="宋体" w:cs="宋体"/>
                <w:sz w:val="24"/>
                <w:szCs w:val="24"/>
              </w:rPr>
            </w:pPr>
            <w:r>
              <w:rPr>
                <w:rFonts w:hint="eastAsia" w:ascii="宋体" w:hAnsi="宋体" w:cs="宋体"/>
                <w:b/>
                <w:bCs/>
                <w:spacing w:val="13"/>
                <w:sz w:val="24"/>
                <w:szCs w:val="24"/>
              </w:rPr>
              <w:t>评分内容</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spacing w:line="400" w:lineRule="exact"/>
              <w:jc w:val="both"/>
              <w:rPr>
                <w:rFonts w:ascii="宋体" w:hAnsi="宋体" w:cs="宋体"/>
                <w:sz w:val="24"/>
                <w:szCs w:val="24"/>
              </w:rPr>
            </w:pPr>
            <w:r>
              <w:rPr>
                <w:rFonts w:hint="eastAsia" w:ascii="宋体" w:hAnsi="宋体" w:cs="宋体"/>
                <w:b/>
                <w:bCs/>
                <w:spacing w:val="12"/>
                <w:sz w:val="24"/>
                <w:szCs w:val="24"/>
              </w:rPr>
              <w:t>评分标准</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spacing w:line="400" w:lineRule="exact"/>
              <w:jc w:val="both"/>
              <w:rPr>
                <w:rFonts w:ascii="宋体" w:hAnsi="宋体" w:cs="宋体"/>
                <w:sz w:val="24"/>
                <w:szCs w:val="24"/>
              </w:rPr>
            </w:pPr>
            <w:r>
              <w:rPr>
                <w:rFonts w:hint="eastAsia" w:ascii="宋体" w:hAnsi="宋体" w:cs="宋体"/>
                <w:b/>
                <w:bCs/>
                <w:spacing w:val="-4"/>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42" w:type="pct"/>
            <w:vMerge w:val="restart"/>
            <w:tcBorders>
              <w:top w:val="nil"/>
              <w:left w:val="single" w:color="auto" w:sz="4" w:space="0"/>
              <w:right w:val="single" w:color="auto" w:sz="4" w:space="0"/>
            </w:tcBorders>
            <w:shd w:val="clear" w:color="auto" w:fill="auto"/>
            <w:vAlign w:val="center"/>
          </w:tcPr>
          <w:p>
            <w:pPr>
              <w:pStyle w:val="48"/>
              <w:widowControl/>
              <w:spacing w:line="400" w:lineRule="exact"/>
              <w:jc w:val="center"/>
              <w:rPr>
                <w:rFonts w:hint="default" w:ascii="宋体" w:hAnsi="宋体" w:cs="宋体" w:eastAsiaTheme="minorEastAsia"/>
                <w:sz w:val="24"/>
                <w:szCs w:val="24"/>
                <w:lang w:val="en-US" w:eastAsia="zh-CN"/>
              </w:rPr>
            </w:pPr>
            <w:r>
              <w:rPr>
                <w:rFonts w:hint="eastAsia" w:ascii="宋体" w:hAnsi="宋体" w:cs="宋体"/>
                <w:sz w:val="24"/>
                <w:szCs w:val="24"/>
              </w:rPr>
              <w:t>技术分</w:t>
            </w:r>
            <w:r>
              <w:rPr>
                <w:rFonts w:hint="eastAsia" w:ascii="宋体" w:hAnsi="宋体" w:cs="宋体"/>
                <w:sz w:val="24"/>
                <w:szCs w:val="24"/>
                <w:lang w:val="en-US" w:eastAsia="zh-CN"/>
              </w:rPr>
              <w:t>评分标准</w:t>
            </w:r>
          </w:p>
          <w:p>
            <w:pPr>
              <w:pStyle w:val="48"/>
              <w:widowControl/>
              <w:spacing w:line="400" w:lineRule="exact"/>
              <w:jc w:val="center"/>
              <w:rPr>
                <w:rFonts w:ascii="宋体" w:hAnsi="宋体" w:cs="宋体"/>
                <w:sz w:val="24"/>
                <w:szCs w:val="24"/>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kern w:val="2"/>
                <w:sz w:val="24"/>
                <w:szCs w:val="24"/>
              </w:rPr>
            </w:pPr>
            <w:r>
              <w:rPr>
                <w:spacing w:val="-5"/>
                <w:sz w:val="21"/>
                <w:szCs w:val="21"/>
              </w:rPr>
              <w:t>审计服务方</w:t>
            </w:r>
            <w:r>
              <w:rPr>
                <w:sz w:val="21"/>
                <w:szCs w:val="21"/>
              </w:rPr>
              <w:t>案</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37" w:line="350" w:lineRule="auto"/>
              <w:ind w:left="114" w:right="282" w:hanging="1"/>
              <w:jc w:val="both"/>
              <w:rPr>
                <w:sz w:val="21"/>
                <w:szCs w:val="21"/>
              </w:rPr>
            </w:pPr>
            <w:r>
              <w:rPr>
                <w:spacing w:val="-1"/>
                <w:sz w:val="21"/>
                <w:szCs w:val="21"/>
              </w:rPr>
              <w:t>评标委员会根据投标人对项目理解认识情况及针对项目特点提供的审计服务方案的全面性进行综合评分：</w:t>
            </w:r>
          </w:p>
          <w:p>
            <w:pPr>
              <w:pStyle w:val="36"/>
              <w:spacing w:before="145" w:line="219" w:lineRule="auto"/>
              <w:ind w:left="126"/>
              <w:jc w:val="both"/>
              <w:rPr>
                <w:sz w:val="21"/>
                <w:szCs w:val="21"/>
              </w:rPr>
            </w:pPr>
            <w:r>
              <w:rPr>
                <w:spacing w:val="-4"/>
                <w:sz w:val="21"/>
                <w:szCs w:val="21"/>
              </w:rPr>
              <w:t>（1）优秀得</w:t>
            </w:r>
            <w:r>
              <w:rPr>
                <w:spacing w:val="-39"/>
                <w:sz w:val="21"/>
                <w:szCs w:val="21"/>
              </w:rPr>
              <w:t xml:space="preserve"> </w:t>
            </w:r>
            <w:r>
              <w:rPr>
                <w:spacing w:val="-4"/>
                <w:sz w:val="21"/>
                <w:szCs w:val="21"/>
              </w:rPr>
              <w:t>7≤F≤10</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4"/>
                <w:sz w:val="21"/>
                <w:szCs w:val="21"/>
              </w:rPr>
              <w:t>（2）良好得</w:t>
            </w:r>
            <w:r>
              <w:rPr>
                <w:spacing w:val="-43"/>
                <w:sz w:val="21"/>
                <w:szCs w:val="21"/>
              </w:rPr>
              <w:t xml:space="preserve"> </w:t>
            </w:r>
            <w:r>
              <w:rPr>
                <w:spacing w:val="-4"/>
                <w:sz w:val="21"/>
                <w:szCs w:val="21"/>
              </w:rPr>
              <w:t>4≤F＜7</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5"/>
                <w:sz w:val="21"/>
                <w:szCs w:val="21"/>
              </w:rPr>
              <w:t>（3）一般得</w:t>
            </w:r>
            <w:r>
              <w:rPr>
                <w:spacing w:val="-30"/>
                <w:sz w:val="21"/>
                <w:szCs w:val="21"/>
              </w:rPr>
              <w:t xml:space="preserve"> </w:t>
            </w:r>
            <w:r>
              <w:rPr>
                <w:spacing w:val="-5"/>
                <w:sz w:val="21"/>
                <w:szCs w:val="21"/>
              </w:rPr>
              <w:t>1≤F＜4</w:t>
            </w:r>
            <w:r>
              <w:rPr>
                <w:spacing w:val="-47"/>
                <w:sz w:val="21"/>
                <w:szCs w:val="21"/>
              </w:rPr>
              <w:t xml:space="preserve"> </w:t>
            </w:r>
            <w:r>
              <w:rPr>
                <w:spacing w:val="-5"/>
                <w:sz w:val="21"/>
                <w:szCs w:val="21"/>
              </w:rPr>
              <w:t>分；</w:t>
            </w:r>
          </w:p>
          <w:p>
            <w:pPr>
              <w:pStyle w:val="36"/>
              <w:spacing w:before="156" w:line="219" w:lineRule="auto"/>
              <w:ind w:left="126"/>
              <w:jc w:val="both"/>
              <w:rPr>
                <w:sz w:val="21"/>
                <w:szCs w:val="21"/>
              </w:rPr>
            </w:pPr>
            <w:r>
              <w:rPr>
                <w:spacing w:val="1"/>
                <w:sz w:val="21"/>
                <w:szCs w:val="21"/>
              </w:rPr>
              <w:t>（4）差的或者未提供相关描述的，不得</w:t>
            </w:r>
            <w:r>
              <w:rPr>
                <w:spacing w:val="-7"/>
                <w:sz w:val="21"/>
                <w:szCs w:val="21"/>
              </w:rPr>
              <w:t>分。</w:t>
            </w:r>
          </w:p>
          <w:p>
            <w:pPr>
              <w:spacing w:line="440" w:lineRule="exact"/>
              <w:jc w:val="both"/>
              <w:rPr>
                <w:rFonts w:hAnsi="宋体" w:cs="宋体"/>
                <w:kern w:val="2"/>
                <w:sz w:val="24"/>
                <w:szCs w:val="24"/>
              </w:rPr>
            </w:pPr>
            <w:r>
              <w:rPr>
                <w:b/>
                <w:bCs/>
                <w:spacing w:val="-5"/>
                <w:sz w:val="21"/>
                <w:szCs w:val="21"/>
              </w:rPr>
              <w:t>注：F</w:t>
            </w:r>
            <w:r>
              <w:rPr>
                <w:spacing w:val="-44"/>
                <w:sz w:val="21"/>
                <w:szCs w:val="21"/>
              </w:rPr>
              <w:t xml:space="preserve"> </w:t>
            </w:r>
            <w:r>
              <w:rPr>
                <w:b/>
                <w:bCs/>
                <w:spacing w:val="-5"/>
                <w:sz w:val="21"/>
                <w:szCs w:val="21"/>
              </w:rPr>
              <w:t>为该项得分</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spacing w:line="400" w:lineRule="exact"/>
              <w:jc w:val="both"/>
              <w:rPr>
                <w:rFonts w:ascii="宋体" w:hAnsi="宋体" w:cs="宋体"/>
                <w:b/>
                <w:bCs/>
                <w:sz w:val="24"/>
                <w:szCs w:val="24"/>
              </w:rPr>
            </w:pPr>
            <w:r>
              <w:rPr>
                <w:rFonts w:hint="eastAsia" w:ascii="宋体" w:hAnsi="宋体" w:cs="宋体"/>
                <w:b/>
                <w:bCs/>
                <w:sz w:val="24"/>
                <w:szCs w:val="24"/>
              </w:rPr>
              <w:t>0-</w:t>
            </w:r>
            <w:r>
              <w:rPr>
                <w:rFonts w:hint="eastAsia" w:ascii="宋体" w:hAnsi="宋体" w:cs="宋体"/>
                <w:b/>
                <w:bCs/>
                <w:sz w:val="24"/>
                <w:szCs w:val="24"/>
                <w:lang w:val="en-US" w:eastAsia="zh-CN"/>
              </w:rPr>
              <w:t>1</w:t>
            </w:r>
            <w:r>
              <w:rPr>
                <w:rFonts w:hint="eastAsia" w:ascii="宋体" w:hAnsi="宋体" w:cs="宋体"/>
                <w:b/>
                <w:bCs/>
                <w:sz w:val="24"/>
                <w:szCs w:val="24"/>
                <w:lang w:eastAsia="zh-CN"/>
              </w:rPr>
              <w:t>0</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3" w:hRule="atLeast"/>
          <w:jc w:val="center"/>
        </w:trPr>
        <w:tc>
          <w:tcPr>
            <w:tcW w:w="342" w:type="pct"/>
            <w:vMerge w:val="continue"/>
            <w:tcBorders>
              <w:left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623" w:type="pct"/>
            <w:tcBorders>
              <w:top w:val="nil"/>
              <w:left w:val="single" w:color="auto" w:sz="4" w:space="0"/>
              <w:bottom w:val="single" w:color="auto" w:sz="4" w:space="0"/>
              <w:right w:val="single" w:color="auto" w:sz="4" w:space="0"/>
            </w:tcBorders>
            <w:shd w:val="clear" w:color="auto" w:fill="auto"/>
            <w:vAlign w:val="center"/>
          </w:tcPr>
          <w:p>
            <w:pPr>
              <w:jc w:val="center"/>
              <w:rPr>
                <w:rFonts w:hAnsi="宋体" w:cs="宋体"/>
                <w:kern w:val="2"/>
                <w:sz w:val="24"/>
                <w:szCs w:val="24"/>
              </w:rPr>
            </w:pPr>
            <w:r>
              <w:rPr>
                <w:spacing w:val="-3"/>
                <w:sz w:val="21"/>
                <w:szCs w:val="21"/>
              </w:rPr>
              <w:t>重难点分析</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35" w:line="350" w:lineRule="auto"/>
              <w:ind w:left="113" w:right="282"/>
              <w:jc w:val="both"/>
              <w:rPr>
                <w:sz w:val="21"/>
                <w:szCs w:val="21"/>
              </w:rPr>
            </w:pPr>
            <w:r>
              <w:rPr>
                <w:spacing w:val="-1"/>
                <w:sz w:val="21"/>
                <w:szCs w:val="21"/>
              </w:rPr>
              <w:t>评标委员会根据投标人针对项目特</w:t>
            </w:r>
            <w:r>
              <w:rPr>
                <w:rFonts w:hint="eastAsia"/>
                <w:spacing w:val="-1"/>
                <w:sz w:val="21"/>
                <w:szCs w:val="21"/>
                <w:lang w:eastAsia="zh-CN"/>
              </w:rPr>
              <w:t>点和</w:t>
            </w:r>
            <w:r>
              <w:rPr>
                <w:spacing w:val="-1"/>
                <w:sz w:val="21"/>
                <w:szCs w:val="21"/>
              </w:rPr>
              <w:t>审计实施重难点分析等内容，进行综合评</w:t>
            </w:r>
            <w:r>
              <w:rPr>
                <w:spacing w:val="-5"/>
                <w:sz w:val="21"/>
                <w:szCs w:val="21"/>
              </w:rPr>
              <w:t>分：</w:t>
            </w:r>
          </w:p>
          <w:p>
            <w:pPr>
              <w:pStyle w:val="36"/>
              <w:spacing w:before="146" w:line="219" w:lineRule="auto"/>
              <w:ind w:left="126"/>
              <w:jc w:val="both"/>
              <w:rPr>
                <w:sz w:val="21"/>
                <w:szCs w:val="21"/>
              </w:rPr>
            </w:pPr>
            <w:r>
              <w:rPr>
                <w:spacing w:val="-4"/>
                <w:sz w:val="21"/>
                <w:szCs w:val="21"/>
              </w:rPr>
              <w:t>（1）优秀得</w:t>
            </w:r>
            <w:r>
              <w:rPr>
                <w:spacing w:val="-39"/>
                <w:sz w:val="21"/>
                <w:szCs w:val="21"/>
              </w:rPr>
              <w:t xml:space="preserve"> </w:t>
            </w:r>
            <w:r>
              <w:rPr>
                <w:spacing w:val="-4"/>
                <w:sz w:val="21"/>
                <w:szCs w:val="21"/>
              </w:rPr>
              <w:t>7≤F≤10</w:t>
            </w:r>
            <w:r>
              <w:rPr>
                <w:spacing w:val="-47"/>
                <w:sz w:val="21"/>
                <w:szCs w:val="21"/>
              </w:rPr>
              <w:t xml:space="preserve"> </w:t>
            </w:r>
            <w:r>
              <w:rPr>
                <w:spacing w:val="-4"/>
                <w:sz w:val="21"/>
                <w:szCs w:val="21"/>
              </w:rPr>
              <w:t>分；</w:t>
            </w:r>
          </w:p>
          <w:p>
            <w:pPr>
              <w:pStyle w:val="36"/>
              <w:spacing w:before="156" w:line="219" w:lineRule="auto"/>
              <w:ind w:left="126"/>
              <w:jc w:val="both"/>
              <w:rPr>
                <w:sz w:val="21"/>
                <w:szCs w:val="21"/>
              </w:rPr>
            </w:pPr>
            <w:r>
              <w:rPr>
                <w:spacing w:val="-4"/>
                <w:sz w:val="21"/>
                <w:szCs w:val="21"/>
              </w:rPr>
              <w:t>（2）良好得</w:t>
            </w:r>
            <w:r>
              <w:rPr>
                <w:spacing w:val="-43"/>
                <w:sz w:val="21"/>
                <w:szCs w:val="21"/>
              </w:rPr>
              <w:t xml:space="preserve"> </w:t>
            </w:r>
            <w:r>
              <w:rPr>
                <w:spacing w:val="-4"/>
                <w:sz w:val="21"/>
                <w:szCs w:val="21"/>
              </w:rPr>
              <w:t>4≤F＜7</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5"/>
                <w:sz w:val="21"/>
                <w:szCs w:val="21"/>
              </w:rPr>
              <w:t>（3）一般得</w:t>
            </w:r>
            <w:r>
              <w:rPr>
                <w:spacing w:val="-30"/>
                <w:sz w:val="21"/>
                <w:szCs w:val="21"/>
              </w:rPr>
              <w:t xml:space="preserve"> </w:t>
            </w:r>
            <w:r>
              <w:rPr>
                <w:spacing w:val="-5"/>
                <w:sz w:val="21"/>
                <w:szCs w:val="21"/>
              </w:rPr>
              <w:t>1≤F＜4</w:t>
            </w:r>
            <w:r>
              <w:rPr>
                <w:spacing w:val="-47"/>
                <w:sz w:val="21"/>
                <w:szCs w:val="21"/>
              </w:rPr>
              <w:t xml:space="preserve"> </w:t>
            </w:r>
            <w:r>
              <w:rPr>
                <w:spacing w:val="-5"/>
                <w:sz w:val="21"/>
                <w:szCs w:val="21"/>
              </w:rPr>
              <w:t>分；</w:t>
            </w:r>
          </w:p>
          <w:p>
            <w:pPr>
              <w:pStyle w:val="36"/>
              <w:spacing w:before="154" w:line="219" w:lineRule="auto"/>
              <w:ind w:left="126"/>
              <w:jc w:val="both"/>
              <w:rPr>
                <w:sz w:val="21"/>
                <w:szCs w:val="21"/>
              </w:rPr>
            </w:pPr>
            <w:r>
              <w:rPr>
                <w:spacing w:val="1"/>
                <w:sz w:val="21"/>
                <w:szCs w:val="21"/>
              </w:rPr>
              <w:t>（4）差的或者未提供相关描述的，不得</w:t>
            </w:r>
            <w:r>
              <w:rPr>
                <w:spacing w:val="-7"/>
                <w:sz w:val="21"/>
                <w:szCs w:val="21"/>
              </w:rPr>
              <w:t>分。</w:t>
            </w:r>
          </w:p>
          <w:p>
            <w:pPr>
              <w:spacing w:line="440" w:lineRule="exact"/>
              <w:jc w:val="both"/>
              <w:rPr>
                <w:rFonts w:hAnsi="宋体" w:cs="宋体"/>
                <w:kern w:val="2"/>
                <w:sz w:val="24"/>
                <w:szCs w:val="24"/>
              </w:rPr>
            </w:pPr>
            <w:r>
              <w:rPr>
                <w:b/>
                <w:bCs/>
                <w:spacing w:val="-5"/>
                <w:sz w:val="21"/>
                <w:szCs w:val="21"/>
              </w:rPr>
              <w:t>注：F</w:t>
            </w:r>
            <w:r>
              <w:rPr>
                <w:spacing w:val="-44"/>
                <w:sz w:val="21"/>
                <w:szCs w:val="21"/>
              </w:rPr>
              <w:t xml:space="preserve"> </w:t>
            </w:r>
            <w:r>
              <w:rPr>
                <w:b/>
                <w:bCs/>
                <w:spacing w:val="-5"/>
                <w:sz w:val="21"/>
                <w:szCs w:val="21"/>
              </w:rPr>
              <w:t>为该项得分</w:t>
            </w:r>
          </w:p>
        </w:tc>
        <w:tc>
          <w:tcPr>
            <w:tcW w:w="609" w:type="pct"/>
            <w:tcBorders>
              <w:top w:val="nil"/>
              <w:left w:val="single" w:color="auto" w:sz="4" w:space="0"/>
              <w:bottom w:val="single" w:color="auto" w:sz="4" w:space="0"/>
              <w:right w:val="single" w:color="auto" w:sz="4" w:space="0"/>
            </w:tcBorders>
            <w:shd w:val="clear" w:color="auto" w:fill="auto"/>
            <w:vAlign w:val="center"/>
          </w:tcPr>
          <w:p>
            <w:pPr>
              <w:pStyle w:val="48"/>
              <w:widowControl/>
              <w:spacing w:line="400" w:lineRule="exact"/>
              <w:jc w:val="both"/>
              <w:rPr>
                <w:rFonts w:ascii="宋体" w:hAnsi="宋体" w:cs="宋体"/>
                <w:b/>
                <w:bCs/>
                <w:sz w:val="24"/>
                <w:szCs w:val="24"/>
              </w:rPr>
            </w:pPr>
            <w:r>
              <w:rPr>
                <w:rFonts w:hint="eastAsia" w:ascii="宋体" w:hAnsi="宋体" w:cs="宋体"/>
                <w:b/>
                <w:bCs/>
                <w:sz w:val="24"/>
                <w:szCs w:val="24"/>
              </w:rPr>
              <w:t>0-1</w:t>
            </w:r>
            <w:r>
              <w:rPr>
                <w:rFonts w:hint="eastAsia" w:ascii="宋体" w:hAnsi="宋体" w:cs="宋体"/>
                <w:b/>
                <w:bCs/>
                <w:sz w:val="24"/>
                <w:szCs w:val="24"/>
                <w:lang w:val="en-US" w:eastAsia="zh-CN"/>
              </w:rPr>
              <w:t>0</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5" w:hRule="atLeast"/>
          <w:jc w:val="center"/>
        </w:trPr>
        <w:tc>
          <w:tcPr>
            <w:tcW w:w="342" w:type="pct"/>
            <w:vMerge w:val="continue"/>
            <w:tcBorders>
              <w:left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623" w:type="pct"/>
            <w:tcBorders>
              <w:top w:val="nil"/>
              <w:left w:val="single" w:color="auto" w:sz="4" w:space="0"/>
              <w:bottom w:val="single" w:color="auto" w:sz="4" w:space="0"/>
              <w:right w:val="single" w:color="auto" w:sz="4" w:space="0"/>
            </w:tcBorders>
            <w:shd w:val="clear" w:color="auto" w:fill="auto"/>
            <w:vAlign w:val="center"/>
          </w:tcPr>
          <w:p>
            <w:pPr>
              <w:pStyle w:val="48"/>
              <w:widowControl/>
              <w:spacing w:line="400" w:lineRule="exact"/>
              <w:jc w:val="center"/>
              <w:rPr>
                <w:rFonts w:ascii="宋体" w:hAnsi="宋体" w:cs="宋体"/>
                <w:sz w:val="24"/>
                <w:szCs w:val="24"/>
              </w:rPr>
            </w:pPr>
            <w:r>
              <w:rPr>
                <w:spacing w:val="-5"/>
                <w:sz w:val="21"/>
                <w:szCs w:val="21"/>
              </w:rPr>
              <w:t>审计程序和</w:t>
            </w:r>
            <w:r>
              <w:rPr>
                <w:spacing w:val="-6"/>
                <w:sz w:val="21"/>
                <w:szCs w:val="21"/>
              </w:rPr>
              <w:t>审计方法</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40" w:line="345" w:lineRule="auto"/>
              <w:ind w:left="126" w:right="282" w:hanging="13"/>
              <w:jc w:val="both"/>
              <w:rPr>
                <w:sz w:val="21"/>
                <w:szCs w:val="21"/>
              </w:rPr>
            </w:pPr>
            <w:r>
              <w:rPr>
                <w:spacing w:val="-1"/>
                <w:sz w:val="21"/>
                <w:szCs w:val="21"/>
              </w:rPr>
              <w:t>评标委员会根据投标人对本项目制订的</w:t>
            </w:r>
            <w:r>
              <w:rPr>
                <w:spacing w:val="-2"/>
                <w:sz w:val="21"/>
                <w:szCs w:val="21"/>
              </w:rPr>
              <w:t>审计程序和审计方法进行综合评分：</w:t>
            </w:r>
          </w:p>
          <w:p>
            <w:pPr>
              <w:pStyle w:val="36"/>
              <w:spacing w:before="146" w:line="219" w:lineRule="auto"/>
              <w:ind w:left="126"/>
              <w:jc w:val="both"/>
              <w:rPr>
                <w:sz w:val="21"/>
                <w:szCs w:val="21"/>
              </w:rPr>
            </w:pPr>
            <w:r>
              <w:rPr>
                <w:spacing w:val="-4"/>
                <w:sz w:val="21"/>
                <w:szCs w:val="21"/>
              </w:rPr>
              <w:t>（1）优秀得</w:t>
            </w:r>
            <w:r>
              <w:rPr>
                <w:spacing w:val="-43"/>
                <w:sz w:val="21"/>
                <w:szCs w:val="21"/>
              </w:rPr>
              <w:t xml:space="preserve"> </w:t>
            </w:r>
            <w:r>
              <w:rPr>
                <w:spacing w:val="-4"/>
                <w:sz w:val="21"/>
                <w:szCs w:val="21"/>
              </w:rPr>
              <w:t>5≤F≤7</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4"/>
                <w:sz w:val="21"/>
                <w:szCs w:val="21"/>
              </w:rPr>
              <w:t>（2）良好得</w:t>
            </w:r>
            <w:r>
              <w:rPr>
                <w:spacing w:val="-43"/>
                <w:sz w:val="21"/>
                <w:szCs w:val="21"/>
              </w:rPr>
              <w:t xml:space="preserve"> </w:t>
            </w:r>
            <w:r>
              <w:rPr>
                <w:spacing w:val="-4"/>
                <w:sz w:val="21"/>
                <w:szCs w:val="21"/>
              </w:rPr>
              <w:t>3≤F＜5</w:t>
            </w:r>
            <w:r>
              <w:rPr>
                <w:spacing w:val="-47"/>
                <w:sz w:val="21"/>
                <w:szCs w:val="21"/>
              </w:rPr>
              <w:t xml:space="preserve"> </w:t>
            </w:r>
            <w:r>
              <w:rPr>
                <w:spacing w:val="-4"/>
                <w:sz w:val="21"/>
                <w:szCs w:val="21"/>
              </w:rPr>
              <w:t>分；</w:t>
            </w:r>
          </w:p>
          <w:p>
            <w:pPr>
              <w:pStyle w:val="36"/>
              <w:spacing w:before="156" w:line="219" w:lineRule="auto"/>
              <w:ind w:left="126"/>
              <w:jc w:val="both"/>
              <w:rPr>
                <w:sz w:val="21"/>
                <w:szCs w:val="21"/>
              </w:rPr>
            </w:pPr>
            <w:r>
              <w:rPr>
                <w:spacing w:val="-5"/>
                <w:sz w:val="21"/>
                <w:szCs w:val="21"/>
              </w:rPr>
              <w:t>（3）一般得</w:t>
            </w:r>
            <w:r>
              <w:rPr>
                <w:spacing w:val="-30"/>
                <w:sz w:val="21"/>
                <w:szCs w:val="21"/>
              </w:rPr>
              <w:t xml:space="preserve"> </w:t>
            </w:r>
            <w:r>
              <w:rPr>
                <w:spacing w:val="-5"/>
                <w:sz w:val="21"/>
                <w:szCs w:val="21"/>
              </w:rPr>
              <w:t>1≤F＜3</w:t>
            </w:r>
            <w:r>
              <w:rPr>
                <w:spacing w:val="-47"/>
                <w:sz w:val="21"/>
                <w:szCs w:val="21"/>
              </w:rPr>
              <w:t xml:space="preserve"> </w:t>
            </w:r>
            <w:r>
              <w:rPr>
                <w:spacing w:val="-5"/>
                <w:sz w:val="21"/>
                <w:szCs w:val="21"/>
              </w:rPr>
              <w:t>分；</w:t>
            </w:r>
          </w:p>
          <w:p>
            <w:pPr>
              <w:pStyle w:val="36"/>
              <w:spacing w:before="154" w:line="279" w:lineRule="auto"/>
              <w:ind w:left="117" w:right="107" w:firstLine="8"/>
              <w:jc w:val="both"/>
              <w:rPr>
                <w:spacing w:val="-7"/>
                <w:sz w:val="21"/>
                <w:szCs w:val="21"/>
              </w:rPr>
            </w:pPr>
            <w:r>
              <w:rPr>
                <w:spacing w:val="1"/>
                <w:sz w:val="21"/>
                <w:szCs w:val="21"/>
              </w:rPr>
              <w:t>（4）差的或者未提供相关描述的，不得</w:t>
            </w:r>
            <w:r>
              <w:rPr>
                <w:spacing w:val="-7"/>
                <w:sz w:val="21"/>
                <w:szCs w:val="21"/>
              </w:rPr>
              <w:t>分。</w:t>
            </w:r>
          </w:p>
          <w:p>
            <w:pPr>
              <w:spacing w:line="440" w:lineRule="exact"/>
              <w:jc w:val="both"/>
              <w:rPr>
                <w:rFonts w:hint="eastAsia" w:eastAsia="楷体_GB2312"/>
                <w:lang w:val="en-US" w:eastAsia="zh-CN"/>
              </w:rPr>
            </w:pPr>
            <w:r>
              <w:rPr>
                <w:b/>
                <w:bCs/>
                <w:spacing w:val="-5"/>
                <w:sz w:val="21"/>
                <w:szCs w:val="21"/>
              </w:rPr>
              <w:t>注：F</w:t>
            </w:r>
            <w:r>
              <w:rPr>
                <w:spacing w:val="-44"/>
                <w:sz w:val="21"/>
                <w:szCs w:val="21"/>
              </w:rPr>
              <w:t xml:space="preserve"> </w:t>
            </w:r>
            <w:r>
              <w:rPr>
                <w:b/>
                <w:bCs/>
                <w:spacing w:val="-5"/>
                <w:sz w:val="21"/>
                <w:szCs w:val="21"/>
              </w:rPr>
              <w:t>为该项得分</w:t>
            </w:r>
          </w:p>
        </w:tc>
        <w:tc>
          <w:tcPr>
            <w:tcW w:w="609" w:type="pct"/>
            <w:tcBorders>
              <w:top w:val="nil"/>
              <w:left w:val="single" w:color="auto" w:sz="4" w:space="0"/>
              <w:bottom w:val="single" w:color="auto" w:sz="4" w:space="0"/>
              <w:right w:val="single" w:color="auto" w:sz="4" w:space="0"/>
            </w:tcBorders>
            <w:shd w:val="clear" w:color="auto" w:fill="auto"/>
            <w:vAlign w:val="center"/>
          </w:tcPr>
          <w:p>
            <w:pPr>
              <w:pStyle w:val="48"/>
              <w:widowControl/>
              <w:spacing w:line="400" w:lineRule="exact"/>
              <w:jc w:val="both"/>
              <w:rPr>
                <w:rFonts w:ascii="宋体" w:hAnsi="宋体" w:cs="宋体"/>
                <w:b/>
                <w:bCs/>
                <w:sz w:val="24"/>
                <w:szCs w:val="24"/>
              </w:rPr>
            </w:pPr>
            <w:r>
              <w:rPr>
                <w:rFonts w:hint="eastAsia" w:ascii="宋体" w:hAnsi="宋体" w:cs="宋体"/>
                <w:b/>
                <w:bCs/>
                <w:sz w:val="24"/>
                <w:szCs w:val="24"/>
              </w:rPr>
              <w:t>0-</w:t>
            </w:r>
            <w:r>
              <w:rPr>
                <w:rFonts w:hint="eastAsia" w:ascii="宋体" w:hAnsi="宋体" w:cs="宋体"/>
                <w:b/>
                <w:bCs/>
                <w:sz w:val="24"/>
                <w:szCs w:val="24"/>
                <w:lang w:val="en-US" w:eastAsia="zh-CN"/>
              </w:rPr>
              <w:t>7</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7" w:hRule="atLeast"/>
          <w:jc w:val="center"/>
        </w:trPr>
        <w:tc>
          <w:tcPr>
            <w:tcW w:w="342" w:type="pct"/>
            <w:vMerge w:val="continue"/>
            <w:tcBorders>
              <w:left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spacing w:line="400" w:lineRule="exact"/>
              <w:jc w:val="center"/>
              <w:rPr>
                <w:spacing w:val="-5"/>
                <w:sz w:val="21"/>
                <w:szCs w:val="21"/>
              </w:rPr>
            </w:pPr>
            <w:r>
              <w:rPr>
                <w:spacing w:val="-3"/>
                <w:sz w:val="21"/>
                <w:szCs w:val="21"/>
              </w:rPr>
              <w:t>人员分工及</w:t>
            </w:r>
            <w:r>
              <w:rPr>
                <w:spacing w:val="-5"/>
                <w:sz w:val="21"/>
                <w:szCs w:val="21"/>
              </w:rPr>
              <w:t>责任划定</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34" w:line="345" w:lineRule="auto"/>
              <w:ind w:left="133" w:right="282" w:hanging="20"/>
              <w:jc w:val="both"/>
              <w:rPr>
                <w:sz w:val="21"/>
                <w:szCs w:val="21"/>
              </w:rPr>
            </w:pPr>
            <w:r>
              <w:rPr>
                <w:spacing w:val="-1"/>
                <w:sz w:val="21"/>
                <w:szCs w:val="21"/>
              </w:rPr>
              <w:t>评标委员会根据投标人针对本项目特点</w:t>
            </w:r>
            <w:r>
              <w:rPr>
                <w:spacing w:val="-2"/>
                <w:sz w:val="21"/>
                <w:szCs w:val="21"/>
              </w:rPr>
              <w:t>的人员分工及责任划定进行综合评分：</w:t>
            </w:r>
          </w:p>
          <w:p>
            <w:pPr>
              <w:pStyle w:val="36"/>
              <w:spacing w:before="147" w:line="219" w:lineRule="auto"/>
              <w:ind w:left="126"/>
              <w:jc w:val="both"/>
              <w:rPr>
                <w:sz w:val="21"/>
                <w:szCs w:val="21"/>
              </w:rPr>
            </w:pPr>
            <w:r>
              <w:rPr>
                <w:spacing w:val="-4"/>
                <w:sz w:val="21"/>
                <w:szCs w:val="21"/>
              </w:rPr>
              <w:t>（1）优秀得</w:t>
            </w:r>
            <w:r>
              <w:rPr>
                <w:spacing w:val="-43"/>
                <w:sz w:val="21"/>
                <w:szCs w:val="21"/>
              </w:rPr>
              <w:t xml:space="preserve"> </w:t>
            </w:r>
            <w:r>
              <w:rPr>
                <w:spacing w:val="-4"/>
                <w:sz w:val="21"/>
                <w:szCs w:val="21"/>
              </w:rPr>
              <w:t>5≤F≤7</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4"/>
                <w:sz w:val="21"/>
                <w:szCs w:val="21"/>
              </w:rPr>
              <w:t>（2）良好得</w:t>
            </w:r>
            <w:r>
              <w:rPr>
                <w:spacing w:val="-43"/>
                <w:sz w:val="21"/>
                <w:szCs w:val="21"/>
              </w:rPr>
              <w:t xml:space="preserve"> </w:t>
            </w:r>
            <w:r>
              <w:rPr>
                <w:spacing w:val="-4"/>
                <w:sz w:val="21"/>
                <w:szCs w:val="21"/>
              </w:rPr>
              <w:t>3≤F＜5</w:t>
            </w:r>
            <w:r>
              <w:rPr>
                <w:spacing w:val="-47"/>
                <w:sz w:val="21"/>
                <w:szCs w:val="21"/>
              </w:rPr>
              <w:t xml:space="preserve"> </w:t>
            </w:r>
            <w:r>
              <w:rPr>
                <w:spacing w:val="-4"/>
                <w:sz w:val="21"/>
                <w:szCs w:val="21"/>
              </w:rPr>
              <w:t>分；</w:t>
            </w:r>
          </w:p>
          <w:p>
            <w:pPr>
              <w:pStyle w:val="36"/>
              <w:spacing w:before="156" w:line="219" w:lineRule="auto"/>
              <w:ind w:left="126"/>
              <w:jc w:val="both"/>
              <w:rPr>
                <w:sz w:val="21"/>
                <w:szCs w:val="21"/>
              </w:rPr>
            </w:pPr>
            <w:r>
              <w:rPr>
                <w:spacing w:val="-5"/>
                <w:sz w:val="21"/>
                <w:szCs w:val="21"/>
              </w:rPr>
              <w:t>（3）一般得</w:t>
            </w:r>
            <w:r>
              <w:rPr>
                <w:spacing w:val="-30"/>
                <w:sz w:val="21"/>
                <w:szCs w:val="21"/>
              </w:rPr>
              <w:t xml:space="preserve"> </w:t>
            </w:r>
            <w:r>
              <w:rPr>
                <w:spacing w:val="-5"/>
                <w:sz w:val="21"/>
                <w:szCs w:val="21"/>
              </w:rPr>
              <w:t>1≤F＜3</w:t>
            </w:r>
            <w:r>
              <w:rPr>
                <w:spacing w:val="-47"/>
                <w:sz w:val="21"/>
                <w:szCs w:val="21"/>
              </w:rPr>
              <w:t xml:space="preserve"> </w:t>
            </w:r>
            <w:r>
              <w:rPr>
                <w:spacing w:val="-5"/>
                <w:sz w:val="21"/>
                <w:szCs w:val="21"/>
              </w:rPr>
              <w:t>分；</w:t>
            </w:r>
          </w:p>
          <w:p>
            <w:pPr>
              <w:pStyle w:val="36"/>
              <w:spacing w:before="154" w:line="219" w:lineRule="auto"/>
              <w:ind w:left="126"/>
              <w:jc w:val="both"/>
              <w:rPr>
                <w:sz w:val="21"/>
                <w:szCs w:val="21"/>
              </w:rPr>
            </w:pPr>
            <w:r>
              <w:rPr>
                <w:spacing w:val="1"/>
                <w:sz w:val="21"/>
                <w:szCs w:val="21"/>
              </w:rPr>
              <w:t>（4）差的或者未提供相关描述的，不得</w:t>
            </w:r>
            <w:r>
              <w:rPr>
                <w:spacing w:val="-7"/>
                <w:sz w:val="21"/>
                <w:szCs w:val="21"/>
              </w:rPr>
              <w:t>分。</w:t>
            </w:r>
          </w:p>
          <w:p>
            <w:pPr>
              <w:spacing w:line="440" w:lineRule="exact"/>
              <w:jc w:val="both"/>
              <w:rPr>
                <w:b/>
                <w:bCs/>
                <w:spacing w:val="-5"/>
                <w:sz w:val="21"/>
                <w:szCs w:val="21"/>
              </w:rPr>
            </w:pPr>
            <w:r>
              <w:rPr>
                <w:b/>
                <w:bCs/>
                <w:spacing w:val="-5"/>
                <w:sz w:val="21"/>
                <w:szCs w:val="21"/>
              </w:rPr>
              <w:t>注：F</w:t>
            </w:r>
            <w:r>
              <w:rPr>
                <w:spacing w:val="-44"/>
                <w:sz w:val="21"/>
                <w:szCs w:val="21"/>
              </w:rPr>
              <w:t xml:space="preserve"> </w:t>
            </w:r>
            <w:r>
              <w:rPr>
                <w:b/>
                <w:bCs/>
                <w:spacing w:val="-5"/>
                <w:sz w:val="21"/>
                <w:szCs w:val="21"/>
              </w:rPr>
              <w:t>为该项得分</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spacing w:line="400" w:lineRule="exact"/>
              <w:jc w:val="both"/>
              <w:rPr>
                <w:rFonts w:hint="eastAsia" w:ascii="宋体" w:hAnsi="宋体" w:cs="宋体"/>
                <w:b/>
                <w:bCs/>
                <w:sz w:val="24"/>
                <w:szCs w:val="24"/>
              </w:rPr>
            </w:pPr>
            <w:r>
              <w:rPr>
                <w:rFonts w:hint="eastAsia" w:ascii="宋体" w:hAnsi="宋体" w:cs="宋体"/>
                <w:b/>
                <w:bCs/>
                <w:sz w:val="24"/>
                <w:szCs w:val="24"/>
              </w:rPr>
              <w:t>0-</w:t>
            </w:r>
            <w:r>
              <w:rPr>
                <w:rFonts w:hint="eastAsia" w:ascii="宋体" w:hAnsi="宋体" w:cs="宋体"/>
                <w:b/>
                <w:bCs/>
                <w:sz w:val="24"/>
                <w:szCs w:val="24"/>
                <w:lang w:val="en-US" w:eastAsia="zh-CN"/>
              </w:rPr>
              <w:t>7</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7" w:hRule="atLeast"/>
          <w:jc w:val="center"/>
        </w:trPr>
        <w:tc>
          <w:tcPr>
            <w:tcW w:w="342" w:type="pct"/>
            <w:vMerge w:val="continue"/>
            <w:tcBorders>
              <w:left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57" w:lineRule="auto"/>
              <w:jc w:val="both"/>
              <w:rPr>
                <w:rFonts w:ascii="Arial"/>
                <w:snapToGrid w:val="0"/>
                <w:color w:val="000000"/>
                <w:sz w:val="21"/>
                <w:szCs w:val="21"/>
              </w:rPr>
            </w:pPr>
          </w:p>
          <w:p>
            <w:pPr>
              <w:pStyle w:val="36"/>
              <w:spacing w:before="180" w:line="220" w:lineRule="auto"/>
              <w:ind w:left="161"/>
              <w:jc w:val="center"/>
              <w:rPr>
                <w:rFonts w:ascii="宋体" w:hAnsi="宋体" w:eastAsiaTheme="minorEastAsia" w:cstheme="minorBidi"/>
                <w:snapToGrid w:val="0"/>
                <w:color w:val="000000"/>
                <w:kern w:val="2"/>
                <w:sz w:val="21"/>
                <w:szCs w:val="21"/>
                <w:lang w:val="en-US" w:eastAsia="zh-CN" w:bidi="ar-SA"/>
              </w:rPr>
            </w:pPr>
            <w:r>
              <w:rPr>
                <w:rFonts w:ascii="Calibri" w:hAnsi="Calibri" w:eastAsiaTheme="minorEastAsia" w:cstheme="minorBidi"/>
                <w:snapToGrid/>
                <w:color w:val="auto"/>
                <w:spacing w:val="-3"/>
                <w:kern w:val="2"/>
                <w:sz w:val="21"/>
                <w:szCs w:val="21"/>
                <w:lang w:val="en-US" w:eastAsia="en-US" w:bidi="ar-SA"/>
              </w:rPr>
              <w:t>服务质量保证措施和质量控制措施</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36" w:line="350" w:lineRule="auto"/>
              <w:ind w:left="114" w:right="282" w:hanging="1"/>
              <w:jc w:val="both"/>
              <w:rPr>
                <w:sz w:val="21"/>
                <w:szCs w:val="21"/>
              </w:rPr>
            </w:pPr>
            <w:r>
              <w:rPr>
                <w:spacing w:val="-1"/>
                <w:sz w:val="21"/>
                <w:szCs w:val="21"/>
              </w:rPr>
              <w:t>评标委员会根据投标人对项目制订的服务质量保证措施和质量控制措施进行综</w:t>
            </w:r>
            <w:r>
              <w:rPr>
                <w:spacing w:val="-3"/>
                <w:sz w:val="21"/>
                <w:szCs w:val="21"/>
              </w:rPr>
              <w:t>合评分：</w:t>
            </w:r>
          </w:p>
          <w:p>
            <w:pPr>
              <w:pStyle w:val="36"/>
              <w:spacing w:before="145" w:line="219" w:lineRule="auto"/>
              <w:ind w:left="126"/>
              <w:jc w:val="both"/>
              <w:rPr>
                <w:sz w:val="21"/>
                <w:szCs w:val="21"/>
              </w:rPr>
            </w:pPr>
            <w:r>
              <w:rPr>
                <w:spacing w:val="-4"/>
                <w:sz w:val="21"/>
                <w:szCs w:val="21"/>
              </w:rPr>
              <w:t>（1）优秀得</w:t>
            </w:r>
            <w:r>
              <w:rPr>
                <w:spacing w:val="-43"/>
                <w:sz w:val="21"/>
                <w:szCs w:val="21"/>
              </w:rPr>
              <w:t xml:space="preserve"> </w:t>
            </w:r>
            <w:r>
              <w:rPr>
                <w:spacing w:val="-4"/>
                <w:sz w:val="21"/>
                <w:szCs w:val="21"/>
              </w:rPr>
              <w:t>5≤F≤7</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4"/>
                <w:sz w:val="21"/>
                <w:szCs w:val="21"/>
              </w:rPr>
              <w:t>（2）良好得</w:t>
            </w:r>
            <w:r>
              <w:rPr>
                <w:spacing w:val="-43"/>
                <w:sz w:val="21"/>
                <w:szCs w:val="21"/>
              </w:rPr>
              <w:t xml:space="preserve"> </w:t>
            </w:r>
            <w:r>
              <w:rPr>
                <w:spacing w:val="-4"/>
                <w:sz w:val="21"/>
                <w:szCs w:val="21"/>
              </w:rPr>
              <w:t>3≤F＜5</w:t>
            </w:r>
            <w:r>
              <w:rPr>
                <w:spacing w:val="-47"/>
                <w:sz w:val="21"/>
                <w:szCs w:val="21"/>
              </w:rPr>
              <w:t xml:space="preserve"> </w:t>
            </w:r>
            <w:r>
              <w:rPr>
                <w:spacing w:val="-4"/>
                <w:sz w:val="21"/>
                <w:szCs w:val="21"/>
              </w:rPr>
              <w:t>分；</w:t>
            </w:r>
          </w:p>
          <w:p>
            <w:pPr>
              <w:pStyle w:val="36"/>
              <w:spacing w:before="156" w:line="219" w:lineRule="auto"/>
              <w:ind w:left="126"/>
              <w:jc w:val="both"/>
              <w:rPr>
                <w:sz w:val="21"/>
                <w:szCs w:val="21"/>
              </w:rPr>
            </w:pPr>
            <w:r>
              <w:rPr>
                <w:spacing w:val="-5"/>
                <w:sz w:val="21"/>
                <w:szCs w:val="21"/>
              </w:rPr>
              <w:t>（3）一般得</w:t>
            </w:r>
            <w:r>
              <w:rPr>
                <w:spacing w:val="-30"/>
                <w:sz w:val="21"/>
                <w:szCs w:val="21"/>
              </w:rPr>
              <w:t xml:space="preserve"> </w:t>
            </w:r>
            <w:r>
              <w:rPr>
                <w:spacing w:val="-5"/>
                <w:sz w:val="21"/>
                <w:szCs w:val="21"/>
              </w:rPr>
              <w:t>1≤F＜3</w:t>
            </w:r>
            <w:r>
              <w:rPr>
                <w:spacing w:val="-47"/>
                <w:sz w:val="21"/>
                <w:szCs w:val="21"/>
              </w:rPr>
              <w:t xml:space="preserve"> </w:t>
            </w:r>
            <w:r>
              <w:rPr>
                <w:spacing w:val="-5"/>
                <w:sz w:val="21"/>
                <w:szCs w:val="21"/>
              </w:rPr>
              <w:t>分；</w:t>
            </w:r>
          </w:p>
          <w:p>
            <w:pPr>
              <w:pStyle w:val="36"/>
              <w:spacing w:before="154" w:line="219" w:lineRule="auto"/>
              <w:ind w:left="126"/>
              <w:jc w:val="both"/>
              <w:rPr>
                <w:sz w:val="21"/>
                <w:szCs w:val="21"/>
              </w:rPr>
            </w:pPr>
            <w:r>
              <w:rPr>
                <w:spacing w:val="1"/>
                <w:sz w:val="21"/>
                <w:szCs w:val="21"/>
              </w:rPr>
              <w:t>（4）差的或者未提供相关描述的，不得</w:t>
            </w:r>
            <w:r>
              <w:rPr>
                <w:spacing w:val="-7"/>
                <w:sz w:val="21"/>
                <w:szCs w:val="21"/>
              </w:rPr>
              <w:t>分。</w:t>
            </w:r>
          </w:p>
          <w:p>
            <w:pPr>
              <w:pStyle w:val="36"/>
              <w:spacing w:before="43" w:line="219" w:lineRule="auto"/>
              <w:ind w:left="114" w:leftChars="0"/>
              <w:jc w:val="both"/>
              <w:rPr>
                <w:rFonts w:hint="eastAsia" w:ascii="宋体" w:hAnsi="宋体" w:eastAsiaTheme="minorEastAsia" w:cstheme="minorBidi"/>
                <w:snapToGrid w:val="0"/>
                <w:color w:val="000000"/>
                <w:kern w:val="2"/>
                <w:sz w:val="21"/>
                <w:szCs w:val="21"/>
                <w:lang w:val="en-US" w:eastAsia="zh-CN" w:bidi="ar-SA"/>
              </w:rPr>
            </w:pPr>
            <w:r>
              <w:rPr>
                <w:b/>
                <w:bCs/>
                <w:spacing w:val="-5"/>
                <w:sz w:val="21"/>
                <w:szCs w:val="21"/>
              </w:rPr>
              <w:t>注：F</w:t>
            </w:r>
            <w:r>
              <w:rPr>
                <w:spacing w:val="-44"/>
                <w:sz w:val="21"/>
                <w:szCs w:val="21"/>
              </w:rPr>
              <w:t xml:space="preserve"> </w:t>
            </w:r>
            <w:r>
              <w:rPr>
                <w:b/>
                <w:bCs/>
                <w:spacing w:val="-5"/>
                <w:sz w:val="21"/>
                <w:szCs w:val="21"/>
              </w:rPr>
              <w:t>为该项得分</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43" w:line="219" w:lineRule="auto"/>
              <w:ind w:left="114" w:leftChars="0"/>
              <w:jc w:val="both"/>
              <w:rPr>
                <w:rFonts w:hint="eastAsia" w:ascii="宋体" w:hAnsi="宋体" w:eastAsiaTheme="minorEastAsia" w:cstheme="minorBidi"/>
                <w:snapToGrid w:val="0"/>
                <w:color w:val="000000"/>
                <w:kern w:val="2"/>
                <w:sz w:val="21"/>
                <w:szCs w:val="21"/>
                <w:lang w:val="en-US" w:eastAsia="zh-CN" w:bidi="ar-SA"/>
              </w:rPr>
            </w:pPr>
            <w:r>
              <w:rPr>
                <w:rFonts w:hint="eastAsia" w:ascii="宋体" w:hAnsi="宋体" w:cs="宋体"/>
                <w:b/>
                <w:bCs/>
                <w:sz w:val="24"/>
                <w:szCs w:val="24"/>
              </w:rPr>
              <w:t>0-</w:t>
            </w:r>
            <w:r>
              <w:rPr>
                <w:rFonts w:hint="eastAsia" w:ascii="宋体" w:hAnsi="宋体" w:cs="宋体"/>
                <w:b/>
                <w:bCs/>
                <w:sz w:val="24"/>
                <w:szCs w:val="24"/>
                <w:lang w:val="en-US" w:eastAsia="zh-CN"/>
              </w:rPr>
              <w:t>7</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0" w:hRule="atLeast"/>
          <w:jc w:val="center"/>
        </w:trPr>
        <w:tc>
          <w:tcPr>
            <w:tcW w:w="342" w:type="pct"/>
            <w:vMerge w:val="continue"/>
            <w:tcBorders>
              <w:left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58" w:lineRule="auto"/>
              <w:jc w:val="both"/>
              <w:rPr>
                <w:rFonts w:ascii="Arial"/>
                <w:snapToGrid w:val="0"/>
                <w:color w:val="000000"/>
                <w:sz w:val="21"/>
                <w:szCs w:val="21"/>
              </w:rPr>
            </w:pPr>
            <w:r>
              <w:rPr>
                <w:rFonts w:hint="eastAsia" w:ascii="Arial"/>
                <w:snapToGrid w:val="0"/>
                <w:color w:val="000000"/>
                <w:sz w:val="21"/>
                <w:szCs w:val="21"/>
              </w:rPr>
              <w:t>进度保证措施</w:t>
            </w:r>
          </w:p>
          <w:p>
            <w:pPr>
              <w:pStyle w:val="36"/>
              <w:spacing w:before="78" w:line="346" w:lineRule="auto"/>
              <w:ind w:left="640" w:leftChars="0" w:right="154" w:rightChars="0" w:hanging="480" w:firstLineChars="0"/>
              <w:jc w:val="center"/>
              <w:rPr>
                <w:rFonts w:ascii="宋体" w:hAnsi="宋体" w:eastAsiaTheme="minorEastAsia" w:cstheme="minorBidi"/>
                <w:snapToGrid w:val="0"/>
                <w:color w:val="000000"/>
                <w:kern w:val="2"/>
                <w:sz w:val="21"/>
                <w:szCs w:val="21"/>
                <w:lang w:val="en-US" w:eastAsia="zh-CN" w:bidi="ar-SA"/>
              </w:rPr>
            </w:pP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39" w:line="344" w:lineRule="auto"/>
              <w:ind w:left="112" w:right="282" w:firstLine="30"/>
              <w:jc w:val="both"/>
              <w:rPr>
                <w:sz w:val="21"/>
                <w:szCs w:val="21"/>
              </w:rPr>
            </w:pPr>
            <w:r>
              <w:rPr>
                <w:spacing w:val="-3"/>
                <w:sz w:val="21"/>
                <w:szCs w:val="21"/>
              </w:rPr>
              <w:t>由评标委员会根据投标人提供的本项目</w:t>
            </w:r>
            <w:r>
              <w:rPr>
                <w:spacing w:val="3"/>
                <w:sz w:val="21"/>
                <w:szCs w:val="21"/>
              </w:rPr>
              <w:t>进度保证措施进行评价</w:t>
            </w:r>
            <w:r>
              <w:rPr>
                <w:rFonts w:hint="eastAsia"/>
                <w:spacing w:val="3"/>
                <w:sz w:val="21"/>
                <w:szCs w:val="21"/>
                <w:lang w:eastAsia="zh-CN"/>
              </w:rPr>
              <w:t>：</w:t>
            </w:r>
            <w:r>
              <w:rPr>
                <w:spacing w:val="-4"/>
                <w:sz w:val="21"/>
                <w:szCs w:val="21"/>
              </w:rPr>
              <w:t>（1）优秀得</w:t>
            </w:r>
            <w:r>
              <w:rPr>
                <w:spacing w:val="-43"/>
                <w:sz w:val="21"/>
                <w:szCs w:val="21"/>
              </w:rPr>
              <w:t xml:space="preserve"> </w:t>
            </w:r>
            <w:r>
              <w:rPr>
                <w:spacing w:val="-4"/>
                <w:sz w:val="21"/>
                <w:szCs w:val="21"/>
              </w:rPr>
              <w:t>5≤F≤7</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4"/>
                <w:sz w:val="21"/>
                <w:szCs w:val="21"/>
              </w:rPr>
              <w:t>（2）良好得</w:t>
            </w:r>
            <w:r>
              <w:rPr>
                <w:spacing w:val="-43"/>
                <w:sz w:val="21"/>
                <w:szCs w:val="21"/>
              </w:rPr>
              <w:t xml:space="preserve"> </w:t>
            </w:r>
            <w:r>
              <w:rPr>
                <w:spacing w:val="-4"/>
                <w:sz w:val="21"/>
                <w:szCs w:val="21"/>
              </w:rPr>
              <w:t>3≤F＜5</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5"/>
                <w:sz w:val="21"/>
                <w:szCs w:val="21"/>
              </w:rPr>
              <w:t>（3）一般得</w:t>
            </w:r>
            <w:r>
              <w:rPr>
                <w:spacing w:val="-30"/>
                <w:sz w:val="21"/>
                <w:szCs w:val="21"/>
              </w:rPr>
              <w:t xml:space="preserve"> </w:t>
            </w:r>
            <w:r>
              <w:rPr>
                <w:spacing w:val="-5"/>
                <w:sz w:val="21"/>
                <w:szCs w:val="21"/>
              </w:rPr>
              <w:t>1≤F＜3</w:t>
            </w:r>
            <w:r>
              <w:rPr>
                <w:spacing w:val="-47"/>
                <w:sz w:val="21"/>
                <w:szCs w:val="21"/>
              </w:rPr>
              <w:t xml:space="preserve"> </w:t>
            </w:r>
            <w:r>
              <w:rPr>
                <w:spacing w:val="-5"/>
                <w:sz w:val="21"/>
                <w:szCs w:val="21"/>
              </w:rPr>
              <w:t>分；</w:t>
            </w:r>
          </w:p>
          <w:p>
            <w:pPr>
              <w:pStyle w:val="36"/>
              <w:spacing w:before="156" w:line="219" w:lineRule="auto"/>
              <w:ind w:left="126"/>
              <w:jc w:val="both"/>
              <w:rPr>
                <w:sz w:val="21"/>
                <w:szCs w:val="21"/>
              </w:rPr>
            </w:pPr>
            <w:r>
              <w:rPr>
                <w:spacing w:val="1"/>
                <w:sz w:val="21"/>
                <w:szCs w:val="21"/>
              </w:rPr>
              <w:t>（4）差的或者未提供相关描述的，不得</w:t>
            </w:r>
            <w:r>
              <w:rPr>
                <w:spacing w:val="-7"/>
                <w:sz w:val="21"/>
                <w:szCs w:val="21"/>
              </w:rPr>
              <w:t>分。</w:t>
            </w:r>
          </w:p>
          <w:p>
            <w:pPr>
              <w:pStyle w:val="36"/>
              <w:spacing w:before="43" w:line="219" w:lineRule="auto"/>
              <w:ind w:left="114" w:leftChars="0"/>
              <w:jc w:val="both"/>
              <w:rPr>
                <w:rFonts w:hint="eastAsia" w:ascii="宋体" w:hAnsi="宋体" w:eastAsiaTheme="minorEastAsia" w:cstheme="minorBidi"/>
                <w:snapToGrid w:val="0"/>
                <w:color w:val="000000"/>
                <w:kern w:val="2"/>
                <w:sz w:val="21"/>
                <w:szCs w:val="21"/>
                <w:lang w:val="en-US" w:eastAsia="zh-CN" w:bidi="ar-SA"/>
              </w:rPr>
            </w:pPr>
            <w:r>
              <w:rPr>
                <w:b/>
                <w:bCs/>
                <w:spacing w:val="-5"/>
                <w:sz w:val="21"/>
                <w:szCs w:val="21"/>
              </w:rPr>
              <w:t>注：F</w:t>
            </w:r>
            <w:r>
              <w:rPr>
                <w:spacing w:val="-44"/>
                <w:sz w:val="21"/>
                <w:szCs w:val="21"/>
              </w:rPr>
              <w:t xml:space="preserve"> </w:t>
            </w:r>
            <w:r>
              <w:rPr>
                <w:b/>
                <w:bCs/>
                <w:spacing w:val="-5"/>
                <w:sz w:val="21"/>
                <w:szCs w:val="21"/>
              </w:rPr>
              <w:t>为该项得分</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43" w:line="219" w:lineRule="auto"/>
              <w:ind w:left="114" w:leftChars="0"/>
              <w:jc w:val="both"/>
              <w:rPr>
                <w:rFonts w:hint="eastAsia" w:ascii="宋体" w:hAnsi="宋体" w:eastAsiaTheme="minorEastAsia" w:cstheme="minorBidi"/>
                <w:snapToGrid w:val="0"/>
                <w:color w:val="000000"/>
                <w:kern w:val="2"/>
                <w:sz w:val="21"/>
                <w:szCs w:val="21"/>
                <w:lang w:val="en-US" w:eastAsia="zh-CN" w:bidi="ar-SA"/>
              </w:rPr>
            </w:pPr>
            <w:r>
              <w:rPr>
                <w:rFonts w:hint="eastAsia" w:ascii="宋体" w:hAnsi="宋体" w:cs="宋体"/>
                <w:b/>
                <w:bCs/>
                <w:sz w:val="24"/>
                <w:szCs w:val="24"/>
              </w:rPr>
              <w:t>0-</w:t>
            </w:r>
            <w:r>
              <w:rPr>
                <w:rFonts w:hint="eastAsia" w:ascii="宋体" w:hAnsi="宋体" w:cs="宋体"/>
                <w:b/>
                <w:bCs/>
                <w:sz w:val="24"/>
                <w:szCs w:val="24"/>
                <w:lang w:val="en-US" w:eastAsia="zh-CN"/>
              </w:rPr>
              <w:t>7</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9" w:hRule="atLeast"/>
          <w:jc w:val="center"/>
        </w:trPr>
        <w:tc>
          <w:tcPr>
            <w:tcW w:w="342" w:type="pct"/>
            <w:vMerge w:val="continue"/>
            <w:tcBorders>
              <w:left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623" w:type="pct"/>
            <w:tcBorders>
              <w:top w:val="nil"/>
              <w:left w:val="single" w:color="auto" w:sz="4" w:space="0"/>
              <w:bottom w:val="single" w:color="auto" w:sz="4" w:space="0"/>
              <w:right w:val="single" w:color="auto" w:sz="4" w:space="0"/>
            </w:tcBorders>
            <w:shd w:val="clear" w:color="auto" w:fill="auto"/>
            <w:vAlign w:val="center"/>
          </w:tcPr>
          <w:p>
            <w:pPr>
              <w:jc w:val="center"/>
              <w:rPr>
                <w:rFonts w:ascii="Arial" w:hAnsiTheme="minorHAnsi" w:eastAsiaTheme="minorEastAsia" w:cstheme="minorBidi"/>
                <w:snapToGrid w:val="0"/>
                <w:color w:val="000000"/>
                <w:kern w:val="2"/>
                <w:sz w:val="21"/>
                <w:szCs w:val="21"/>
                <w:lang w:val="en-US" w:eastAsia="zh-CN" w:bidi="ar-SA"/>
              </w:rPr>
            </w:pPr>
            <w:r>
              <w:rPr>
                <w:spacing w:val="-8"/>
                <w:sz w:val="21"/>
                <w:szCs w:val="21"/>
              </w:rPr>
              <w:t>内控和档案</w:t>
            </w:r>
            <w:r>
              <w:rPr>
                <w:spacing w:val="-4"/>
                <w:sz w:val="21"/>
                <w:szCs w:val="21"/>
              </w:rPr>
              <w:t>管理制度</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152" w:line="219" w:lineRule="auto"/>
              <w:ind w:left="126"/>
              <w:jc w:val="both"/>
              <w:rPr>
                <w:spacing w:val="-1"/>
                <w:sz w:val="21"/>
                <w:szCs w:val="21"/>
              </w:rPr>
            </w:pPr>
            <w:r>
              <w:rPr>
                <w:spacing w:val="-1"/>
                <w:sz w:val="21"/>
                <w:szCs w:val="21"/>
              </w:rPr>
              <w:t>评标委员会根据投标人所制定内控制度和档案管理制度进行综合评分：</w:t>
            </w:r>
          </w:p>
          <w:p>
            <w:pPr>
              <w:pStyle w:val="36"/>
              <w:spacing w:before="152" w:line="219" w:lineRule="auto"/>
              <w:ind w:left="126"/>
              <w:jc w:val="both"/>
              <w:rPr>
                <w:sz w:val="21"/>
                <w:szCs w:val="21"/>
              </w:rPr>
            </w:pPr>
            <w:r>
              <w:rPr>
                <w:spacing w:val="-4"/>
                <w:sz w:val="21"/>
                <w:szCs w:val="21"/>
              </w:rPr>
              <w:t>（1）优秀得</w:t>
            </w:r>
            <w:r>
              <w:rPr>
                <w:spacing w:val="-43"/>
                <w:sz w:val="21"/>
                <w:szCs w:val="21"/>
              </w:rPr>
              <w:t xml:space="preserve"> </w:t>
            </w:r>
            <w:r>
              <w:rPr>
                <w:spacing w:val="-4"/>
                <w:sz w:val="21"/>
                <w:szCs w:val="21"/>
              </w:rPr>
              <w:t>5≤F≤7</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4"/>
                <w:sz w:val="21"/>
                <w:szCs w:val="21"/>
              </w:rPr>
              <w:t>（2）良好得</w:t>
            </w:r>
            <w:r>
              <w:rPr>
                <w:spacing w:val="-43"/>
                <w:sz w:val="21"/>
                <w:szCs w:val="21"/>
              </w:rPr>
              <w:t xml:space="preserve"> </w:t>
            </w:r>
            <w:r>
              <w:rPr>
                <w:spacing w:val="-4"/>
                <w:sz w:val="21"/>
                <w:szCs w:val="21"/>
              </w:rPr>
              <w:t>3≤F＜5</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5"/>
                <w:sz w:val="21"/>
                <w:szCs w:val="21"/>
              </w:rPr>
              <w:t>（3）一般得</w:t>
            </w:r>
            <w:r>
              <w:rPr>
                <w:spacing w:val="-30"/>
                <w:sz w:val="21"/>
                <w:szCs w:val="21"/>
              </w:rPr>
              <w:t xml:space="preserve"> </w:t>
            </w:r>
            <w:r>
              <w:rPr>
                <w:spacing w:val="-5"/>
                <w:sz w:val="21"/>
                <w:szCs w:val="21"/>
              </w:rPr>
              <w:t>1≤F＜3</w:t>
            </w:r>
            <w:r>
              <w:rPr>
                <w:spacing w:val="-47"/>
                <w:sz w:val="21"/>
                <w:szCs w:val="21"/>
              </w:rPr>
              <w:t xml:space="preserve"> </w:t>
            </w:r>
            <w:r>
              <w:rPr>
                <w:spacing w:val="-5"/>
                <w:sz w:val="21"/>
                <w:szCs w:val="21"/>
              </w:rPr>
              <w:t>分；</w:t>
            </w:r>
          </w:p>
          <w:p>
            <w:pPr>
              <w:pStyle w:val="36"/>
              <w:spacing w:before="155" w:line="219" w:lineRule="auto"/>
              <w:ind w:left="126"/>
              <w:jc w:val="both"/>
              <w:rPr>
                <w:sz w:val="21"/>
                <w:szCs w:val="21"/>
              </w:rPr>
            </w:pPr>
            <w:r>
              <w:rPr>
                <w:spacing w:val="1"/>
                <w:sz w:val="21"/>
                <w:szCs w:val="21"/>
              </w:rPr>
              <w:t>（4）差的或者未提供相关描述的，不得</w:t>
            </w:r>
            <w:r>
              <w:rPr>
                <w:spacing w:val="-7"/>
                <w:sz w:val="21"/>
                <w:szCs w:val="21"/>
              </w:rPr>
              <w:t>分。</w:t>
            </w:r>
          </w:p>
          <w:p>
            <w:pPr>
              <w:jc w:val="both"/>
              <w:rPr>
                <w:rFonts w:ascii="Arial" w:hAnsiTheme="minorHAnsi" w:eastAsiaTheme="minorEastAsia" w:cstheme="minorBidi"/>
                <w:snapToGrid w:val="0"/>
                <w:color w:val="000000"/>
                <w:kern w:val="2"/>
                <w:sz w:val="21"/>
                <w:szCs w:val="21"/>
                <w:lang w:val="en-US" w:eastAsia="zh-CN" w:bidi="ar-SA"/>
              </w:rPr>
            </w:pPr>
            <w:r>
              <w:rPr>
                <w:b/>
                <w:bCs/>
                <w:spacing w:val="-5"/>
                <w:sz w:val="21"/>
                <w:szCs w:val="21"/>
              </w:rPr>
              <w:t>注：F</w:t>
            </w:r>
            <w:r>
              <w:rPr>
                <w:spacing w:val="-44"/>
                <w:sz w:val="21"/>
                <w:szCs w:val="21"/>
              </w:rPr>
              <w:t xml:space="preserve"> </w:t>
            </w:r>
            <w:r>
              <w:rPr>
                <w:b/>
                <w:bCs/>
                <w:spacing w:val="-5"/>
                <w:sz w:val="21"/>
                <w:szCs w:val="21"/>
              </w:rPr>
              <w:t>为该项得分</w:t>
            </w:r>
          </w:p>
        </w:tc>
        <w:tc>
          <w:tcPr>
            <w:tcW w:w="609" w:type="pct"/>
            <w:tcBorders>
              <w:top w:val="nil"/>
              <w:left w:val="single" w:color="auto" w:sz="4" w:space="0"/>
              <w:bottom w:val="single" w:color="auto" w:sz="4" w:space="0"/>
              <w:right w:val="single" w:color="auto" w:sz="4" w:space="0"/>
            </w:tcBorders>
            <w:shd w:val="clear" w:color="auto" w:fill="auto"/>
            <w:vAlign w:val="center"/>
          </w:tcPr>
          <w:p>
            <w:pPr>
              <w:pStyle w:val="36"/>
              <w:spacing w:before="43" w:line="219" w:lineRule="auto"/>
              <w:ind w:left="114" w:leftChars="0"/>
              <w:jc w:val="both"/>
              <w:rPr>
                <w:rFonts w:hint="eastAsia" w:ascii="宋体" w:hAnsi="宋体" w:eastAsiaTheme="minorEastAsia" w:cstheme="minorBidi"/>
                <w:snapToGrid w:val="0"/>
                <w:color w:val="000000"/>
                <w:kern w:val="2"/>
                <w:sz w:val="21"/>
                <w:szCs w:val="21"/>
                <w:lang w:val="en-US" w:eastAsia="zh-CN" w:bidi="ar-SA"/>
              </w:rPr>
            </w:pPr>
            <w:r>
              <w:rPr>
                <w:rFonts w:hint="eastAsia" w:ascii="宋体" w:hAnsi="宋体" w:cs="宋体"/>
                <w:b/>
                <w:bCs/>
                <w:sz w:val="24"/>
                <w:szCs w:val="24"/>
              </w:rPr>
              <w:t>0-</w:t>
            </w:r>
            <w:r>
              <w:rPr>
                <w:rFonts w:hint="eastAsia" w:ascii="宋体" w:hAnsi="宋体" w:cs="宋体"/>
                <w:b/>
                <w:bCs/>
                <w:sz w:val="24"/>
                <w:szCs w:val="24"/>
                <w:lang w:val="en-US" w:eastAsia="zh-CN"/>
              </w:rPr>
              <w:t>7</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6" w:hRule="atLeast"/>
          <w:jc w:val="center"/>
        </w:trPr>
        <w:tc>
          <w:tcPr>
            <w:tcW w:w="342" w:type="pct"/>
            <w:vMerge w:val="continue"/>
            <w:tcBorders>
              <w:left w:val="single" w:color="auto" w:sz="4" w:space="0"/>
              <w:bottom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pacing w:val="-8"/>
                <w:sz w:val="21"/>
                <w:szCs w:val="21"/>
              </w:rPr>
            </w:pPr>
            <w:r>
              <w:rPr>
                <w:spacing w:val="17"/>
                <w:sz w:val="21"/>
                <w:szCs w:val="21"/>
              </w:rPr>
              <w:t>廉政和保密</w:t>
            </w:r>
            <w:r>
              <w:rPr>
                <w:spacing w:val="-6"/>
                <w:sz w:val="21"/>
                <w:szCs w:val="21"/>
              </w:rPr>
              <w:t>制度</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36" w:line="345" w:lineRule="auto"/>
              <w:ind w:left="114" w:right="103" w:hanging="1"/>
              <w:jc w:val="both"/>
              <w:rPr>
                <w:sz w:val="21"/>
                <w:szCs w:val="21"/>
              </w:rPr>
            </w:pPr>
            <w:r>
              <w:rPr>
                <w:spacing w:val="-1"/>
                <w:sz w:val="21"/>
                <w:szCs w:val="21"/>
              </w:rPr>
              <w:t>评标委员会根据投标人针对项目特点所</w:t>
            </w:r>
            <w:r>
              <w:rPr>
                <w:spacing w:val="-4"/>
                <w:sz w:val="21"/>
                <w:szCs w:val="21"/>
              </w:rPr>
              <w:t>制定廉政制度和保密制度进行综合评分：</w:t>
            </w:r>
          </w:p>
          <w:p>
            <w:pPr>
              <w:pStyle w:val="36"/>
              <w:spacing w:before="147" w:line="219" w:lineRule="auto"/>
              <w:ind w:left="126"/>
              <w:jc w:val="both"/>
              <w:rPr>
                <w:sz w:val="21"/>
                <w:szCs w:val="21"/>
              </w:rPr>
            </w:pPr>
            <w:r>
              <w:rPr>
                <w:spacing w:val="-4"/>
                <w:sz w:val="21"/>
                <w:szCs w:val="21"/>
              </w:rPr>
              <w:t>（1）优秀得</w:t>
            </w:r>
            <w:r>
              <w:rPr>
                <w:spacing w:val="-43"/>
                <w:sz w:val="21"/>
                <w:szCs w:val="21"/>
              </w:rPr>
              <w:t xml:space="preserve"> </w:t>
            </w:r>
            <w:r>
              <w:rPr>
                <w:spacing w:val="-4"/>
                <w:sz w:val="21"/>
                <w:szCs w:val="21"/>
              </w:rPr>
              <w:t>5≤F≤7</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4"/>
                <w:sz w:val="21"/>
                <w:szCs w:val="21"/>
              </w:rPr>
              <w:t>（2）良好得</w:t>
            </w:r>
            <w:r>
              <w:rPr>
                <w:spacing w:val="-43"/>
                <w:sz w:val="21"/>
                <w:szCs w:val="21"/>
              </w:rPr>
              <w:t xml:space="preserve"> </w:t>
            </w:r>
            <w:r>
              <w:rPr>
                <w:spacing w:val="-4"/>
                <w:sz w:val="21"/>
                <w:szCs w:val="21"/>
              </w:rPr>
              <w:t>3≤F＜5</w:t>
            </w:r>
            <w:r>
              <w:rPr>
                <w:spacing w:val="-47"/>
                <w:sz w:val="21"/>
                <w:szCs w:val="21"/>
              </w:rPr>
              <w:t xml:space="preserve"> </w:t>
            </w:r>
            <w:r>
              <w:rPr>
                <w:spacing w:val="-4"/>
                <w:sz w:val="21"/>
                <w:szCs w:val="21"/>
              </w:rPr>
              <w:t>分；</w:t>
            </w:r>
          </w:p>
          <w:p>
            <w:pPr>
              <w:pStyle w:val="36"/>
              <w:spacing w:before="154" w:line="219" w:lineRule="auto"/>
              <w:ind w:left="126"/>
              <w:jc w:val="both"/>
              <w:rPr>
                <w:sz w:val="21"/>
                <w:szCs w:val="21"/>
              </w:rPr>
            </w:pPr>
            <w:r>
              <w:rPr>
                <w:spacing w:val="-5"/>
                <w:sz w:val="21"/>
                <w:szCs w:val="21"/>
              </w:rPr>
              <w:t>（3）一般得</w:t>
            </w:r>
            <w:r>
              <w:rPr>
                <w:spacing w:val="-30"/>
                <w:sz w:val="21"/>
                <w:szCs w:val="21"/>
              </w:rPr>
              <w:t xml:space="preserve"> </w:t>
            </w:r>
            <w:r>
              <w:rPr>
                <w:spacing w:val="-5"/>
                <w:sz w:val="21"/>
                <w:szCs w:val="21"/>
              </w:rPr>
              <w:t>1≤F＜3</w:t>
            </w:r>
            <w:r>
              <w:rPr>
                <w:spacing w:val="-47"/>
                <w:sz w:val="21"/>
                <w:szCs w:val="21"/>
              </w:rPr>
              <w:t xml:space="preserve"> </w:t>
            </w:r>
            <w:r>
              <w:rPr>
                <w:spacing w:val="-5"/>
                <w:sz w:val="21"/>
                <w:szCs w:val="21"/>
              </w:rPr>
              <w:t>分；</w:t>
            </w:r>
          </w:p>
          <w:p>
            <w:pPr>
              <w:pStyle w:val="36"/>
              <w:spacing w:before="156" w:line="219" w:lineRule="auto"/>
              <w:ind w:left="126"/>
              <w:jc w:val="both"/>
              <w:rPr>
                <w:sz w:val="21"/>
                <w:szCs w:val="21"/>
              </w:rPr>
            </w:pPr>
            <w:r>
              <w:rPr>
                <w:spacing w:val="1"/>
                <w:sz w:val="21"/>
                <w:szCs w:val="21"/>
              </w:rPr>
              <w:t>（4）差的或者未提供相关描述的，不得</w:t>
            </w:r>
            <w:r>
              <w:rPr>
                <w:spacing w:val="-7"/>
                <w:sz w:val="21"/>
                <w:szCs w:val="21"/>
              </w:rPr>
              <w:t>分。</w:t>
            </w:r>
          </w:p>
          <w:p>
            <w:pPr>
              <w:jc w:val="both"/>
              <w:rPr>
                <w:b/>
                <w:bCs/>
                <w:spacing w:val="-5"/>
                <w:sz w:val="21"/>
                <w:szCs w:val="21"/>
              </w:rPr>
            </w:pPr>
            <w:r>
              <w:rPr>
                <w:b/>
                <w:bCs/>
                <w:spacing w:val="-5"/>
                <w:sz w:val="21"/>
                <w:szCs w:val="21"/>
              </w:rPr>
              <w:t>注：F</w:t>
            </w:r>
            <w:r>
              <w:rPr>
                <w:spacing w:val="-44"/>
                <w:sz w:val="21"/>
                <w:szCs w:val="21"/>
              </w:rPr>
              <w:t xml:space="preserve"> </w:t>
            </w:r>
            <w:r>
              <w:rPr>
                <w:b/>
                <w:bCs/>
                <w:spacing w:val="-5"/>
                <w:sz w:val="21"/>
                <w:szCs w:val="21"/>
              </w:rPr>
              <w:t>为该项得分</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43" w:line="219" w:lineRule="auto"/>
              <w:ind w:left="114" w:leftChars="0"/>
              <w:jc w:val="both"/>
              <w:rPr>
                <w:rFonts w:hint="eastAsia" w:ascii="宋体" w:hAnsi="宋体" w:cs="宋体"/>
                <w:b/>
                <w:bCs/>
                <w:sz w:val="24"/>
                <w:szCs w:val="24"/>
              </w:rPr>
            </w:pPr>
            <w:r>
              <w:rPr>
                <w:rFonts w:hint="eastAsia" w:ascii="宋体" w:hAnsi="宋体" w:cs="宋体"/>
                <w:b/>
                <w:bCs/>
                <w:sz w:val="24"/>
                <w:szCs w:val="24"/>
              </w:rPr>
              <w:t>0-</w:t>
            </w:r>
            <w:r>
              <w:rPr>
                <w:rFonts w:hint="eastAsia" w:ascii="宋体" w:hAnsi="宋体" w:cs="宋体"/>
                <w:b/>
                <w:bCs/>
                <w:sz w:val="24"/>
                <w:szCs w:val="24"/>
                <w:lang w:val="en-US" w:eastAsia="zh-CN"/>
              </w:rPr>
              <w:t>7</w:t>
            </w:r>
            <w:r>
              <w:rPr>
                <w:rFonts w:hint="eastAsia" w:ascii="宋体" w:hAnsi="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42" w:type="pct"/>
            <w:vMerge w:val="restart"/>
            <w:tcBorders>
              <w:top w:val="single" w:color="auto" w:sz="4" w:space="0"/>
              <w:left w:val="single" w:color="auto" w:sz="4" w:space="0"/>
              <w:right w:val="single" w:color="auto" w:sz="4" w:space="0"/>
            </w:tcBorders>
            <w:shd w:val="clear" w:color="auto" w:fill="auto"/>
            <w:vAlign w:val="center"/>
          </w:tcPr>
          <w:p>
            <w:pPr>
              <w:pStyle w:val="36"/>
              <w:spacing w:before="78" w:line="219" w:lineRule="auto"/>
              <w:ind w:left="199"/>
              <w:jc w:val="both"/>
              <w:rPr>
                <w:rFonts w:hAnsi="宋体" w:cs="宋体"/>
                <w:sz w:val="24"/>
                <w:szCs w:val="24"/>
              </w:rPr>
            </w:pPr>
            <w:r>
              <w:rPr>
                <w:spacing w:val="-5"/>
                <w:sz w:val="21"/>
                <w:szCs w:val="21"/>
              </w:rPr>
              <w:t>商务文</w:t>
            </w:r>
            <w:r>
              <w:rPr>
                <w:spacing w:val="-3"/>
                <w:sz w:val="21"/>
                <w:szCs w:val="21"/>
              </w:rPr>
              <w:t>件评分</w:t>
            </w:r>
            <w:r>
              <w:rPr>
                <w:spacing w:val="-6"/>
                <w:sz w:val="21"/>
                <w:szCs w:val="21"/>
              </w:rPr>
              <w:t>标准</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pacing w:val="17"/>
                <w:sz w:val="21"/>
                <w:szCs w:val="21"/>
              </w:rPr>
            </w:pPr>
            <w:r>
              <w:rPr>
                <w:spacing w:val="-8"/>
                <w:sz w:val="21"/>
                <w:szCs w:val="21"/>
              </w:rPr>
              <w:t>荣誉</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自 2021年1月1日以来（以颁奖时间为准），投标人具有下列荣誉（或奖项）的， 每提供一个得2分，满分4分。</w:t>
            </w:r>
          </w:p>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（1）投标人获得行政主管（含造价站）或依法登记注册的行业协会（或学会）颁 发的优秀（或先进）工程造价类单位称号（含工程造价管理协会颁发的优秀（或先进）会员单位）的；</w:t>
            </w:r>
          </w:p>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（2）投标人承接的工程造价类项目获得 行政主管部门（含造价站）或依法登记注 册的行业协会（或学会）颁发的荣誉或奖项（如工程造价咨询成果奖项等）的。</w:t>
            </w:r>
          </w:p>
          <w:p>
            <w:pPr>
              <w:pStyle w:val="36"/>
              <w:spacing w:before="40" w:line="333" w:lineRule="auto"/>
              <w:ind w:left="114" w:right="107" w:hanging="1"/>
              <w:jc w:val="both"/>
              <w:rPr>
                <w:sz w:val="21"/>
                <w:szCs w:val="21"/>
              </w:rPr>
            </w:pPr>
            <w:r>
              <w:rPr>
                <w:b/>
                <w:bCs/>
                <w:spacing w:val="3"/>
                <w:sz w:val="21"/>
                <w:szCs w:val="21"/>
              </w:rPr>
              <w:t>注</w:t>
            </w:r>
            <w:r>
              <w:rPr>
                <w:b/>
                <w:bCs/>
                <w:spacing w:val="-26"/>
                <w:sz w:val="21"/>
                <w:szCs w:val="21"/>
              </w:rPr>
              <w:t>：（</w:t>
            </w:r>
            <w:r>
              <w:rPr>
                <w:b/>
                <w:bCs/>
                <w:spacing w:val="3"/>
                <w:sz w:val="21"/>
                <w:szCs w:val="21"/>
              </w:rPr>
              <w:t>1）投标文件中须提供颁奖单位的</w:t>
            </w:r>
            <w:r>
              <w:rPr>
                <w:spacing w:val="1"/>
                <w:sz w:val="21"/>
                <w:szCs w:val="21"/>
              </w:rPr>
              <w:t xml:space="preserve"> </w:t>
            </w:r>
            <w:r>
              <w:rPr>
                <w:b/>
                <w:bCs/>
                <w:spacing w:val="-7"/>
                <w:sz w:val="21"/>
                <w:szCs w:val="21"/>
              </w:rPr>
              <w:t>颁奖文件（扫描件）或颁奖单位官网文件</w:t>
            </w:r>
            <w:r>
              <w:rPr>
                <w:b/>
                <w:bCs/>
                <w:spacing w:val="4"/>
                <w:sz w:val="21"/>
                <w:szCs w:val="21"/>
              </w:rPr>
              <w:t>截图</w:t>
            </w:r>
            <w:r>
              <w:rPr>
                <w:rFonts w:hint="eastAsia"/>
                <w:b/>
                <w:bCs/>
                <w:spacing w:val="4"/>
                <w:sz w:val="21"/>
                <w:szCs w:val="21"/>
                <w:lang w:eastAsia="zh-CN"/>
              </w:rPr>
              <w:t>（</w:t>
            </w:r>
            <w:r>
              <w:rPr>
                <w:spacing w:val="4"/>
                <w:sz w:val="21"/>
                <w:szCs w:val="21"/>
              </w:rPr>
              <w:t>颁奖文件不含荣誉证书、奖杯、奖</w:t>
            </w:r>
            <w:r>
              <w:rPr>
                <w:spacing w:val="8"/>
                <w:sz w:val="21"/>
                <w:szCs w:val="21"/>
              </w:rPr>
              <w:t xml:space="preserve"> </w:t>
            </w:r>
            <w:r>
              <w:rPr>
                <w:spacing w:val="-2"/>
                <w:sz w:val="21"/>
                <w:szCs w:val="21"/>
              </w:rPr>
              <w:t>牌、奖状</w:t>
            </w:r>
            <w:r>
              <w:rPr>
                <w:rFonts w:hint="eastAsia"/>
                <w:spacing w:val="-2"/>
                <w:sz w:val="21"/>
                <w:szCs w:val="21"/>
                <w:lang w:eastAsia="zh-CN"/>
              </w:rPr>
              <w:t>）</w:t>
            </w:r>
            <w:r>
              <w:rPr>
                <w:spacing w:val="-2"/>
                <w:sz w:val="21"/>
                <w:szCs w:val="21"/>
              </w:rPr>
              <w:t>。</w:t>
            </w:r>
          </w:p>
          <w:p>
            <w:pPr>
              <w:pStyle w:val="36"/>
              <w:spacing w:before="65" w:line="357" w:lineRule="auto"/>
              <w:ind w:left="102" w:firstLine="22"/>
              <w:jc w:val="both"/>
              <w:rPr>
                <w:rFonts w:ascii="宋体" w:hAnsi="宋体"/>
                <w:spacing w:val="-1"/>
                <w:sz w:val="21"/>
                <w:szCs w:val="21"/>
              </w:rPr>
            </w:pPr>
            <w:r>
              <w:rPr>
                <w:spacing w:val="-10"/>
                <w:sz w:val="21"/>
                <w:szCs w:val="21"/>
              </w:rPr>
              <w:t>（2）</w:t>
            </w:r>
            <w:r>
              <w:rPr>
                <w:spacing w:val="-40"/>
                <w:sz w:val="21"/>
                <w:szCs w:val="21"/>
              </w:rPr>
              <w:t xml:space="preserve"> </w:t>
            </w:r>
            <w:r>
              <w:rPr>
                <w:rFonts w:ascii="宋体" w:hAnsi="宋体"/>
                <w:spacing w:val="-1"/>
                <w:sz w:val="21"/>
                <w:szCs w:val="21"/>
              </w:rPr>
              <w:t>“ 国内依法登记注册 ”以中国社会组织政务服务平台中“全国社会组织信用信息公示平台 ”查询结果为准。针对国内依法登记注册的行业协会（或学会）颁发的奖项、荣誉，</w:t>
            </w:r>
            <w:r>
              <w:rPr>
                <w:b/>
                <w:bCs/>
                <w:spacing w:val="-9"/>
                <w:sz w:val="21"/>
                <w:szCs w:val="21"/>
              </w:rPr>
              <w:t>投标文件中须提供该协会</w:t>
            </w:r>
            <w:r>
              <w:rPr>
                <w:b/>
                <w:bCs/>
                <w:spacing w:val="-10"/>
                <w:sz w:val="21"/>
                <w:szCs w:val="21"/>
              </w:rPr>
              <w:t>（或学会）在中国社会组织政务服务平台</w:t>
            </w:r>
            <w:r>
              <w:rPr>
                <w:b/>
                <w:bCs/>
                <w:spacing w:val="-12"/>
                <w:sz w:val="21"/>
                <w:szCs w:val="21"/>
              </w:rPr>
              <w:t>中“全国社会组织信用信息公示平台</w:t>
            </w:r>
            <w:r>
              <w:rPr>
                <w:spacing w:val="-82"/>
                <w:sz w:val="21"/>
                <w:szCs w:val="21"/>
              </w:rPr>
              <w:t xml:space="preserve"> </w:t>
            </w:r>
            <w:r>
              <w:rPr>
                <w:b/>
                <w:bCs/>
                <w:spacing w:val="-12"/>
                <w:sz w:val="21"/>
                <w:szCs w:val="21"/>
              </w:rPr>
              <w:t>”查</w:t>
            </w:r>
            <w:r>
              <w:rPr>
                <w:b/>
                <w:bCs/>
                <w:spacing w:val="-13"/>
                <w:sz w:val="21"/>
                <w:szCs w:val="21"/>
              </w:rPr>
              <w:t>询结果截图。</w:t>
            </w:r>
            <w:r>
              <w:rPr>
                <w:rFonts w:ascii="宋体" w:hAnsi="宋体"/>
                <w:spacing w:val="-1"/>
                <w:sz w:val="21"/>
                <w:szCs w:val="21"/>
              </w:rPr>
              <w:t>民政部公布的“离岸社团 ”、 “ 山寨社团 ”或中国社会组织政务服务平台中“全国社会组织信用信息公示平台 ”公示的“涉嫌非法社会组织 ”颁发的荣誉、奖励均无效。</w:t>
            </w:r>
          </w:p>
          <w:p>
            <w:pPr>
              <w:pStyle w:val="36"/>
              <w:spacing w:before="65" w:line="357" w:lineRule="auto"/>
              <w:ind w:left="102" w:firstLine="22"/>
              <w:jc w:val="both"/>
              <w:rPr>
                <w:rFonts w:ascii="宋体" w:hAnsi="宋体"/>
                <w:spacing w:val="-1"/>
                <w:sz w:val="21"/>
                <w:szCs w:val="21"/>
              </w:rPr>
            </w:pPr>
            <w:r>
              <w:rPr>
                <w:rFonts w:ascii="宋体" w:hAnsi="宋体"/>
                <w:spacing w:val="-1"/>
                <w:sz w:val="21"/>
                <w:szCs w:val="21"/>
              </w:rPr>
              <w:t>（3）同一项目多次获奖的，也仅计分一次。</w:t>
            </w:r>
          </w:p>
          <w:p>
            <w:pPr>
              <w:jc w:val="both"/>
              <w:rPr>
                <w:b/>
                <w:bCs/>
                <w:spacing w:val="-5"/>
                <w:sz w:val="21"/>
                <w:szCs w:val="21"/>
              </w:rPr>
            </w:pPr>
            <w:r>
              <w:rPr>
                <w:b/>
                <w:bCs/>
                <w:spacing w:val="-1"/>
                <w:sz w:val="21"/>
                <w:szCs w:val="21"/>
              </w:rPr>
              <w:t>（4）</w:t>
            </w:r>
            <w:r>
              <w:rPr>
                <w:rFonts w:hint="eastAsia"/>
                <w:b/>
                <w:bCs/>
                <w:spacing w:val="-1"/>
                <w:sz w:val="21"/>
                <w:szCs w:val="21"/>
                <w:lang w:eastAsia="zh-CN"/>
              </w:rPr>
              <w:t>若</w:t>
            </w:r>
            <w:r>
              <w:rPr>
                <w:b/>
                <w:bCs/>
                <w:spacing w:val="-1"/>
                <w:sz w:val="21"/>
                <w:szCs w:val="21"/>
              </w:rPr>
              <w:t>项目获奖，投标文件须同时提</w:t>
            </w:r>
            <w:r>
              <w:rPr>
                <w:b/>
                <w:bCs/>
                <w:spacing w:val="-3"/>
                <w:sz w:val="21"/>
                <w:szCs w:val="21"/>
              </w:rPr>
              <w:t>供获奖项目合同扫描件。</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43" w:line="219" w:lineRule="auto"/>
              <w:ind w:left="114" w:leftChars="0"/>
              <w:jc w:val="both"/>
              <w:rPr>
                <w:rFonts w:hint="default" w:ascii="宋体" w:hAnsi="宋体" w:cs="宋体" w:eastAsiaTheme="minorEastAsia"/>
                <w:b/>
                <w:bCs/>
                <w:sz w:val="24"/>
                <w:szCs w:val="24"/>
                <w:lang w:val="en-US" w:eastAsia="zh-CN"/>
              </w:rPr>
            </w:pPr>
            <w:r>
              <w:rPr>
                <w:rFonts w:hint="eastAsia" w:cs="宋体"/>
                <w:b/>
                <w:bCs/>
                <w:sz w:val="24"/>
                <w:szCs w:val="24"/>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42" w:type="pct"/>
            <w:vMerge w:val="continue"/>
            <w:tcBorders>
              <w:left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pacing w:val="17"/>
                <w:sz w:val="21"/>
                <w:szCs w:val="21"/>
              </w:rPr>
            </w:pPr>
            <w:r>
              <w:rPr>
                <w:spacing w:val="-3"/>
                <w:sz w:val="21"/>
                <w:szCs w:val="21"/>
              </w:rPr>
              <w:t>投标人业绩</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自 2021 年 1 月 1  日以来（以结算审计 定案表时间为准），投标人具备单个合同 中结算审计定案金额不少于</w:t>
            </w:r>
            <w:r>
              <w:rPr>
                <w:rFonts w:hint="eastAsia" w:ascii="宋体" w:hAnsi="宋体"/>
                <w:spacing w:val="-1"/>
                <w:sz w:val="21"/>
                <w:szCs w:val="21"/>
                <w:lang w:val="en-US" w:eastAsia="zh-CN"/>
              </w:rPr>
              <w:t>2</w:t>
            </w:r>
            <w:r>
              <w:rPr>
                <w:rFonts w:ascii="宋体" w:hAnsi="宋体"/>
                <w:spacing w:val="-1"/>
                <w:sz w:val="21"/>
                <w:szCs w:val="21"/>
              </w:rPr>
              <w:t xml:space="preserve">00万元市政公用工程结算审计业绩，每个得 3 分，本小项满分 </w:t>
            </w:r>
            <w:r>
              <w:rPr>
                <w:rFonts w:hint="eastAsia" w:ascii="宋体" w:hAnsi="宋体"/>
                <w:spacing w:val="-1"/>
                <w:sz w:val="21"/>
                <w:szCs w:val="21"/>
                <w:lang w:val="en-US" w:eastAsia="zh-CN"/>
              </w:rPr>
              <w:t>12</w:t>
            </w:r>
            <w:r>
              <w:rPr>
                <w:rFonts w:ascii="宋体" w:hAnsi="宋体"/>
                <w:spacing w:val="-1"/>
                <w:sz w:val="21"/>
                <w:szCs w:val="21"/>
              </w:rPr>
              <w:t>分。</w:t>
            </w:r>
          </w:p>
          <w:p>
            <w:pPr>
              <w:pStyle w:val="36"/>
              <w:spacing w:before="152" w:line="198" w:lineRule="auto"/>
              <w:ind w:left="114"/>
              <w:jc w:val="both"/>
              <w:rPr>
                <w:rFonts w:hint="eastAsia" w:eastAsiaTheme="minorEastAsia"/>
                <w:b/>
                <w:bCs/>
                <w:spacing w:val="-7"/>
                <w:sz w:val="21"/>
                <w:szCs w:val="21"/>
                <w:lang w:eastAsia="zh-CN"/>
              </w:rPr>
            </w:pPr>
            <w:r>
              <w:rPr>
                <w:b/>
                <w:bCs/>
                <w:spacing w:val="-3"/>
                <w:sz w:val="21"/>
                <w:szCs w:val="21"/>
              </w:rPr>
              <w:t>注：</w:t>
            </w:r>
            <w:r>
              <w:rPr>
                <w:rFonts w:ascii="Calibri" w:hAnsi="Calibri" w:eastAsia="Calibri" w:cs="Calibri"/>
                <w:b/>
                <w:bCs/>
                <w:spacing w:val="-3"/>
                <w:sz w:val="21"/>
                <w:szCs w:val="21"/>
              </w:rPr>
              <w:t>1.</w:t>
            </w:r>
            <w:r>
              <w:rPr>
                <w:b/>
                <w:bCs/>
                <w:spacing w:val="-3"/>
                <w:sz w:val="21"/>
                <w:szCs w:val="21"/>
              </w:rPr>
              <w:t>上述要求的业绩须为</w:t>
            </w:r>
            <w:r>
              <w:rPr>
                <w:rFonts w:hint="eastAsia"/>
                <w:b/>
                <w:bCs/>
                <w:spacing w:val="-3"/>
                <w:sz w:val="21"/>
                <w:szCs w:val="21"/>
                <w:lang w:eastAsia="zh-CN"/>
              </w:rPr>
              <w:t>：</w:t>
            </w:r>
            <w:r>
              <w:rPr>
                <w:rFonts w:hint="eastAsia" w:ascii="微软雅黑" w:hAnsi="微软雅黑" w:eastAsia="微软雅黑" w:cs="微软雅黑"/>
                <w:b/>
                <w:bCs/>
                <w:spacing w:val="-3"/>
                <w:sz w:val="21"/>
                <w:szCs w:val="21"/>
                <w:lang w:eastAsia="zh-CN"/>
              </w:rPr>
              <w:t>☑</w:t>
            </w:r>
            <w:r>
              <w:rPr>
                <w:b/>
                <w:bCs/>
                <w:spacing w:val="-3"/>
                <w:sz w:val="21"/>
                <w:szCs w:val="21"/>
              </w:rPr>
              <w:t>已完成的</w:t>
            </w:r>
            <w:r>
              <w:rPr>
                <w:rFonts w:hint="eastAsia"/>
                <w:b/>
                <w:bCs/>
                <w:spacing w:val="-3"/>
                <w:sz w:val="21"/>
                <w:szCs w:val="21"/>
                <w:lang w:eastAsia="zh-CN"/>
              </w:rPr>
              <w:t>业</w:t>
            </w:r>
            <w:r>
              <w:rPr>
                <w:b/>
                <w:bCs/>
                <w:spacing w:val="-7"/>
                <w:sz w:val="21"/>
                <w:szCs w:val="21"/>
              </w:rPr>
              <w:t>绩</w:t>
            </w:r>
            <w:r>
              <w:rPr>
                <w:rFonts w:hint="eastAsia"/>
                <w:b/>
                <w:bCs/>
                <w:spacing w:val="-7"/>
                <w:sz w:val="21"/>
                <w:szCs w:val="21"/>
                <w:lang w:eastAsia="zh-CN"/>
              </w:rPr>
              <w:t>。</w:t>
            </w:r>
          </w:p>
          <w:p>
            <w:pPr>
              <w:pStyle w:val="36"/>
              <w:spacing w:before="152" w:line="198" w:lineRule="auto"/>
              <w:ind w:left="114"/>
              <w:jc w:val="both"/>
              <w:rPr>
                <w:sz w:val="21"/>
                <w:szCs w:val="21"/>
              </w:rPr>
            </w:pPr>
            <w:r>
              <w:rPr>
                <w:b/>
                <w:bCs/>
                <w:spacing w:val="-7"/>
                <w:sz w:val="21"/>
                <w:szCs w:val="21"/>
              </w:rPr>
              <w:t>投标文件中须同时提供以下业绩证明</w:t>
            </w:r>
            <w:r>
              <w:rPr>
                <w:b/>
                <w:bCs/>
                <w:spacing w:val="-6"/>
                <w:sz w:val="21"/>
                <w:szCs w:val="21"/>
              </w:rPr>
              <w:t>材料：</w:t>
            </w:r>
          </w:p>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（1）业绩合同扫描件；</w:t>
            </w:r>
          </w:p>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（2）与该业绩对应的定案表扫描件。</w:t>
            </w:r>
          </w:p>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（3）其他材料：  /</w:t>
            </w:r>
          </w:p>
          <w:p>
            <w:pPr>
              <w:pStyle w:val="36"/>
              <w:spacing w:before="160" w:line="219" w:lineRule="auto"/>
              <w:ind w:left="233"/>
              <w:jc w:val="both"/>
              <w:rPr>
                <w:sz w:val="21"/>
                <w:szCs w:val="21"/>
              </w:rPr>
            </w:pPr>
            <w:r>
              <w:rPr>
                <w:b/>
                <w:bCs/>
                <w:spacing w:val="-4"/>
                <w:sz w:val="21"/>
                <w:szCs w:val="21"/>
              </w:rPr>
              <w:t>业绩材料说明：</w:t>
            </w:r>
          </w:p>
          <w:p>
            <w:pPr>
              <w:pStyle w:val="36"/>
              <w:spacing w:before="37" w:line="350" w:lineRule="auto"/>
              <w:ind w:left="114" w:right="282" w:hanging="1"/>
              <w:jc w:val="both"/>
              <w:rPr>
                <w:rFonts w:ascii="宋体" w:hAnsi="宋体"/>
                <w:spacing w:val="-1"/>
                <w:sz w:val="21"/>
                <w:szCs w:val="21"/>
              </w:rPr>
            </w:pPr>
            <w:r>
              <w:rPr>
                <w:spacing w:val="-19"/>
                <w:sz w:val="21"/>
                <w:szCs w:val="21"/>
              </w:rPr>
              <w:t>（</w:t>
            </w:r>
            <w:r>
              <w:rPr>
                <w:rFonts w:ascii="宋体" w:hAnsi="宋体"/>
                <w:spacing w:val="-1"/>
                <w:sz w:val="21"/>
                <w:szCs w:val="21"/>
              </w:rPr>
              <w:t xml:space="preserve">1）定案表须同时盖业主（或合同甲方）、 </w:t>
            </w:r>
            <w:r>
              <w:rPr>
                <w:rFonts w:hint="eastAsia" w:ascii="宋体" w:hAnsi="宋体"/>
                <w:spacing w:val="-1"/>
                <w:sz w:val="21"/>
                <w:szCs w:val="21"/>
                <w:lang w:eastAsia="zh-CN"/>
              </w:rPr>
              <w:t>设计</w:t>
            </w:r>
            <w:r>
              <w:rPr>
                <w:rFonts w:ascii="宋体" w:hAnsi="宋体"/>
                <w:spacing w:val="-1"/>
                <w:sz w:val="21"/>
                <w:szCs w:val="21"/>
              </w:rPr>
              <w:t>方、施工方公章；</w:t>
            </w:r>
          </w:p>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（2）如果业绩合同和与该业绩对应的定 案表中的评审要素不一致的，以与该业绩 对应的定案表为准。</w:t>
            </w:r>
          </w:p>
          <w:p>
            <w:pPr>
              <w:pStyle w:val="36"/>
              <w:spacing w:before="37" w:line="350" w:lineRule="auto"/>
              <w:ind w:left="114" w:right="282" w:hanging="1"/>
              <w:jc w:val="both"/>
              <w:rPr>
                <w:rFonts w:ascii="宋体" w:hAnsi="宋体"/>
                <w:spacing w:val="-1"/>
                <w:sz w:val="21"/>
                <w:szCs w:val="21"/>
              </w:rPr>
            </w:pPr>
            <w:r>
              <w:rPr>
                <w:rFonts w:hint="eastAsia" w:ascii="宋体" w:hAnsi="宋体"/>
                <w:spacing w:val="-1"/>
                <w:sz w:val="21"/>
                <w:szCs w:val="21"/>
                <w:lang w:eastAsia="zh-CN"/>
              </w:rPr>
              <w:t>（3）</w:t>
            </w:r>
            <w:r>
              <w:rPr>
                <w:rFonts w:ascii="宋体" w:hAnsi="宋体"/>
                <w:spacing w:val="-1"/>
                <w:sz w:val="21"/>
                <w:szCs w:val="21"/>
              </w:rPr>
              <w:t xml:space="preserve"> 业绩需在商务文件中“商务文件详细 评审资料 ”栏“投标人业绩情况表（详细评审）”中注明并提供相关证明材料。若业绩合同和与该业绩对应的定案表均未能明确反映评审因素的（如结算审计定案表时间、定案金额、合同内容），评标委员会不予认可。</w:t>
            </w:r>
          </w:p>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（4）如提供的上述业绩为入库类项目： 投标文件中须同时提供框架合同和任务单（或认定单或单项协议）的扫描件以及 与该任务单（或认定单或单项协议）对应的定案表。如无单个任务单或认定单或单项协议，需提供业主单位（或合同甲方）出具的相关任务分配的证明材料代替。</w:t>
            </w:r>
          </w:p>
          <w:p>
            <w:pPr>
              <w:jc w:val="both"/>
              <w:rPr>
                <w:b/>
                <w:bCs/>
                <w:spacing w:val="-5"/>
                <w:sz w:val="21"/>
                <w:szCs w:val="21"/>
              </w:rPr>
            </w:pPr>
            <w:r>
              <w:rPr>
                <w:rFonts w:ascii="Calibri" w:hAnsi="Calibri" w:eastAsia="Calibri" w:cs="Calibri"/>
                <w:b/>
                <w:bCs/>
                <w:spacing w:val="-4"/>
                <w:sz w:val="21"/>
                <w:szCs w:val="21"/>
              </w:rPr>
              <w:t>2.</w:t>
            </w:r>
            <w:r>
              <w:rPr>
                <w:b/>
                <w:bCs/>
                <w:spacing w:val="-4"/>
                <w:sz w:val="21"/>
                <w:szCs w:val="21"/>
              </w:rPr>
              <w:t>本招标项目投标人业绩（详细评审）数</w:t>
            </w:r>
            <w:r>
              <w:rPr>
                <w:spacing w:val="11"/>
                <w:sz w:val="21"/>
                <w:szCs w:val="21"/>
              </w:rPr>
              <w:t xml:space="preserve"> </w:t>
            </w:r>
            <w:r>
              <w:rPr>
                <w:b/>
                <w:bCs/>
                <w:spacing w:val="-5"/>
                <w:sz w:val="21"/>
                <w:szCs w:val="21"/>
              </w:rPr>
              <w:t>量：</w:t>
            </w:r>
            <w:r>
              <w:rPr>
                <w:rFonts w:ascii="Calibri" w:hAnsi="Calibri" w:eastAsia="Calibri" w:cs="Calibri"/>
                <w:b/>
                <w:bCs/>
                <w:spacing w:val="-5"/>
                <w:sz w:val="21"/>
                <w:szCs w:val="21"/>
              </w:rPr>
              <w:t>4</w:t>
            </w:r>
            <w:r>
              <w:rPr>
                <w:b/>
                <w:bCs/>
                <w:spacing w:val="-5"/>
                <w:sz w:val="21"/>
                <w:szCs w:val="21"/>
              </w:rPr>
              <w:t>个。</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43" w:line="219" w:lineRule="auto"/>
              <w:ind w:left="114" w:leftChars="0"/>
              <w:jc w:val="both"/>
              <w:rPr>
                <w:rFonts w:hint="default" w:ascii="宋体" w:hAnsi="宋体" w:cs="宋体" w:eastAsiaTheme="minorEastAsia"/>
                <w:b/>
                <w:bCs/>
                <w:sz w:val="24"/>
                <w:szCs w:val="24"/>
                <w:lang w:val="en-US" w:eastAsia="zh-CN"/>
              </w:rPr>
            </w:pPr>
            <w:r>
              <w:rPr>
                <w:rFonts w:hint="eastAsia" w:cs="宋体"/>
                <w:b/>
                <w:bCs/>
                <w:sz w:val="24"/>
                <w:szCs w:val="24"/>
                <w:lang w:val="en-US" w:eastAsia="zh-CN"/>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42" w:type="pct"/>
            <w:vMerge w:val="continue"/>
            <w:tcBorders>
              <w:left w:val="single" w:color="auto" w:sz="4" w:space="0"/>
              <w:bottom w:val="single" w:color="auto" w:sz="4" w:space="0"/>
              <w:right w:val="single" w:color="auto" w:sz="4" w:space="0"/>
            </w:tcBorders>
            <w:shd w:val="clear" w:color="auto" w:fill="auto"/>
            <w:vAlign w:val="center"/>
          </w:tcPr>
          <w:p>
            <w:pPr>
              <w:ind w:firstLine="480"/>
              <w:jc w:val="center"/>
              <w:rPr>
                <w:rFonts w:hAnsi="宋体" w:cs="宋体"/>
                <w:sz w:val="24"/>
                <w:szCs w:val="24"/>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Theme="minorEastAsia"/>
                <w:spacing w:val="17"/>
                <w:sz w:val="21"/>
                <w:szCs w:val="21"/>
                <w:lang w:val="en-US" w:eastAsia="zh-CN"/>
              </w:rPr>
            </w:pPr>
            <w:r>
              <w:rPr>
                <w:rFonts w:hint="eastAsia"/>
                <w:spacing w:val="17"/>
                <w:sz w:val="21"/>
                <w:szCs w:val="21"/>
                <w:lang w:val="en-US" w:eastAsia="zh-CN"/>
              </w:rPr>
              <w:t>项目负责人业绩</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自 2021年1月1日以来（以结算审计定案表时间为准），投标人拟任项目负责人具备单个合同中结算审计定案金额不少于</w:t>
            </w:r>
            <w:r>
              <w:rPr>
                <w:rFonts w:ascii="宋体" w:hAnsi="宋体"/>
                <w:color w:val="auto"/>
                <w:spacing w:val="-1"/>
                <w:sz w:val="21"/>
                <w:szCs w:val="21"/>
              </w:rPr>
              <w:t xml:space="preserve"> </w:t>
            </w:r>
            <w:r>
              <w:rPr>
                <w:rFonts w:hint="eastAsia"/>
                <w:color w:val="auto"/>
                <w:spacing w:val="-1"/>
                <w:sz w:val="21"/>
                <w:szCs w:val="21"/>
                <w:lang w:val="en-US" w:eastAsia="zh-CN"/>
              </w:rPr>
              <w:t>3</w:t>
            </w:r>
            <w:r>
              <w:rPr>
                <w:rFonts w:ascii="宋体" w:hAnsi="宋体"/>
                <w:color w:val="auto"/>
                <w:spacing w:val="-1"/>
                <w:sz w:val="21"/>
                <w:szCs w:val="21"/>
              </w:rPr>
              <w:t>000</w:t>
            </w:r>
            <w:r>
              <w:rPr>
                <w:rFonts w:ascii="宋体" w:hAnsi="宋体"/>
                <w:spacing w:val="-1"/>
                <w:sz w:val="21"/>
                <w:szCs w:val="21"/>
              </w:rPr>
              <w:t xml:space="preserve">万元市政公用工程结算审计业绩，每个得 3分，本小项满分 </w:t>
            </w:r>
            <w:r>
              <w:rPr>
                <w:rFonts w:hint="eastAsia" w:ascii="宋体" w:hAnsi="宋体"/>
                <w:spacing w:val="-1"/>
                <w:sz w:val="21"/>
                <w:szCs w:val="21"/>
                <w:lang w:val="en-US" w:eastAsia="zh-CN"/>
              </w:rPr>
              <w:t>12</w:t>
            </w:r>
            <w:r>
              <w:rPr>
                <w:rFonts w:ascii="宋体" w:hAnsi="宋体"/>
                <w:spacing w:val="-1"/>
                <w:sz w:val="21"/>
                <w:szCs w:val="21"/>
              </w:rPr>
              <w:t>分。</w:t>
            </w:r>
          </w:p>
          <w:p>
            <w:pPr>
              <w:pStyle w:val="36"/>
              <w:spacing w:before="34" w:line="198" w:lineRule="auto"/>
              <w:ind w:left="114"/>
              <w:jc w:val="both"/>
              <w:rPr>
                <w:rFonts w:hint="eastAsia"/>
                <w:b/>
                <w:bCs/>
                <w:spacing w:val="-7"/>
                <w:sz w:val="21"/>
                <w:szCs w:val="21"/>
                <w:lang w:eastAsia="zh-CN"/>
              </w:rPr>
            </w:pPr>
            <w:r>
              <w:rPr>
                <w:b/>
                <w:bCs/>
                <w:spacing w:val="-3"/>
                <w:sz w:val="21"/>
                <w:szCs w:val="21"/>
              </w:rPr>
              <w:t>注：</w:t>
            </w:r>
            <w:r>
              <w:rPr>
                <w:rFonts w:ascii="Times New Roman" w:hAnsi="Times New Roman" w:eastAsia="Times New Roman" w:cs="Times New Roman"/>
                <w:b/>
                <w:bCs/>
                <w:spacing w:val="-3"/>
                <w:sz w:val="21"/>
                <w:szCs w:val="21"/>
              </w:rPr>
              <w:t>1.</w:t>
            </w:r>
            <w:r>
              <w:rPr>
                <w:b/>
                <w:bCs/>
                <w:spacing w:val="-3"/>
                <w:sz w:val="21"/>
                <w:szCs w:val="21"/>
              </w:rPr>
              <w:t>上述要求的业绩须为</w:t>
            </w:r>
            <w:r>
              <w:rPr>
                <w:rFonts w:hint="eastAsia"/>
                <w:b/>
                <w:bCs/>
                <w:spacing w:val="-3"/>
                <w:sz w:val="21"/>
                <w:szCs w:val="21"/>
                <w:lang w:eastAsia="zh-CN"/>
              </w:rPr>
              <w:t>：</w:t>
            </w:r>
            <w:r>
              <w:rPr>
                <w:rFonts w:hint="eastAsia" w:ascii="微软雅黑" w:hAnsi="微软雅黑" w:eastAsia="微软雅黑" w:cs="微软雅黑"/>
                <w:b/>
                <w:bCs/>
                <w:spacing w:val="-3"/>
                <w:sz w:val="21"/>
                <w:szCs w:val="21"/>
                <w:lang w:eastAsia="zh-CN"/>
              </w:rPr>
              <w:t>☑</w:t>
            </w:r>
            <w:r>
              <w:rPr>
                <w:b/>
                <w:bCs/>
                <w:spacing w:val="-3"/>
                <w:sz w:val="21"/>
                <w:szCs w:val="21"/>
              </w:rPr>
              <w:t>已完成的</w:t>
            </w:r>
            <w:r>
              <w:rPr>
                <w:rFonts w:hint="eastAsia"/>
                <w:b/>
                <w:bCs/>
                <w:spacing w:val="-3"/>
                <w:sz w:val="21"/>
                <w:szCs w:val="21"/>
                <w:lang w:eastAsia="zh-CN"/>
              </w:rPr>
              <w:t>业</w:t>
            </w:r>
            <w:r>
              <w:rPr>
                <w:b/>
                <w:bCs/>
                <w:spacing w:val="-7"/>
                <w:sz w:val="21"/>
                <w:szCs w:val="21"/>
              </w:rPr>
              <w:t>绩</w:t>
            </w:r>
            <w:r>
              <w:rPr>
                <w:rFonts w:hint="eastAsia"/>
                <w:b/>
                <w:bCs/>
                <w:spacing w:val="-7"/>
                <w:sz w:val="21"/>
                <w:szCs w:val="21"/>
                <w:lang w:eastAsia="zh-CN"/>
              </w:rPr>
              <w:t>。</w:t>
            </w:r>
          </w:p>
          <w:p>
            <w:pPr>
              <w:pStyle w:val="36"/>
              <w:spacing w:before="34" w:line="198" w:lineRule="auto"/>
              <w:ind w:left="114"/>
              <w:jc w:val="both"/>
              <w:rPr>
                <w:sz w:val="21"/>
                <w:szCs w:val="21"/>
              </w:rPr>
            </w:pPr>
            <w:r>
              <w:rPr>
                <w:b/>
                <w:bCs/>
                <w:spacing w:val="-7"/>
                <w:sz w:val="21"/>
                <w:szCs w:val="21"/>
              </w:rPr>
              <w:t>投标文件中须同时提供以下业绩证明</w:t>
            </w:r>
            <w:r>
              <w:rPr>
                <w:spacing w:val="1"/>
                <w:sz w:val="21"/>
                <w:szCs w:val="21"/>
              </w:rPr>
              <w:t xml:space="preserve"> </w:t>
            </w:r>
            <w:r>
              <w:rPr>
                <w:b/>
                <w:bCs/>
                <w:spacing w:val="-6"/>
                <w:sz w:val="21"/>
                <w:szCs w:val="21"/>
              </w:rPr>
              <w:t>材料：</w:t>
            </w:r>
          </w:p>
          <w:p>
            <w:pPr>
              <w:pStyle w:val="36"/>
              <w:spacing w:before="38" w:line="219" w:lineRule="auto"/>
              <w:ind w:left="126"/>
              <w:jc w:val="both"/>
              <w:rPr>
                <w:sz w:val="21"/>
                <w:szCs w:val="21"/>
              </w:rPr>
            </w:pPr>
            <w:r>
              <w:rPr>
                <w:spacing w:val="-2"/>
                <w:sz w:val="21"/>
                <w:szCs w:val="21"/>
              </w:rPr>
              <w:t>（</w:t>
            </w:r>
            <w:r>
              <w:rPr>
                <w:rFonts w:ascii="Times New Roman" w:hAnsi="Times New Roman" w:eastAsia="Times New Roman" w:cs="Times New Roman"/>
                <w:spacing w:val="-2"/>
                <w:sz w:val="21"/>
                <w:szCs w:val="21"/>
              </w:rPr>
              <w:t>1</w:t>
            </w:r>
            <w:r>
              <w:rPr>
                <w:spacing w:val="-2"/>
                <w:sz w:val="21"/>
                <w:szCs w:val="21"/>
              </w:rPr>
              <w:t>）业绩合同扫描件；</w:t>
            </w:r>
          </w:p>
          <w:p>
            <w:pPr>
              <w:pStyle w:val="36"/>
              <w:spacing w:before="180" w:line="219" w:lineRule="auto"/>
              <w:ind w:left="126"/>
              <w:jc w:val="both"/>
              <w:rPr>
                <w:sz w:val="21"/>
                <w:szCs w:val="21"/>
              </w:rPr>
            </w:pPr>
            <w:r>
              <w:rPr>
                <w:spacing w:val="-2"/>
                <w:sz w:val="21"/>
                <w:szCs w:val="21"/>
              </w:rPr>
              <w:t>（</w:t>
            </w:r>
            <w:r>
              <w:rPr>
                <w:rFonts w:ascii="Times New Roman" w:hAnsi="Times New Roman" w:eastAsia="Times New Roman" w:cs="Times New Roman"/>
                <w:spacing w:val="-2"/>
                <w:sz w:val="21"/>
                <w:szCs w:val="21"/>
              </w:rPr>
              <w:t>2</w:t>
            </w:r>
            <w:r>
              <w:rPr>
                <w:spacing w:val="-2"/>
                <w:sz w:val="21"/>
                <w:szCs w:val="21"/>
              </w:rPr>
              <w:t>）与该业绩对应的定案表扫描件。</w:t>
            </w:r>
          </w:p>
          <w:p>
            <w:pPr>
              <w:pStyle w:val="36"/>
              <w:spacing w:before="182" w:line="219" w:lineRule="auto"/>
              <w:ind w:left="126"/>
              <w:jc w:val="both"/>
              <w:rPr>
                <w:rFonts w:ascii="Times New Roman" w:hAnsi="Times New Roman" w:eastAsia="Times New Roman" w:cs="Times New Roman"/>
                <w:sz w:val="21"/>
                <w:szCs w:val="21"/>
              </w:rPr>
            </w:pPr>
            <w:r>
              <w:rPr>
                <w:spacing w:val="-3"/>
                <w:sz w:val="21"/>
                <w:szCs w:val="21"/>
              </w:rPr>
              <w:t>（</w:t>
            </w:r>
            <w:r>
              <w:rPr>
                <w:rFonts w:ascii="Times New Roman" w:hAnsi="Times New Roman" w:eastAsia="Times New Roman" w:cs="Times New Roman"/>
                <w:spacing w:val="-3"/>
                <w:sz w:val="21"/>
                <w:szCs w:val="21"/>
              </w:rPr>
              <w:t>3</w:t>
            </w:r>
            <w:r>
              <w:rPr>
                <w:spacing w:val="-3"/>
                <w:sz w:val="21"/>
                <w:szCs w:val="21"/>
              </w:rPr>
              <w:t xml:space="preserve">）其他材料： </w:t>
            </w:r>
            <w:r>
              <w:rPr>
                <w:rFonts w:ascii="Times New Roman" w:hAnsi="Times New Roman" w:eastAsia="Times New Roman" w:cs="Times New Roman"/>
                <w:spacing w:val="-3"/>
                <w:sz w:val="21"/>
                <w:szCs w:val="21"/>
              </w:rPr>
              <w:t>/</w:t>
            </w:r>
          </w:p>
          <w:p>
            <w:pPr>
              <w:pStyle w:val="36"/>
              <w:spacing w:before="181" w:line="219" w:lineRule="auto"/>
              <w:ind w:left="233"/>
              <w:jc w:val="both"/>
              <w:rPr>
                <w:sz w:val="21"/>
                <w:szCs w:val="21"/>
              </w:rPr>
            </w:pPr>
            <w:r>
              <w:rPr>
                <w:b/>
                <w:bCs/>
                <w:spacing w:val="-4"/>
                <w:sz w:val="21"/>
                <w:szCs w:val="21"/>
              </w:rPr>
              <w:t>业绩材料说明：</w:t>
            </w:r>
          </w:p>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（1）定案表须同时盖业主（或合同甲方）、</w:t>
            </w:r>
            <w:r>
              <w:rPr>
                <w:rFonts w:hint="eastAsia" w:ascii="宋体" w:hAnsi="宋体"/>
                <w:spacing w:val="-1"/>
                <w:sz w:val="21"/>
                <w:szCs w:val="21"/>
                <w:lang w:eastAsia="zh-CN"/>
              </w:rPr>
              <w:t>设计</w:t>
            </w:r>
            <w:r>
              <w:rPr>
                <w:rFonts w:ascii="宋体" w:hAnsi="宋体"/>
                <w:spacing w:val="-1"/>
                <w:sz w:val="21"/>
                <w:szCs w:val="21"/>
              </w:rPr>
              <w:t>方、施工方公章；</w:t>
            </w:r>
          </w:p>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（2）如果业绩合同和与该业绩对应的定 案表中的评审要素不一致的，以与该业绩 对应的定案表为准。</w:t>
            </w:r>
          </w:p>
          <w:p>
            <w:pPr>
              <w:pStyle w:val="36"/>
              <w:spacing w:before="37" w:line="350" w:lineRule="auto"/>
              <w:ind w:left="114" w:right="282" w:hanging="1"/>
              <w:jc w:val="both"/>
              <w:rPr>
                <w:rFonts w:ascii="宋体" w:hAnsi="宋体"/>
                <w:spacing w:val="-1"/>
                <w:sz w:val="21"/>
                <w:szCs w:val="21"/>
              </w:rPr>
            </w:pPr>
            <w:r>
              <w:rPr>
                <w:rFonts w:hint="eastAsia" w:ascii="宋体" w:hAnsi="宋体"/>
                <w:spacing w:val="-1"/>
                <w:sz w:val="21"/>
                <w:szCs w:val="21"/>
                <w:lang w:eastAsia="zh-CN"/>
              </w:rPr>
              <w:t>（3）</w:t>
            </w:r>
            <w:r>
              <w:rPr>
                <w:rFonts w:ascii="宋体" w:hAnsi="宋体"/>
                <w:spacing w:val="-1"/>
                <w:sz w:val="21"/>
                <w:szCs w:val="21"/>
              </w:rPr>
              <w:t>业绩需在商务文件中“商务文件详细 评审资料 ”栏“项目负责人业绩情况表（详 细评审） ”中注明并提供相关证明材料。 若业绩合同和与该业绩对应的定案表均 未能明确反映评审因素的（如结算审计定 案表时间、定案金额、项目负责人姓名、合同内容），评标委员会不予认可。</w:t>
            </w:r>
          </w:p>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（4）如提供的上述业绩为入库类项目： 投标文件中须同时提供框架合同和任务 单（或认定单或单项协议）的扫描件以及 与该任务单（或认定单或单项协议）对应 的定案表。如无单个任务单或认定单或单 项协议，需提供业主单位（或合同甲方） 出具的相关任务分配的证明材料代替。</w:t>
            </w:r>
          </w:p>
          <w:p>
            <w:pPr>
              <w:pStyle w:val="36"/>
              <w:spacing w:before="36" w:line="345" w:lineRule="auto"/>
              <w:ind w:left="113" w:right="107" w:hanging="3"/>
              <w:jc w:val="both"/>
              <w:rPr>
                <w:sz w:val="21"/>
                <w:szCs w:val="21"/>
              </w:rPr>
            </w:pPr>
            <w:r>
              <w:rPr>
                <w:rFonts w:ascii="Times New Roman" w:hAnsi="Times New Roman" w:eastAsia="Times New Roman" w:cs="Times New Roman"/>
                <w:b/>
                <w:bCs/>
                <w:spacing w:val="-3"/>
                <w:sz w:val="21"/>
                <w:szCs w:val="21"/>
              </w:rPr>
              <w:t>2.</w:t>
            </w:r>
            <w:r>
              <w:rPr>
                <w:b/>
                <w:bCs/>
                <w:spacing w:val="-3"/>
                <w:sz w:val="21"/>
                <w:szCs w:val="21"/>
              </w:rPr>
              <w:t>本招标项目负责人业绩（详细评审）数</w:t>
            </w:r>
            <w:r>
              <w:rPr>
                <w:spacing w:val="2"/>
                <w:sz w:val="21"/>
                <w:szCs w:val="21"/>
              </w:rPr>
              <w:t xml:space="preserve"> </w:t>
            </w:r>
            <w:r>
              <w:rPr>
                <w:b/>
                <w:bCs/>
                <w:spacing w:val="-5"/>
                <w:sz w:val="21"/>
                <w:szCs w:val="21"/>
              </w:rPr>
              <w:t>量：</w:t>
            </w:r>
            <w:r>
              <w:rPr>
                <w:rFonts w:ascii="Times New Roman" w:hAnsi="Times New Roman" w:eastAsia="Times New Roman" w:cs="Times New Roman"/>
                <w:b/>
                <w:bCs/>
                <w:spacing w:val="-5"/>
                <w:sz w:val="21"/>
                <w:szCs w:val="21"/>
              </w:rPr>
              <w:t xml:space="preserve">4 </w:t>
            </w:r>
            <w:r>
              <w:rPr>
                <w:b/>
                <w:bCs/>
                <w:spacing w:val="-5"/>
                <w:sz w:val="21"/>
                <w:szCs w:val="21"/>
              </w:rPr>
              <w:t>个。</w:t>
            </w:r>
          </w:p>
          <w:p>
            <w:pPr>
              <w:pStyle w:val="36"/>
              <w:spacing w:before="37" w:line="350" w:lineRule="auto"/>
              <w:ind w:left="114" w:right="282" w:hanging="1"/>
              <w:jc w:val="both"/>
              <w:rPr>
                <w:rFonts w:ascii="宋体" w:hAnsi="宋体"/>
                <w:spacing w:val="-1"/>
                <w:sz w:val="21"/>
                <w:szCs w:val="21"/>
              </w:rPr>
            </w:pPr>
            <w:r>
              <w:rPr>
                <w:rFonts w:ascii="宋体" w:hAnsi="宋体"/>
                <w:spacing w:val="-1"/>
                <w:sz w:val="21"/>
                <w:szCs w:val="21"/>
              </w:rPr>
              <w:t>3 拟派项目负责人须在对应业绩中担任项目负责人岗位。</w:t>
            </w:r>
          </w:p>
          <w:p>
            <w:pPr>
              <w:pStyle w:val="36"/>
              <w:spacing w:before="37" w:line="350" w:lineRule="auto"/>
              <w:ind w:left="114" w:right="282" w:hanging="1"/>
              <w:jc w:val="both"/>
              <w:rPr>
                <w:b/>
                <w:bCs/>
                <w:spacing w:val="-5"/>
                <w:sz w:val="21"/>
                <w:szCs w:val="21"/>
              </w:rPr>
            </w:pPr>
            <w:r>
              <w:rPr>
                <w:rFonts w:ascii="宋体" w:hAnsi="宋体"/>
                <w:spacing w:val="-1"/>
                <w:sz w:val="21"/>
                <w:szCs w:val="21"/>
              </w:rPr>
              <w:t>4. 详细评审标准中经评标委员会认可的 项目负责人业绩与经评标委员会认可的 投标人业绩可为同一业绩，允许重复计分。</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43" w:line="219" w:lineRule="auto"/>
              <w:ind w:left="114" w:leftChars="0"/>
              <w:jc w:val="both"/>
              <w:rPr>
                <w:rFonts w:hint="default" w:ascii="宋体" w:hAnsi="宋体" w:cs="宋体" w:eastAsiaTheme="minorEastAsia"/>
                <w:b/>
                <w:bCs/>
                <w:sz w:val="24"/>
                <w:szCs w:val="24"/>
                <w:lang w:val="en-US" w:eastAsia="zh-CN"/>
              </w:rPr>
            </w:pPr>
            <w:r>
              <w:rPr>
                <w:rFonts w:hint="eastAsia" w:cs="宋体"/>
                <w:b/>
                <w:bCs/>
                <w:sz w:val="24"/>
                <w:szCs w:val="24"/>
                <w:lang w:val="en-US" w:eastAsia="zh-CN"/>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4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hAnsi="宋体" w:cs="宋体" w:eastAsiaTheme="minorEastAsia"/>
                <w:sz w:val="24"/>
                <w:szCs w:val="24"/>
                <w:lang w:val="en-US" w:eastAsia="zh-CN"/>
              </w:rPr>
            </w:pPr>
            <w:r>
              <w:rPr>
                <w:rFonts w:hint="eastAsia" w:hAnsi="宋体" w:cs="宋体"/>
                <w:sz w:val="24"/>
                <w:szCs w:val="24"/>
                <w:lang w:val="en-US" w:eastAsia="zh-CN"/>
              </w:rPr>
              <w:t>价格分</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Theme="minorEastAsia"/>
                <w:spacing w:val="17"/>
                <w:sz w:val="21"/>
                <w:szCs w:val="21"/>
                <w:lang w:val="en-US" w:eastAsia="zh-CN"/>
              </w:rPr>
            </w:pPr>
            <w:r>
              <w:rPr>
                <w:rFonts w:hint="eastAsia"/>
                <w:spacing w:val="17"/>
                <w:sz w:val="21"/>
                <w:szCs w:val="21"/>
                <w:lang w:val="en-US" w:eastAsia="zh-CN"/>
              </w:rPr>
              <w:t>投标报价</w:t>
            </w:r>
          </w:p>
        </w:tc>
        <w:tc>
          <w:tcPr>
            <w:tcW w:w="342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both"/>
              <w:rPr>
                <w:rFonts w:hint="eastAsia" w:hAnsi="宋体" w:cs="宋体"/>
                <w:snapToGrid w:val="0"/>
                <w:color w:val="000000"/>
                <w:kern w:val="2"/>
                <w:sz w:val="21"/>
                <w:szCs w:val="21"/>
                <w:lang w:val="en-US" w:eastAsia="zh-CN" w:bidi="ar"/>
              </w:rPr>
            </w:pPr>
            <w:r>
              <w:rPr>
                <w:rFonts w:hint="eastAsia" w:ascii="宋体" w:hAnsi="宋体" w:eastAsiaTheme="minorEastAsia" w:cstheme="minorBidi"/>
                <w:snapToGrid w:val="0"/>
                <w:color w:val="000000"/>
                <w:spacing w:val="-1"/>
                <w:kern w:val="2"/>
                <w:sz w:val="21"/>
                <w:szCs w:val="21"/>
                <w:lang w:val="en-US" w:eastAsia="zh-CN" w:bidi="ar-SA"/>
              </w:rPr>
              <w:t>价格分统一采用综合评估法计算，即满足招标文件要求且所有参评供应商报价的平均价格为</w:t>
            </w:r>
            <w:r>
              <w:rPr>
                <w:rFonts w:hint="eastAsia" w:hAnsi="宋体" w:cs="宋体"/>
                <w:b/>
                <w:bCs/>
                <w:snapToGrid w:val="0"/>
                <w:color w:val="000000"/>
                <w:kern w:val="2"/>
                <w:sz w:val="21"/>
                <w:szCs w:val="21"/>
                <w:lang w:bidi="ar"/>
              </w:rPr>
              <w:t>评审基准价</w:t>
            </w:r>
            <w:r>
              <w:rPr>
                <w:rFonts w:hint="eastAsia" w:hAnsi="宋体" w:cs="宋体"/>
                <w:b/>
                <w:bCs/>
                <w:snapToGrid w:val="0"/>
                <w:color w:val="000000"/>
                <w:kern w:val="2"/>
                <w:sz w:val="21"/>
                <w:szCs w:val="21"/>
                <w:lang w:eastAsia="zh-CN" w:bidi="ar"/>
              </w:rPr>
              <w:t>：</w:t>
            </w:r>
          </w:p>
          <w:p>
            <w:pPr>
              <w:spacing w:line="440" w:lineRule="exact"/>
              <w:jc w:val="both"/>
              <w:rPr>
                <w:rFonts w:hint="eastAsia" w:hAnsi="宋体" w:cs="宋体"/>
                <w:b/>
                <w:bCs/>
                <w:snapToGrid w:val="0"/>
                <w:color w:val="000000"/>
                <w:kern w:val="2"/>
                <w:sz w:val="21"/>
                <w:szCs w:val="21"/>
                <w:lang w:val="en-US" w:eastAsia="zh-CN" w:bidi="ar"/>
              </w:rPr>
            </w:pPr>
            <w:r>
              <w:rPr>
                <w:rFonts w:hint="eastAsia" w:hAnsi="宋体" w:cs="宋体"/>
                <w:b/>
                <w:bCs/>
                <w:snapToGrid w:val="0"/>
                <w:color w:val="000000"/>
                <w:kern w:val="2"/>
                <w:sz w:val="21"/>
                <w:szCs w:val="21"/>
                <w:lang w:val="en-US" w:eastAsia="zh-CN" w:bidi="ar"/>
              </w:rPr>
              <w:t>评标价得分计算</w:t>
            </w:r>
          </w:p>
          <w:p>
            <w:pPr>
              <w:spacing w:line="440" w:lineRule="exact"/>
              <w:jc w:val="both"/>
              <w:rPr>
                <w:rFonts w:hint="eastAsia" w:hAnsi="宋体" w:cs="宋体"/>
                <w:snapToGrid w:val="0"/>
                <w:color w:val="000000"/>
                <w:kern w:val="2"/>
                <w:sz w:val="21"/>
                <w:szCs w:val="21"/>
                <w:lang w:val="en-US" w:eastAsia="zh-CN" w:bidi="ar"/>
              </w:rPr>
            </w:pPr>
            <w:r>
              <w:rPr>
                <w:rFonts w:hint="eastAsia" w:hAnsi="宋体" w:cs="宋体"/>
                <w:snapToGrid w:val="0"/>
                <w:color w:val="000000"/>
                <w:kern w:val="2"/>
                <w:sz w:val="21"/>
                <w:szCs w:val="21"/>
                <w:lang w:val="en-US" w:eastAsia="zh-CN" w:bidi="ar"/>
              </w:rPr>
              <w:t>①当投标人评标价＞评标基准价，评标价得分=F-偏差率*100*E1</w:t>
            </w:r>
          </w:p>
          <w:p>
            <w:pPr>
              <w:spacing w:line="440" w:lineRule="exact"/>
              <w:jc w:val="both"/>
              <w:rPr>
                <w:rFonts w:hint="eastAsia" w:hAnsi="宋体" w:cs="宋体"/>
                <w:snapToGrid w:val="0"/>
                <w:color w:val="000000"/>
                <w:kern w:val="2"/>
                <w:sz w:val="21"/>
                <w:szCs w:val="21"/>
                <w:lang w:val="en-US" w:eastAsia="zh-CN" w:bidi="ar"/>
              </w:rPr>
            </w:pPr>
            <w:r>
              <w:rPr>
                <w:rFonts w:hint="eastAsia" w:hAnsi="宋体" w:cs="宋体"/>
                <w:snapToGrid w:val="0"/>
                <w:color w:val="000000"/>
                <w:kern w:val="2"/>
                <w:sz w:val="21"/>
                <w:szCs w:val="21"/>
                <w:lang w:val="en-US" w:eastAsia="zh-CN" w:bidi="ar"/>
              </w:rPr>
              <w:t>②当投标人评标价≤评标基准价，评标价得分=F+偏差率*100*E2</w:t>
            </w:r>
          </w:p>
          <w:p>
            <w:pPr>
              <w:spacing w:line="440" w:lineRule="exact"/>
              <w:jc w:val="both"/>
              <w:rPr>
                <w:rFonts w:hint="eastAsia" w:hAnsi="宋体" w:cs="宋体"/>
                <w:snapToGrid w:val="0"/>
                <w:color w:val="000000"/>
                <w:kern w:val="2"/>
                <w:sz w:val="21"/>
                <w:szCs w:val="21"/>
                <w:lang w:val="en-US" w:eastAsia="zh-CN" w:bidi="ar"/>
              </w:rPr>
            </w:pPr>
            <w:r>
              <w:rPr>
                <w:rFonts w:hint="eastAsia" w:hAnsi="宋体" w:cs="宋体"/>
                <w:snapToGrid w:val="0"/>
                <w:color w:val="000000"/>
                <w:kern w:val="2"/>
                <w:sz w:val="21"/>
                <w:szCs w:val="21"/>
                <w:lang w:val="en-US" w:eastAsia="zh-CN" w:bidi="ar"/>
              </w:rPr>
              <w:t>其中：F=10；E1=0.5；E2=0.3。</w:t>
            </w:r>
          </w:p>
          <w:p>
            <w:pPr>
              <w:spacing w:line="440" w:lineRule="exact"/>
              <w:jc w:val="both"/>
              <w:rPr>
                <w:rFonts w:hint="eastAsia" w:hAnsi="宋体" w:cs="宋体"/>
                <w:snapToGrid w:val="0"/>
                <w:color w:val="000000"/>
                <w:kern w:val="2"/>
                <w:sz w:val="21"/>
                <w:szCs w:val="21"/>
                <w:lang w:val="en-US" w:eastAsia="zh-CN" w:bidi="ar"/>
              </w:rPr>
            </w:pPr>
            <w:r>
              <w:rPr>
                <w:rFonts w:hint="eastAsia" w:hAnsi="宋体" w:cs="宋体"/>
                <w:snapToGrid w:val="0"/>
                <w:color w:val="000000"/>
                <w:kern w:val="2"/>
                <w:sz w:val="21"/>
                <w:szCs w:val="21"/>
                <w:lang w:val="en-US" w:eastAsia="zh-CN" w:bidi="ar"/>
              </w:rPr>
              <w:t>当评标价得分为负时，均按0分计算。评标价得分保留小数点后两位，小数点后第三位“四舍五入”。</w:t>
            </w:r>
          </w:p>
          <w:p>
            <w:pPr>
              <w:spacing w:line="440" w:lineRule="exact"/>
              <w:jc w:val="both"/>
              <w:rPr>
                <w:rFonts w:hint="eastAsia" w:hAnsi="宋体" w:cs="宋体"/>
                <w:b/>
                <w:bCs/>
                <w:snapToGrid w:val="0"/>
                <w:color w:val="000000"/>
                <w:kern w:val="2"/>
                <w:sz w:val="21"/>
                <w:szCs w:val="21"/>
                <w:lang w:val="en-US" w:eastAsia="zh-CN" w:bidi="ar"/>
              </w:rPr>
            </w:pPr>
            <w:r>
              <w:rPr>
                <w:rFonts w:hint="eastAsia" w:hAnsi="宋体" w:cs="宋体"/>
                <w:b/>
                <w:bCs/>
                <w:snapToGrid w:val="0"/>
                <w:color w:val="000000"/>
                <w:kern w:val="2"/>
                <w:sz w:val="21"/>
                <w:szCs w:val="21"/>
                <w:lang w:val="en-US" w:eastAsia="zh-CN" w:bidi="ar"/>
              </w:rPr>
              <w:t>评标价的偏差率计算</w:t>
            </w:r>
          </w:p>
          <w:p>
            <w:pPr>
              <w:spacing w:line="440" w:lineRule="exact"/>
              <w:jc w:val="both"/>
              <w:rPr>
                <w:rFonts w:hint="eastAsia" w:hAnsi="宋体" w:cs="宋体"/>
                <w:snapToGrid w:val="0"/>
                <w:color w:val="000000"/>
                <w:kern w:val="2"/>
                <w:sz w:val="21"/>
                <w:szCs w:val="21"/>
                <w:lang w:val="en-US" w:eastAsia="zh-CN" w:bidi="ar"/>
              </w:rPr>
            </w:pPr>
            <w:r>
              <w:rPr>
                <w:rFonts w:hint="eastAsia" w:hAnsi="宋体" w:cs="宋体"/>
                <w:snapToGrid w:val="0"/>
                <w:color w:val="000000"/>
                <w:kern w:val="2"/>
                <w:sz w:val="21"/>
                <w:szCs w:val="21"/>
                <w:lang w:val="en-US" w:eastAsia="zh-CN" w:bidi="ar"/>
              </w:rPr>
              <w:t>偏差率=100%×（投标人评标价-评标基准价）/评标基准价</w:t>
            </w:r>
          </w:p>
          <w:p>
            <w:pPr>
              <w:jc w:val="both"/>
              <w:rPr>
                <w:b/>
                <w:bCs/>
                <w:spacing w:val="-5"/>
                <w:sz w:val="21"/>
                <w:szCs w:val="21"/>
              </w:rPr>
            </w:pPr>
            <w:r>
              <w:rPr>
                <w:rFonts w:hint="eastAsia" w:hAnsi="宋体" w:cs="宋体"/>
                <w:snapToGrid w:val="0"/>
                <w:color w:val="000000"/>
                <w:kern w:val="2"/>
                <w:sz w:val="21"/>
                <w:szCs w:val="21"/>
                <w:lang w:val="en-US" w:eastAsia="zh-CN" w:bidi="ar"/>
              </w:rPr>
              <w:t>偏差率保留两位小数（小数点后第三位“四舍五入”），即为*.**%</w:t>
            </w:r>
            <w:r>
              <w:rPr>
                <w:rFonts w:hint="eastAsia" w:cs="宋体"/>
                <w:snapToGrid w:val="0"/>
                <w:color w:val="000000"/>
                <w:kern w:val="2"/>
                <w:sz w:val="21"/>
                <w:szCs w:val="21"/>
                <w:lang w:val="en-US" w:eastAsia="zh-CN" w:bidi="ar"/>
              </w:rPr>
              <w:t>。</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6"/>
              <w:spacing w:before="43" w:line="219" w:lineRule="auto"/>
              <w:ind w:left="114" w:leftChars="0"/>
              <w:jc w:val="both"/>
              <w:rPr>
                <w:rFonts w:hint="default" w:ascii="宋体" w:hAnsi="宋体" w:cs="宋体" w:eastAsiaTheme="minorEastAsia"/>
                <w:b/>
                <w:bCs/>
                <w:sz w:val="24"/>
                <w:szCs w:val="24"/>
                <w:lang w:val="en-US" w:eastAsia="zh-CN"/>
              </w:rPr>
            </w:pPr>
            <w:r>
              <w:rPr>
                <w:rFonts w:hint="eastAsia" w:cs="宋体"/>
                <w:b/>
                <w:bCs/>
                <w:sz w:val="24"/>
                <w:szCs w:val="24"/>
                <w:lang w:val="en-US" w:eastAsia="zh-CN"/>
              </w:rPr>
              <w:t>0-10分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lang w:eastAsia="zh-CN"/>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3"/>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要切实提高造价审计质量，</w:t>
      </w:r>
      <w:r>
        <w:rPr>
          <w:rFonts w:hint="eastAsia" w:asciiTheme="minorEastAsia" w:hAnsiTheme="minorEastAsia" w:eastAsiaTheme="minorEastAsia" w:cstheme="minorEastAsia"/>
          <w:bCs/>
          <w:sz w:val="24"/>
          <w:szCs w:val="24"/>
          <w:lang w:eastAsia="zh-CN"/>
        </w:rPr>
        <w:t>采购人</w:t>
      </w:r>
      <w:r>
        <w:rPr>
          <w:rFonts w:hint="eastAsia" w:asciiTheme="minorEastAsia" w:hAnsiTheme="minorEastAsia" w:eastAsiaTheme="minorEastAsia" w:cstheme="minorEastAsia"/>
          <w:bCs/>
          <w:sz w:val="24"/>
          <w:szCs w:val="24"/>
        </w:rPr>
        <w:t>将对</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服务质量进行考核，考核内容、评分标准及结果运用按照</w:t>
      </w:r>
      <w:r>
        <w:rPr>
          <w:rFonts w:hint="eastAsia" w:asciiTheme="minorEastAsia" w:hAnsiTheme="minorEastAsia" w:eastAsiaTheme="minorEastAsia" w:cstheme="minorEastAsia"/>
          <w:bCs/>
          <w:sz w:val="24"/>
          <w:szCs w:val="24"/>
          <w:lang w:eastAsia="zh-CN"/>
        </w:rPr>
        <w:t>采购人</w:t>
      </w:r>
      <w:r>
        <w:rPr>
          <w:rFonts w:hint="eastAsia" w:asciiTheme="minorEastAsia" w:hAnsiTheme="minorEastAsia" w:eastAsiaTheme="minorEastAsia" w:cstheme="minorEastAsia"/>
          <w:bCs/>
          <w:sz w:val="24"/>
          <w:szCs w:val="24"/>
        </w:rPr>
        <w:t>相关考评制度执行。</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3"/>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2.若合同履行期间，合经区建设项目审计相关管理规定进行调整，对审计单位工作内容要求出现变化的，则</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必须无条件按新规定执行，并不得以工作内容增加、工作模式改变要求增加审计费。后期，经开区采用信息化系统进行审计工作管理，</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须服从</w:t>
      </w:r>
      <w:r>
        <w:rPr>
          <w:rFonts w:hint="eastAsia" w:asciiTheme="minorEastAsia" w:hAnsiTheme="minorEastAsia" w:eastAsiaTheme="minorEastAsia" w:cstheme="minorEastAsia"/>
          <w:bCs/>
          <w:sz w:val="24"/>
          <w:szCs w:val="24"/>
          <w:lang w:eastAsia="zh-CN"/>
        </w:rPr>
        <w:t>采购人</w:t>
      </w:r>
      <w:r>
        <w:rPr>
          <w:rFonts w:hint="eastAsia" w:asciiTheme="minorEastAsia" w:hAnsiTheme="minorEastAsia" w:eastAsiaTheme="minorEastAsia" w:cstheme="minorEastAsia"/>
          <w:bCs/>
          <w:sz w:val="24"/>
          <w:szCs w:val="24"/>
        </w:rPr>
        <w:t>统一安排，学习掌握经开区审计信息化系统用法，利用信息化平台开展工作。</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3"/>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 xml:space="preserve">. </w:t>
      </w:r>
      <w:r>
        <w:rPr>
          <w:rFonts w:hint="eastAsia" w:ascii="宋体" w:hAnsi="宋体" w:cs="宋体"/>
          <w:sz w:val="24"/>
          <w:szCs w:val="24"/>
        </w:rPr>
        <w:t>每年度甲方对已终审完成的结算进行抽查再复审，若再复审的审减率超过2%，扣除本项目终审审计费，给甲方带来损失的，视情节轻重，可向乙方按合同价的10%—30%进行索赔。</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3"/>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所有人员必须熟悉合肥经济技术开发区建设环境，掌握并执行合肥经济技术开发区财政项目的建设程序和造价管理办法。</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3"/>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应做到在</w:t>
      </w:r>
      <w:r>
        <w:rPr>
          <w:rFonts w:hint="eastAsia" w:asciiTheme="minorEastAsia" w:hAnsiTheme="minorEastAsia" w:cstheme="minorEastAsia"/>
          <w:bCs/>
          <w:sz w:val="24"/>
          <w:szCs w:val="24"/>
          <w:lang w:val="en-US" w:eastAsia="zh-CN"/>
        </w:rPr>
        <w:t>审计</w:t>
      </w:r>
      <w:r>
        <w:rPr>
          <w:rFonts w:hint="eastAsia" w:asciiTheme="minorEastAsia" w:hAnsiTheme="minorEastAsia" w:eastAsiaTheme="minorEastAsia" w:cstheme="minorEastAsia"/>
          <w:bCs/>
          <w:sz w:val="24"/>
          <w:szCs w:val="24"/>
        </w:rPr>
        <w:t>过程中，不得出具虚假报告、隐瞒审计中发现的违法、违规问题；不得滥用权限、徇私舞弊或者泄露相关秘密、个人隐私；上述情况一经发现，将移送有关部门处理，涉嫌犯罪的依法追究刑事责任。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r>
        <w:rPr>
          <w:rFonts w:hint="eastAsia" w:asciiTheme="minorEastAsia" w:hAnsiTheme="minorEastAsia" w:eastAsiaTheme="minorEastAsia" w:cstheme="minorEastAsia"/>
          <w:bCs/>
          <w:sz w:val="24"/>
          <w:szCs w:val="24"/>
        </w:rPr>
        <w:t>7.</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应</w:t>
      </w:r>
      <w:r>
        <w:rPr>
          <w:rFonts w:hint="eastAsia" w:asciiTheme="minorEastAsia" w:hAnsiTheme="minorEastAsia" w:eastAsiaTheme="minorEastAsia" w:cstheme="minorEastAsia"/>
          <w:sz w:val="24"/>
          <w:szCs w:val="24"/>
          <w:lang w:eastAsia="zh-CN"/>
        </w:rPr>
        <w:t>做</w:t>
      </w:r>
      <w:r>
        <w:rPr>
          <w:rFonts w:hint="eastAsia" w:asciiTheme="minorEastAsia" w:hAnsiTheme="minorEastAsia" w:eastAsiaTheme="minorEastAsia" w:cstheme="minorEastAsia"/>
          <w:sz w:val="24"/>
          <w:szCs w:val="24"/>
        </w:rPr>
        <w:t>好审计人员的交通食宿等后勤保障，不得要求或暗示被审计单位车辆接送、安排食宿；审计人员工作餐安排在项目现场食堂的须缴纳就餐费用。</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进场开展审计前，应与相关被审计单位（施工单位）</w:t>
      </w:r>
      <w:r>
        <w:rPr>
          <w:rFonts w:hint="eastAsia" w:asciiTheme="minorEastAsia" w:hAnsiTheme="minorEastAsia" w:eastAsiaTheme="minorEastAsia" w:cstheme="minorEastAsia"/>
          <w:sz w:val="24"/>
          <w:szCs w:val="24"/>
          <w:highlight w:val="none"/>
        </w:rPr>
        <w:t>签订廉政协议</w:t>
      </w:r>
      <w:r>
        <w:rPr>
          <w:rFonts w:hint="eastAsia" w:asciiTheme="minorEastAsia" w:hAnsiTheme="minorEastAsia" w:cstheme="minorEastAsia"/>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r>
        <w:rPr>
          <w:rFonts w:hint="eastAsia" w:ascii="宋体" w:hAnsi="宋体" w:eastAsia="宋体" w:cs="宋体"/>
          <w:spacing w:val="-1"/>
          <w:sz w:val="24"/>
          <w:szCs w:val="24"/>
        </w:rPr>
        <w:t>对负责</w:t>
      </w:r>
      <w:r>
        <w:rPr>
          <w:rFonts w:hint="eastAsia" w:asciiTheme="minorEastAsia" w:hAnsiTheme="minorEastAsia" w:cstheme="minorEastAsia"/>
          <w:sz w:val="24"/>
          <w:szCs w:val="24"/>
          <w:highlight w:val="none"/>
          <w:lang w:val="en-US" w:eastAsia="zh-CN"/>
        </w:rPr>
        <w:t>公用公司本部及子公司2026-2027年度工程项目跟踪审计服务单位不得参与此次投标。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bookmarkStart w:id="10" w:name="_GoBack"/>
      <w:bookmarkEnd w:id="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highlight w:val="none"/>
          <w:lang w:eastAsia="zh-CN"/>
        </w:rPr>
      </w:pPr>
    </w:p>
    <w:p>
      <w:pPr>
        <w:pStyle w:val="6"/>
        <w:spacing w:before="35" w:line="228" w:lineRule="auto"/>
        <w:ind w:left="0" w:leftChars="0" w:firstLine="0" w:firstLineChars="0"/>
        <w:rPr>
          <w:rFonts w:hint="eastAsia" w:asciiTheme="minorEastAsia" w:hAnsiTheme="minorEastAsia" w:eastAsiaTheme="minorEastAsia" w:cstheme="minorEastAsia"/>
          <w:sz w:val="24"/>
          <w:szCs w:val="24"/>
          <w:highlight w:val="none"/>
          <w:lang w:val="en-US" w:eastAsia="zh-CN"/>
        </w:rPr>
      </w:pPr>
    </w:p>
    <w:tbl>
      <w:tblPr>
        <w:tblStyle w:val="20"/>
        <w:tblW w:w="10078" w:type="dxa"/>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3751"/>
        <w:gridCol w:w="4172"/>
        <w:gridCol w:w="696"/>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78"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公用公司建设项目价款结算审计项目日常性考核内容及评分标准明细表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078"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审计单位：                                                                   考核时间：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 别</w:t>
            </w:r>
          </w:p>
        </w:tc>
        <w:tc>
          <w:tcPr>
            <w:tcW w:w="3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        容</w:t>
            </w:r>
          </w:p>
        </w:tc>
        <w:tc>
          <w:tcPr>
            <w:tcW w:w="4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考核小组</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考核分值</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一、审计程序（20分）：</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1.接审时，按规定办理资料移交手续。</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未按要求移交扣2分/次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2.对送审资料合法性与完整性进行检查、形成检查记录：发现明显问题或关键资料缺少的及时报告。</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未进行检查或检查无记录的扣2分；应报告未报告的扣4分/次。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3.按要求踏勘现场，填写工程结算审计现场勘察表。</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未进行现场踏勘或无踏勘记录的扣2分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4.受托单位审计人员按规定回避情况</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应回避未回避扣5分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5.接受新的影响工程价款资料，应填写补充资料承诺书。</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随意接收被审计单位补充材料的扣2分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6.审计资料管理情况</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未按规定退还协审资料的扣2分，资料缺失的扣5分。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7.受托单位参加会议及对账情况</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未按约参加会议、对账等发现一起扣2分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8.其他情形</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该项最高扣分不超过5分。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8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二、审计效率（30分）：</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审单位应按相关要求及时完成审核工作。从接收资料之日起，到审核、对账完成并出具盖章的审核报告及定案表之日止，计算审计时间，审计期间由非协审单位原因造成审计逾期的，协审单位应做好记录。留存证明资料。</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未按期完成的。每迟一天扣1分，非协审单位原因造成审计延期不扣分。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三、审计质量（50分）：</w:t>
            </w:r>
          </w:p>
        </w:tc>
        <w:tc>
          <w:tcPr>
            <w:tcW w:w="3751"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1.审核成果质量，审核结果经复审误差率应在合理范围无明显计算错误。</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复审误差率超出要求的扣分，审核成果不要求重复的每次扣5分，内容不完整的每项扣1分。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2.出具的审核成果符合《结算审核报告要求一览表》的要求。</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不符合要求的。扣1分/项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3.按要求进行审计情况、审计结果整理分析，以文字说明、统计表等方式形成分析成果。</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不执行的扣5分，不符合要求的扣5分。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4.重大事项应及时报告，遇工程管理或其他程序不合法或有关参建单位失误、失职可能导致项目损失或投资损失的重大事项，应书面报告分析过程原因、提出建议。</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应报告未报告的扣10分/次，未按要求形式报告的扣5分/次。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5.按规定要求主动及时反馈审查过程中出现的问题，并积极参与协调处理。</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每发现一次未主动反馈情况扣1分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6.其他情形</w:t>
            </w:r>
          </w:p>
        </w:tc>
        <w:tc>
          <w:tcPr>
            <w:tcW w:w="4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该项最高扣分不超过5分</w:t>
            </w:r>
          </w:p>
        </w:tc>
        <w:tc>
          <w:tcPr>
            <w:tcW w:w="696"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nil"/>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四、审计效果（加分项）：</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1.发现问题情况</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审计中发现了案件线索并经查证属实的，加分最多不超过10分。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5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2.审计建议情况</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出具的审计报告从体制、机制层面提出了审计建议。被审计单位采纳的每条加1分，加分最多不超过5分。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3.审计成果情况</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审计中发现的问题挽回经济损失的，核减率超标的视情况给予加分，加分最多不超过5分。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MS Gothic" w:hAnsi="MS Gothic" w:eastAsia="MS Gothic" w:cs="MS Gothic"/>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考核得分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7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1.考核小组由业务部门和财务部门共同组成；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r>
              <w:rPr>
                <w:rStyle w:val="80"/>
                <w:sz w:val="18"/>
                <w:szCs w:val="18"/>
                <w:lang w:val="en-US" w:eastAsia="zh-CN" w:bidi="ar"/>
              </w:rPr>
              <w:t>审计单位在审核过程中的监督、考核主要通过业务部门，财务部门对审计单位审核结果、审计时间、进度、业务水平、服务质量等多方面给予评价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7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r>
              <w:rPr>
                <w:rStyle w:val="80"/>
                <w:sz w:val="18"/>
                <w:szCs w:val="18"/>
                <w:lang w:val="en-US" w:eastAsia="zh-CN" w:bidi="ar"/>
              </w:rPr>
              <w:t>考核得分90分以上为合格，作为合同续签依据。</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6" w:lineRule="auto"/>
      <w:ind w:left="4327"/>
      <w:jc w:val="left"/>
      <w:textAlignment w:val="baseline"/>
      <w:rPr>
        <w:rFonts w:ascii="Times New Roman" w:hAnsi="Times New Roman" w:eastAsia="Times New Roman" w:cs="Times New Roman"/>
        <w:snapToGrid w:val="0"/>
        <w:color w:val="000000"/>
        <w:kern w:val="0"/>
        <w:sz w:val="24"/>
        <w:szCs w:val="24"/>
        <w:lang w:eastAsia="en-US"/>
      </w:rPr>
    </w:pPr>
    <w:r>
      <w:rPr>
        <w:rFonts w:ascii="Arial" w:hAnsi="Arial" w:eastAsia="Arial" w:cs="Arial"/>
        <w:snapToGrid w:val="0"/>
        <w:color w:val="000000"/>
        <w:kern w:val="0"/>
        <w:sz w:val="24"/>
        <w:szCs w:val="21"/>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1E0373D"/>
    <w:rsid w:val="03164B46"/>
    <w:rsid w:val="03442323"/>
    <w:rsid w:val="03C238C1"/>
    <w:rsid w:val="046D02C9"/>
    <w:rsid w:val="04AC7907"/>
    <w:rsid w:val="07D61CBB"/>
    <w:rsid w:val="08187346"/>
    <w:rsid w:val="08C218CD"/>
    <w:rsid w:val="09357310"/>
    <w:rsid w:val="09431CDD"/>
    <w:rsid w:val="09D85925"/>
    <w:rsid w:val="09E823E8"/>
    <w:rsid w:val="0B16599D"/>
    <w:rsid w:val="0B743A66"/>
    <w:rsid w:val="0CC51CA1"/>
    <w:rsid w:val="12375F75"/>
    <w:rsid w:val="12E66D1C"/>
    <w:rsid w:val="1465676B"/>
    <w:rsid w:val="1474453F"/>
    <w:rsid w:val="147A6B5F"/>
    <w:rsid w:val="174E38AC"/>
    <w:rsid w:val="174F3E72"/>
    <w:rsid w:val="19371A3D"/>
    <w:rsid w:val="1B562B38"/>
    <w:rsid w:val="1BBE6F12"/>
    <w:rsid w:val="1BE340FE"/>
    <w:rsid w:val="1CD51C99"/>
    <w:rsid w:val="1DB440B4"/>
    <w:rsid w:val="1EA9518B"/>
    <w:rsid w:val="1EF02DBA"/>
    <w:rsid w:val="2091596D"/>
    <w:rsid w:val="21BC67D1"/>
    <w:rsid w:val="229D0F23"/>
    <w:rsid w:val="23A23896"/>
    <w:rsid w:val="250338C6"/>
    <w:rsid w:val="2560638D"/>
    <w:rsid w:val="2888575B"/>
    <w:rsid w:val="296C096E"/>
    <w:rsid w:val="2A2100B3"/>
    <w:rsid w:val="2A7805E9"/>
    <w:rsid w:val="2B0A1393"/>
    <w:rsid w:val="2C0146A1"/>
    <w:rsid w:val="2DC35BE2"/>
    <w:rsid w:val="2DFD6DA8"/>
    <w:rsid w:val="2EA15FB3"/>
    <w:rsid w:val="2F5C3B54"/>
    <w:rsid w:val="3147009E"/>
    <w:rsid w:val="321D0284"/>
    <w:rsid w:val="3401034F"/>
    <w:rsid w:val="35F42D38"/>
    <w:rsid w:val="365F5108"/>
    <w:rsid w:val="36F271E0"/>
    <w:rsid w:val="38451629"/>
    <w:rsid w:val="39202096"/>
    <w:rsid w:val="3956631D"/>
    <w:rsid w:val="39A323C9"/>
    <w:rsid w:val="3C446F5E"/>
    <w:rsid w:val="3CB2241B"/>
    <w:rsid w:val="3D995F73"/>
    <w:rsid w:val="3DD40ACC"/>
    <w:rsid w:val="3E7A3FF6"/>
    <w:rsid w:val="3F7C42B6"/>
    <w:rsid w:val="3FA9126D"/>
    <w:rsid w:val="40821E95"/>
    <w:rsid w:val="42331D89"/>
    <w:rsid w:val="425C413F"/>
    <w:rsid w:val="42654155"/>
    <w:rsid w:val="427A6373"/>
    <w:rsid w:val="46670B6F"/>
    <w:rsid w:val="475C491A"/>
    <w:rsid w:val="49521D16"/>
    <w:rsid w:val="4A180A44"/>
    <w:rsid w:val="4A630034"/>
    <w:rsid w:val="4B0E4506"/>
    <w:rsid w:val="4BF20535"/>
    <w:rsid w:val="4D5C1604"/>
    <w:rsid w:val="4D752558"/>
    <w:rsid w:val="4D841426"/>
    <w:rsid w:val="4D926C66"/>
    <w:rsid w:val="4E235B10"/>
    <w:rsid w:val="4E4A0A8E"/>
    <w:rsid w:val="4EFF657E"/>
    <w:rsid w:val="50116703"/>
    <w:rsid w:val="51C0097A"/>
    <w:rsid w:val="51EB53DF"/>
    <w:rsid w:val="53603F65"/>
    <w:rsid w:val="536966EB"/>
    <w:rsid w:val="54E33363"/>
    <w:rsid w:val="551C3A0B"/>
    <w:rsid w:val="555C59B4"/>
    <w:rsid w:val="5839386D"/>
    <w:rsid w:val="58B2099D"/>
    <w:rsid w:val="58E535F1"/>
    <w:rsid w:val="59F6057D"/>
    <w:rsid w:val="5A8121BA"/>
    <w:rsid w:val="5ABF0539"/>
    <w:rsid w:val="5B4434DF"/>
    <w:rsid w:val="5C071983"/>
    <w:rsid w:val="5DAF1758"/>
    <w:rsid w:val="6359495D"/>
    <w:rsid w:val="65374BCA"/>
    <w:rsid w:val="6562740E"/>
    <w:rsid w:val="65CA16B3"/>
    <w:rsid w:val="65FC1861"/>
    <w:rsid w:val="662E5966"/>
    <w:rsid w:val="6747066A"/>
    <w:rsid w:val="699F737A"/>
    <w:rsid w:val="6A463B57"/>
    <w:rsid w:val="6BDB5C18"/>
    <w:rsid w:val="6D892812"/>
    <w:rsid w:val="6DB12CE1"/>
    <w:rsid w:val="6EAC5D22"/>
    <w:rsid w:val="6F1E00AA"/>
    <w:rsid w:val="6F9E3EA7"/>
    <w:rsid w:val="6FA50623"/>
    <w:rsid w:val="6FE07D2F"/>
    <w:rsid w:val="70E71E73"/>
    <w:rsid w:val="70F51E8C"/>
    <w:rsid w:val="710038B0"/>
    <w:rsid w:val="73136DD6"/>
    <w:rsid w:val="73922BF0"/>
    <w:rsid w:val="73B72B30"/>
    <w:rsid w:val="76271B88"/>
    <w:rsid w:val="76501341"/>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2"/>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34"/>
    <w:autoRedefine/>
    <w:semiHidden/>
    <w:unhideWhenUsed/>
    <w:qFormat/>
    <w:uiPriority w:val="99"/>
    <w:rPr>
      <w:sz w:val="18"/>
      <w:szCs w:val="18"/>
    </w:rPr>
  </w:style>
  <w:style w:type="paragraph" w:styleId="10">
    <w:name w:val="footer"/>
    <w:basedOn w:val="1"/>
    <w:link w:val="30"/>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33"/>
    <w:autoRedefine/>
    <w:semiHidden/>
    <w:unhideWhenUsed/>
    <w:qFormat/>
    <w:uiPriority w:val="99"/>
    <w:rPr>
      <w:b/>
      <w:bCs/>
    </w:rPr>
  </w:style>
  <w:style w:type="paragraph" w:styleId="18">
    <w:name w:val="Body Text First Indent"/>
    <w:basedOn w:val="6"/>
    <w:autoRedefine/>
    <w:unhideWhenUsed/>
    <w:qFormat/>
    <w:uiPriority w:val="99"/>
    <w:pPr>
      <w:ind w:firstLine="420" w:firstLineChars="100"/>
    </w:pPr>
  </w:style>
  <w:style w:type="paragraph" w:styleId="19">
    <w:name w:val="Body Text First Indent 2"/>
    <w:basedOn w:val="7"/>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FollowedHyperlink"/>
    <w:basedOn w:val="22"/>
    <w:autoRedefine/>
    <w:semiHidden/>
    <w:unhideWhenUsed/>
    <w:qFormat/>
    <w:uiPriority w:val="99"/>
    <w:rPr>
      <w:color w:val="2490F8"/>
      <w:u w:val="none"/>
    </w:rPr>
  </w:style>
  <w:style w:type="character" w:styleId="25">
    <w:name w:val="Emphasis"/>
    <w:basedOn w:val="22"/>
    <w:autoRedefine/>
    <w:qFormat/>
    <w:uiPriority w:val="20"/>
  </w:style>
  <w:style w:type="character" w:styleId="26">
    <w:name w:val="Hyperlink"/>
    <w:basedOn w:val="22"/>
    <w:autoRedefine/>
    <w:semiHidden/>
    <w:unhideWhenUsed/>
    <w:qFormat/>
    <w:uiPriority w:val="99"/>
    <w:rPr>
      <w:color w:val="2490F8"/>
      <w:u w:val="none"/>
    </w:rPr>
  </w:style>
  <w:style w:type="character" w:styleId="27">
    <w:name w:val="annotation reference"/>
    <w:basedOn w:val="22"/>
    <w:autoRedefine/>
    <w:semiHidden/>
    <w:unhideWhenUsed/>
    <w:qFormat/>
    <w:uiPriority w:val="99"/>
    <w:rPr>
      <w:sz w:val="21"/>
      <w:szCs w:val="21"/>
    </w:rPr>
  </w:style>
  <w:style w:type="paragraph" w:customStyle="1" w:styleId="28">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9">
    <w:name w:val="页眉 Char"/>
    <w:basedOn w:val="22"/>
    <w:link w:val="12"/>
    <w:autoRedefine/>
    <w:qFormat/>
    <w:uiPriority w:val="99"/>
    <w:rPr>
      <w:sz w:val="18"/>
      <w:szCs w:val="18"/>
    </w:rPr>
  </w:style>
  <w:style w:type="character" w:customStyle="1" w:styleId="30">
    <w:name w:val="页脚 Char"/>
    <w:basedOn w:val="22"/>
    <w:link w:val="10"/>
    <w:autoRedefine/>
    <w:qFormat/>
    <w:uiPriority w:val="99"/>
    <w:rPr>
      <w:sz w:val="18"/>
      <w:szCs w:val="18"/>
    </w:rPr>
  </w:style>
  <w:style w:type="paragraph" w:customStyle="1" w:styleId="31">
    <w:name w:val="Char Char Char Char Char Char Char Char Char Char"/>
    <w:basedOn w:val="1"/>
    <w:autoRedefine/>
    <w:qFormat/>
    <w:uiPriority w:val="0"/>
    <w:rPr>
      <w:rFonts w:ascii="Tahoma" w:hAnsi="Tahoma" w:eastAsia="宋体" w:cs="仿宋_GB2312"/>
      <w:sz w:val="24"/>
      <w:szCs w:val="20"/>
    </w:rPr>
  </w:style>
  <w:style w:type="character" w:customStyle="1" w:styleId="32">
    <w:name w:val="批注文字 Char"/>
    <w:basedOn w:val="22"/>
    <w:link w:val="5"/>
    <w:autoRedefine/>
    <w:semiHidden/>
    <w:qFormat/>
    <w:uiPriority w:val="99"/>
  </w:style>
  <w:style w:type="character" w:customStyle="1" w:styleId="33">
    <w:name w:val="批注主题 Char"/>
    <w:basedOn w:val="32"/>
    <w:link w:val="17"/>
    <w:autoRedefine/>
    <w:semiHidden/>
    <w:qFormat/>
    <w:uiPriority w:val="99"/>
    <w:rPr>
      <w:b/>
      <w:bCs/>
    </w:rPr>
  </w:style>
  <w:style w:type="character" w:customStyle="1" w:styleId="34">
    <w:name w:val="批注框文本 Char"/>
    <w:basedOn w:val="22"/>
    <w:link w:val="9"/>
    <w:autoRedefine/>
    <w:semiHidden/>
    <w:qFormat/>
    <w:uiPriority w:val="99"/>
    <w:rPr>
      <w:sz w:val="18"/>
      <w:szCs w:val="18"/>
    </w:rPr>
  </w:style>
  <w:style w:type="paragraph" w:styleId="35">
    <w:name w:val="List Paragraph"/>
    <w:basedOn w:val="1"/>
    <w:autoRedefine/>
    <w:unhideWhenUsed/>
    <w:qFormat/>
    <w:uiPriority w:val="99"/>
    <w:pPr>
      <w:ind w:firstLine="420" w:firstLineChars="200"/>
    </w:pPr>
  </w:style>
  <w:style w:type="paragraph" w:customStyle="1" w:styleId="36">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7">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8">
    <w:name w:val="Char Char Char Char Char Char Char1 Char"/>
    <w:basedOn w:val="1"/>
    <w:autoRedefine/>
    <w:qFormat/>
    <w:uiPriority w:val="0"/>
    <w:rPr>
      <w:rFonts w:ascii="Tahoma" w:hAnsi="Tahoma"/>
      <w:sz w:val="24"/>
    </w:rPr>
  </w:style>
  <w:style w:type="character" w:customStyle="1" w:styleId="39">
    <w:name w:val="font21"/>
    <w:basedOn w:val="22"/>
    <w:autoRedefine/>
    <w:qFormat/>
    <w:uiPriority w:val="0"/>
    <w:rPr>
      <w:rFonts w:hint="eastAsia" w:ascii="宋体" w:hAnsi="宋体" w:eastAsia="宋体" w:cs="宋体"/>
      <w:b/>
      <w:bCs/>
      <w:color w:val="000000"/>
      <w:sz w:val="40"/>
      <w:szCs w:val="40"/>
      <w:u w:val="none"/>
    </w:rPr>
  </w:style>
  <w:style w:type="character" w:customStyle="1" w:styleId="40">
    <w:name w:val="font71"/>
    <w:basedOn w:val="22"/>
    <w:autoRedefine/>
    <w:qFormat/>
    <w:uiPriority w:val="0"/>
    <w:rPr>
      <w:rFonts w:hint="eastAsia" w:ascii="宋体" w:hAnsi="宋体" w:eastAsia="宋体" w:cs="宋体"/>
      <w:b/>
      <w:bCs/>
      <w:color w:val="000000"/>
      <w:sz w:val="40"/>
      <w:szCs w:val="40"/>
      <w:u w:val="single"/>
    </w:rPr>
  </w:style>
  <w:style w:type="character" w:customStyle="1" w:styleId="41">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42">
    <w:name w:val="font111"/>
    <w:basedOn w:val="22"/>
    <w:autoRedefine/>
    <w:qFormat/>
    <w:uiPriority w:val="0"/>
    <w:rPr>
      <w:rFonts w:hint="eastAsia" w:ascii="宋体" w:hAnsi="宋体" w:eastAsia="宋体" w:cs="宋体"/>
      <w:color w:val="000000"/>
      <w:sz w:val="40"/>
      <w:szCs w:val="40"/>
      <w:u w:val="single"/>
    </w:rPr>
  </w:style>
  <w:style w:type="character" w:customStyle="1" w:styleId="43">
    <w:name w:val="font141"/>
    <w:basedOn w:val="22"/>
    <w:autoRedefine/>
    <w:qFormat/>
    <w:uiPriority w:val="0"/>
    <w:rPr>
      <w:rFonts w:hint="eastAsia" w:ascii="宋体" w:hAnsi="宋体" w:eastAsia="宋体" w:cs="宋体"/>
      <w:color w:val="000000"/>
      <w:sz w:val="20"/>
      <w:szCs w:val="20"/>
      <w:u w:val="single"/>
    </w:rPr>
  </w:style>
  <w:style w:type="character" w:customStyle="1" w:styleId="44">
    <w:name w:val="font151"/>
    <w:basedOn w:val="22"/>
    <w:autoRedefine/>
    <w:qFormat/>
    <w:uiPriority w:val="0"/>
    <w:rPr>
      <w:rFonts w:hint="eastAsia" w:ascii="宋体" w:hAnsi="宋体" w:eastAsia="宋体" w:cs="宋体"/>
      <w:color w:val="000000"/>
      <w:sz w:val="20"/>
      <w:szCs w:val="20"/>
      <w:u w:val="single"/>
    </w:rPr>
  </w:style>
  <w:style w:type="paragraph" w:customStyle="1" w:styleId="4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6">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7">
    <w:name w:val="00-表格正文"/>
    <w:basedOn w:val="1"/>
    <w:autoRedefine/>
    <w:qFormat/>
    <w:uiPriority w:val="0"/>
    <w:pPr>
      <w:widowControl/>
      <w:spacing w:line="360" w:lineRule="auto"/>
      <w:jc w:val="left"/>
    </w:pPr>
    <w:rPr>
      <w:rFonts w:ascii="黑体" w:hAnsi="黑体" w:eastAsia="仿宋" w:cs="宋体"/>
      <w:bCs/>
      <w:color w:val="000000"/>
      <w:szCs w:val="24"/>
    </w:rPr>
  </w:style>
  <w:style w:type="paragraph" w:customStyle="1" w:styleId="48">
    <w:name w:val="Table Paragraph"/>
    <w:basedOn w:val="1"/>
    <w:autoRedefine/>
    <w:qFormat/>
    <w:uiPriority w:val="1"/>
    <w:pPr>
      <w:jc w:val="left"/>
    </w:pPr>
    <w:rPr>
      <w:rFonts w:ascii="Calibri" w:hAnsi="Calibri"/>
      <w:sz w:val="22"/>
      <w:lang w:eastAsia="en-US"/>
    </w:rPr>
  </w:style>
  <w:style w:type="character" w:customStyle="1" w:styleId="49">
    <w:name w:val="drapbtn"/>
    <w:basedOn w:val="22"/>
    <w:autoRedefine/>
    <w:qFormat/>
    <w:uiPriority w:val="0"/>
  </w:style>
  <w:style w:type="character" w:customStyle="1" w:styleId="50">
    <w:name w:val="cdropright"/>
    <w:basedOn w:val="22"/>
    <w:autoRedefine/>
    <w:qFormat/>
    <w:uiPriority w:val="0"/>
  </w:style>
  <w:style w:type="character" w:customStyle="1" w:styleId="51">
    <w:name w:val="icontext2"/>
    <w:basedOn w:val="22"/>
    <w:autoRedefine/>
    <w:qFormat/>
    <w:uiPriority w:val="0"/>
  </w:style>
  <w:style w:type="character" w:customStyle="1" w:styleId="52">
    <w:name w:val="first-child"/>
    <w:basedOn w:val="22"/>
    <w:autoRedefine/>
    <w:qFormat/>
    <w:uiPriority w:val="0"/>
  </w:style>
  <w:style w:type="character" w:customStyle="1" w:styleId="53">
    <w:name w:val="icontext1"/>
    <w:basedOn w:val="22"/>
    <w:autoRedefine/>
    <w:qFormat/>
    <w:uiPriority w:val="0"/>
  </w:style>
  <w:style w:type="character" w:customStyle="1" w:styleId="54">
    <w:name w:val="icontext11"/>
    <w:basedOn w:val="22"/>
    <w:autoRedefine/>
    <w:qFormat/>
    <w:uiPriority w:val="0"/>
  </w:style>
  <w:style w:type="character" w:customStyle="1" w:styleId="55">
    <w:name w:val="icontext12"/>
    <w:basedOn w:val="22"/>
    <w:autoRedefine/>
    <w:qFormat/>
    <w:uiPriority w:val="0"/>
  </w:style>
  <w:style w:type="character" w:customStyle="1" w:styleId="56">
    <w:name w:val="layui-layer-tabnow"/>
    <w:basedOn w:val="22"/>
    <w:autoRedefine/>
    <w:qFormat/>
    <w:uiPriority w:val="0"/>
    <w:rPr>
      <w:bdr w:val="single" w:color="CCCCCC" w:sz="6" w:space="0"/>
      <w:shd w:val="clear" w:fill="FFFFFF"/>
    </w:rPr>
  </w:style>
  <w:style w:type="character" w:customStyle="1" w:styleId="57">
    <w:name w:val="active26"/>
    <w:basedOn w:val="22"/>
    <w:autoRedefine/>
    <w:qFormat/>
    <w:uiPriority w:val="0"/>
    <w:rPr>
      <w:color w:val="00FF00"/>
      <w:shd w:val="clear" w:fill="111111"/>
    </w:rPr>
  </w:style>
  <w:style w:type="character" w:customStyle="1" w:styleId="58">
    <w:name w:val="button"/>
    <w:basedOn w:val="22"/>
    <w:autoRedefine/>
    <w:qFormat/>
    <w:uiPriority w:val="0"/>
  </w:style>
  <w:style w:type="character" w:customStyle="1" w:styleId="59">
    <w:name w:val="associateddata"/>
    <w:basedOn w:val="22"/>
    <w:autoRedefine/>
    <w:qFormat/>
    <w:uiPriority w:val="0"/>
    <w:rPr>
      <w:shd w:val="clear" w:fill="50A6F9"/>
    </w:rPr>
  </w:style>
  <w:style w:type="character" w:customStyle="1" w:styleId="60">
    <w:name w:val="cdropleft"/>
    <w:basedOn w:val="22"/>
    <w:autoRedefine/>
    <w:qFormat/>
    <w:uiPriority w:val="0"/>
  </w:style>
  <w:style w:type="character" w:customStyle="1" w:styleId="61">
    <w:name w:val="iconline2"/>
    <w:basedOn w:val="22"/>
    <w:autoRedefine/>
    <w:qFormat/>
    <w:uiPriority w:val="0"/>
  </w:style>
  <w:style w:type="character" w:customStyle="1" w:styleId="62">
    <w:name w:val="iconline21"/>
    <w:basedOn w:val="22"/>
    <w:autoRedefine/>
    <w:qFormat/>
    <w:uiPriority w:val="0"/>
  </w:style>
  <w:style w:type="character" w:customStyle="1" w:styleId="63">
    <w:name w:val="icontext3"/>
    <w:basedOn w:val="22"/>
    <w:autoRedefine/>
    <w:qFormat/>
    <w:uiPriority w:val="0"/>
  </w:style>
  <w:style w:type="character" w:customStyle="1" w:styleId="64">
    <w:name w:val="hilite"/>
    <w:basedOn w:val="22"/>
    <w:autoRedefine/>
    <w:qFormat/>
    <w:uiPriority w:val="0"/>
    <w:rPr>
      <w:color w:val="FFFFFF"/>
      <w:shd w:val="clear" w:fill="666666"/>
    </w:rPr>
  </w:style>
  <w:style w:type="character" w:customStyle="1" w:styleId="65">
    <w:name w:val="cy"/>
    <w:basedOn w:val="22"/>
    <w:autoRedefine/>
    <w:qFormat/>
    <w:uiPriority w:val="0"/>
  </w:style>
  <w:style w:type="character" w:customStyle="1" w:styleId="66">
    <w:name w:val="choose-status"/>
    <w:basedOn w:val="22"/>
    <w:autoRedefine/>
    <w:qFormat/>
    <w:uiPriority w:val="0"/>
    <w:rPr>
      <w:color w:val="1F85EC"/>
      <w:shd w:val="clear" w:fill="FFFFFF"/>
    </w:rPr>
  </w:style>
  <w:style w:type="character" w:customStyle="1" w:styleId="67">
    <w:name w:val="after"/>
    <w:basedOn w:val="22"/>
    <w:autoRedefine/>
    <w:qFormat/>
    <w:uiPriority w:val="0"/>
    <w:rPr>
      <w:sz w:val="0"/>
      <w:szCs w:val="0"/>
    </w:rPr>
  </w:style>
  <w:style w:type="character" w:customStyle="1" w:styleId="68">
    <w:name w:val="tmpztreemove_arrow"/>
    <w:basedOn w:val="22"/>
    <w:autoRedefine/>
    <w:qFormat/>
    <w:uiPriority w:val="0"/>
  </w:style>
  <w:style w:type="character" w:customStyle="1" w:styleId="69">
    <w:name w:val="pagechatarealistclose_box"/>
    <w:basedOn w:val="22"/>
    <w:autoRedefine/>
    <w:qFormat/>
    <w:uiPriority w:val="0"/>
  </w:style>
  <w:style w:type="character" w:customStyle="1" w:styleId="70">
    <w:name w:val="pagechatarealistclose_box1"/>
    <w:basedOn w:val="22"/>
    <w:autoRedefine/>
    <w:qFormat/>
    <w:uiPriority w:val="0"/>
  </w:style>
  <w:style w:type="character" w:customStyle="1" w:styleId="71">
    <w:name w:val="ico1654"/>
    <w:basedOn w:val="22"/>
    <w:autoRedefine/>
    <w:qFormat/>
    <w:uiPriority w:val="0"/>
  </w:style>
  <w:style w:type="character" w:customStyle="1" w:styleId="72">
    <w:name w:val="ico1655"/>
    <w:basedOn w:val="22"/>
    <w:autoRedefine/>
    <w:qFormat/>
    <w:uiPriority w:val="0"/>
  </w:style>
  <w:style w:type="character" w:customStyle="1" w:styleId="73">
    <w:name w:val="w32"/>
    <w:basedOn w:val="22"/>
    <w:autoRedefine/>
    <w:qFormat/>
    <w:uiPriority w:val="0"/>
  </w:style>
  <w:style w:type="paragraph" w:customStyle="1" w:styleId="74">
    <w:name w:val="列出段落1"/>
    <w:basedOn w:val="1"/>
    <w:autoRedefine/>
    <w:unhideWhenUsed/>
    <w:qFormat/>
    <w:uiPriority w:val="99"/>
    <w:pPr>
      <w:ind w:firstLine="420" w:firstLineChars="200"/>
    </w:pPr>
    <w:rPr>
      <w:rFonts w:ascii="Calibri" w:hAnsi="Calibri"/>
      <w:kern w:val="2"/>
      <w:sz w:val="21"/>
      <w:szCs w:val="22"/>
    </w:rPr>
  </w:style>
  <w:style w:type="character" w:customStyle="1" w:styleId="75">
    <w:name w:val="font112"/>
    <w:basedOn w:val="22"/>
    <w:autoRedefine/>
    <w:qFormat/>
    <w:uiPriority w:val="0"/>
    <w:rPr>
      <w:rFonts w:hint="eastAsia" w:ascii="仿宋" w:hAnsi="仿宋" w:eastAsia="仿宋" w:cs="仿宋"/>
      <w:color w:val="000000"/>
      <w:sz w:val="10"/>
      <w:szCs w:val="10"/>
      <w:u w:val="none"/>
    </w:rPr>
  </w:style>
  <w:style w:type="character" w:customStyle="1" w:styleId="76">
    <w:name w:val="font121"/>
    <w:basedOn w:val="22"/>
    <w:autoRedefine/>
    <w:qFormat/>
    <w:uiPriority w:val="0"/>
    <w:rPr>
      <w:rFonts w:ascii="宋体" w:hAnsi="宋体" w:eastAsia="宋体" w:cs="宋体"/>
      <w:b/>
      <w:bCs/>
      <w:color w:val="000000"/>
      <w:sz w:val="18"/>
      <w:szCs w:val="18"/>
      <w:u w:val="none"/>
    </w:rPr>
  </w:style>
  <w:style w:type="character" w:customStyle="1" w:styleId="77">
    <w:name w:val="font31"/>
    <w:basedOn w:val="22"/>
    <w:autoRedefine/>
    <w:qFormat/>
    <w:uiPriority w:val="0"/>
    <w:rPr>
      <w:rFonts w:ascii="宋体" w:hAnsi="宋体" w:eastAsia="宋体" w:cs="宋体"/>
      <w:color w:val="000000"/>
      <w:sz w:val="14"/>
      <w:szCs w:val="14"/>
      <w:u w:val="none"/>
    </w:rPr>
  </w:style>
  <w:style w:type="character" w:customStyle="1" w:styleId="78">
    <w:name w:val="font81"/>
    <w:basedOn w:val="22"/>
    <w:autoRedefine/>
    <w:qFormat/>
    <w:uiPriority w:val="0"/>
    <w:rPr>
      <w:rFonts w:ascii="宋体" w:hAnsi="宋体" w:eastAsia="宋体" w:cs="宋体"/>
      <w:color w:val="000000"/>
      <w:sz w:val="10"/>
      <w:szCs w:val="10"/>
      <w:u w:val="none"/>
    </w:rPr>
  </w:style>
  <w:style w:type="character" w:customStyle="1" w:styleId="79">
    <w:name w:val="font131"/>
    <w:basedOn w:val="22"/>
    <w:autoRedefine/>
    <w:qFormat/>
    <w:uiPriority w:val="0"/>
    <w:rPr>
      <w:rFonts w:ascii="宋体" w:hAnsi="宋体" w:eastAsia="宋体" w:cs="宋体"/>
      <w:color w:val="000000"/>
      <w:sz w:val="8"/>
      <w:szCs w:val="8"/>
      <w:u w:val="none"/>
    </w:rPr>
  </w:style>
  <w:style w:type="character" w:customStyle="1" w:styleId="80">
    <w:name w:val="font61"/>
    <w:basedOn w:val="22"/>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21</Pages>
  <Words>7857</Words>
  <Characters>8127</Characters>
  <Lines>5</Lines>
  <Paragraphs>1</Paragraphs>
  <TotalTime>0</TotalTime>
  <ScaleCrop>false</ScaleCrop>
  <LinksUpToDate>false</LinksUpToDate>
  <CharactersWithSpaces>8545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2025-12-23T07:59:00Z</cp:lastPrinted>
  <dcterms:modified xsi:type="dcterms:W3CDTF">2026-01-05T06:59:13Z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247591F75B9D4F13950F3A8A0097C99A_13</vt:lpwstr>
  </property>
  <property fmtid="{D5CDD505-2E9C-101B-9397-08002B2CF9AE}" pid="4" name="KSOTemplateDocerSaveRecord">
    <vt:lpwstr>eyJoZGlkIjoiNGFkODY2OGMyZjU2YzE0ZGMwYmY1N2EzOTU0MTk5MzUiLCJ1c2VySWQiOiIxNjc5MzAzNjQzIn0=</vt:lpwstr>
  </property>
</Properties>
</file>