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8"/>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2774249"/>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eastAsia" w:hAnsi="宋体" w:eastAsiaTheme="minorEastAsia"/>
                <w:bCs/>
                <w:color w:val="000000"/>
                <w:u w:val="single"/>
                <w:lang w:val="en-US" w:eastAsia="zh-CN"/>
              </w:rPr>
            </w:pPr>
            <w:r>
              <w:rPr>
                <w:rFonts w:hint="eastAsia" w:hAnsi="宋体"/>
                <w:bCs/>
                <w:color w:val="000000"/>
                <w:lang w:val="en-US" w:eastAsia="zh-CN"/>
              </w:rPr>
              <w:t>费率</w:t>
            </w:r>
            <w:r>
              <w:rPr>
                <w:rFonts w:hint="eastAsia" w:hAnsi="宋体"/>
                <w:bCs/>
                <w:color w:val="000000"/>
              </w:rPr>
              <w:t>：</w:t>
            </w:r>
            <w:r>
              <w:rPr>
                <w:rFonts w:hint="eastAsia" w:hAnsi="宋体"/>
                <w:bCs/>
                <w:color w:val="000000"/>
                <w:u w:val="single"/>
              </w:rPr>
              <w:t xml:space="preserve">        </w:t>
            </w:r>
            <w:r>
              <w:rPr>
                <w:rFonts w:hint="eastAsia" w:hAnsi="宋体"/>
                <w:bCs/>
                <w:color w:val="000000"/>
                <w:u w:val="single"/>
                <w:lang w:val="en-US" w:eastAsia="zh-CN"/>
              </w:rPr>
              <w:t>%</w:t>
            </w:r>
          </w:p>
          <w:p>
            <w:pPr>
              <w:snapToGrid w:val="0"/>
              <w:spacing w:line="360" w:lineRule="auto"/>
              <w:rPr>
                <w:rFonts w:hint="default" w:hAnsi="宋体" w:eastAsiaTheme="minorEastAsia"/>
                <w:b/>
                <w:color w:val="000000"/>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ascii="宋体" w:hAnsi="宋体" w:eastAsia="宋体" w:cs="宋体"/>
                <w:b/>
                <w:bCs/>
                <w:i w:val="0"/>
                <w:iCs w:val="0"/>
                <w:color w:val="333333"/>
                <w:sz w:val="24"/>
                <w:szCs w:val="24"/>
                <w:u w:val="none"/>
              </w:rPr>
            </w:pPr>
          </w:p>
          <w:p>
            <w:pPr>
              <w:spacing w:line="360" w:lineRule="auto"/>
              <w:rPr>
                <w:rFonts w:hAnsi="宋体"/>
                <w:b/>
                <w:color w:val="000000"/>
              </w:rPr>
            </w:pPr>
            <w:r>
              <w:rPr>
                <w:rFonts w:ascii="宋体" w:hAnsi="宋体" w:eastAsia="宋体" w:cs="宋体"/>
                <w:b/>
                <w:bCs/>
                <w:i w:val="0"/>
                <w:iCs w:val="0"/>
                <w:color w:val="333333"/>
                <w:sz w:val="24"/>
                <w:szCs w:val="24"/>
                <w:u w:val="none"/>
              </w:rPr>
              <w:t>本项目最高投标费率不得超过50% ，否则投标无效。</w:t>
            </w:r>
          </w:p>
        </w:tc>
      </w:tr>
    </w:tbl>
    <w:p>
      <w:pPr>
        <w:snapToGrid w:val="0"/>
        <w:spacing w:line="360" w:lineRule="auto"/>
        <w:rPr>
          <w:rFonts w:hint="eastAsia" w:hAnsi="宋体"/>
          <w:b/>
          <w:color w:val="000000"/>
        </w:rPr>
      </w:pPr>
    </w:p>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9"/>
        <w:ind w:left="0" w:leftChars="0" w:firstLine="0" w:firstLineChars="0"/>
        <w:rPr>
          <w:rFonts w:hAnsi="宋体"/>
          <w:b/>
          <w:bCs/>
          <w:color w:val="000000"/>
          <w:szCs w:val="28"/>
        </w:rPr>
      </w:pPr>
    </w:p>
    <w:p>
      <w:pPr>
        <w:pStyle w:val="19"/>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8"/>
        <w:snapToGrid w:val="0"/>
        <w:spacing w:line="360" w:lineRule="auto"/>
        <w:jc w:val="left"/>
        <w:rPr>
          <w:rFonts w:hAnsi="宋体"/>
          <w:color w:val="000000"/>
          <w:sz w:val="24"/>
          <w:szCs w:val="28"/>
        </w:rPr>
      </w:pPr>
      <w:r>
        <w:rPr>
          <w:rFonts w:hint="eastAsia" w:hAnsi="宋体"/>
          <w:color w:val="000000"/>
          <w:sz w:val="24"/>
          <w:szCs w:val="28"/>
        </w:rPr>
        <w:t>注：</w:t>
      </w:r>
    </w:p>
    <w:p>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ind w:firstLine="3213" w:firstLineChars="1000"/>
        <w:rPr>
          <w:rFonts w:hAnsi="宋体"/>
          <w:b/>
          <w:color w:val="000000"/>
          <w:sz w:val="32"/>
          <w:szCs w:val="32"/>
        </w:rPr>
      </w:pPr>
      <w:bookmarkStart w:id="8" w:name="OLE_LINK3"/>
      <w:r>
        <w:rPr>
          <w:rFonts w:hint="eastAsia" w:hAnsi="宋体"/>
          <w:b/>
          <w:color w:val="000000"/>
          <w:sz w:val="32"/>
          <w:szCs w:val="32"/>
        </w:rPr>
        <w:t>采购项目需求表</w:t>
      </w:r>
    </w:p>
    <w:bookmarkEnd w:id="8"/>
    <w:tbl>
      <w:tblPr>
        <w:tblStyle w:val="20"/>
        <w:tblpPr w:leftFromText="180" w:rightFromText="180" w:vertAnchor="text" w:horzAnchor="page" w:tblpX="1232" w:tblpY="471"/>
        <w:tblOverlap w:val="never"/>
        <w:tblW w:w="9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725"/>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80" w:type="dxa"/>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725" w:type="dxa"/>
            <w:vAlign w:val="center"/>
          </w:tcPr>
          <w:p>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内容</w:t>
            </w:r>
          </w:p>
        </w:tc>
        <w:tc>
          <w:tcPr>
            <w:tcW w:w="6718" w:type="dxa"/>
            <w:vAlign w:val="center"/>
          </w:tcPr>
          <w:p>
            <w:pPr>
              <w:pStyle w:val="45"/>
              <w:widowControl w:val="0"/>
              <w:spacing w:before="0" w:beforeAutospacing="0" w:after="0" w:afterAutospacing="0"/>
              <w:rPr>
                <w:rFonts w:hint="eastAsia" w:ascii="宋体" w:hAnsi="宋体" w:eastAsia="宋体" w:cs="宋体"/>
                <w:bCs w:val="0"/>
                <w:color w:val="000000"/>
                <w:kern w:val="2"/>
                <w:sz w:val="24"/>
                <w:szCs w:val="24"/>
              </w:rPr>
            </w:pPr>
            <w:r>
              <w:rPr>
                <w:rFonts w:hint="eastAsia" w:ascii="宋体" w:hAnsi="宋体" w:eastAsia="宋体" w:cs="宋体"/>
                <w:bCs w:val="0"/>
                <w:color w:val="000000"/>
                <w:kern w:val="2"/>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80" w:type="dxa"/>
            <w:vAlign w:val="center"/>
          </w:tcPr>
          <w:p>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c>
          <w:tcPr>
            <w:tcW w:w="1725" w:type="dxa"/>
            <w:vAlign w:val="center"/>
          </w:tcPr>
          <w:p>
            <w:pPr>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项目名称</w:t>
            </w:r>
          </w:p>
        </w:tc>
        <w:tc>
          <w:tcPr>
            <w:tcW w:w="6718" w:type="dxa"/>
            <w:vAlign w:val="center"/>
          </w:tcPr>
          <w:p>
            <w:pPr>
              <w:spacing w:line="360" w:lineRule="exact"/>
              <w:jc w:val="left"/>
              <w:rPr>
                <w:rFonts w:hint="eastAsia" w:ascii="宋体" w:hAnsi="宋体" w:eastAsia="宋体" w:cs="宋体"/>
                <w:b w:val="0"/>
                <w:bCs w:val="0"/>
                <w:color w:val="000000"/>
                <w:sz w:val="24"/>
                <w:szCs w:val="24"/>
              </w:rPr>
            </w:pPr>
            <w:r>
              <w:rPr>
                <w:rFonts w:hint="eastAsia" w:ascii="宋体" w:hAnsi="宋体" w:eastAsia="宋体"/>
                <w:sz w:val="24"/>
                <w:szCs w:val="18"/>
                <w:highlight w:val="none"/>
                <w:lang w:val="en-US" w:eastAsia="zh-CN"/>
              </w:rPr>
              <w:t>公用公司本部及子公司2026-2027年度工程项目跟踪审计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80" w:type="dxa"/>
            <w:vAlign w:val="center"/>
          </w:tcPr>
          <w:p>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2</w:t>
            </w:r>
          </w:p>
        </w:tc>
        <w:tc>
          <w:tcPr>
            <w:tcW w:w="1725" w:type="dxa"/>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w:t>
            </w:r>
            <w:r>
              <w:rPr>
                <w:rFonts w:hint="eastAsia" w:ascii="宋体" w:hAnsi="宋体" w:eastAsia="宋体" w:cs="宋体"/>
                <w:color w:val="000000"/>
                <w:sz w:val="24"/>
                <w:szCs w:val="24"/>
                <w:lang w:val="en-US" w:eastAsia="zh-CN"/>
              </w:rPr>
              <w:t>概况</w:t>
            </w:r>
          </w:p>
        </w:tc>
        <w:tc>
          <w:tcPr>
            <w:tcW w:w="6718"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36" w:firstLineChars="182"/>
              <w:jc w:val="left"/>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本项目拟招1家服务单位对公用公司及子公司：（1）合同金额3000万元以下的小额零星工程（政府投资）跟踪审计；（2）公司自营工程进行跟踪审计。审计费预算为暂定价，最终按项目实际造价计费。年工程量约3550万元（排水中心800万元、市政中心800万元、新桥分公司800万元、园林公司1150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80" w:type="dxa"/>
            <w:vAlign w:val="center"/>
          </w:tcPr>
          <w:p>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3</w:t>
            </w:r>
          </w:p>
        </w:tc>
        <w:tc>
          <w:tcPr>
            <w:tcW w:w="1725" w:type="dxa"/>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供应商资格</w:t>
            </w:r>
          </w:p>
        </w:tc>
        <w:tc>
          <w:tcPr>
            <w:tcW w:w="6718" w:type="dxa"/>
            <w:vAlign w:val="center"/>
          </w:tcPr>
          <w:p>
            <w:pPr>
              <w:spacing w:line="360" w:lineRule="auto"/>
              <w:rPr>
                <w:rFonts w:hint="eastAsia" w:ascii="宋体" w:hAnsi="宋体" w:eastAsia="宋体"/>
                <w:b w:val="0"/>
                <w:bCs w:val="0"/>
                <w:sz w:val="24"/>
                <w:szCs w:val="18"/>
                <w:highlight w:val="none"/>
              </w:rPr>
            </w:pPr>
            <w:r>
              <w:rPr>
                <w:rFonts w:hint="eastAsia" w:ascii="宋体" w:hAnsi="宋体" w:eastAsia="宋体"/>
                <w:b w:val="0"/>
                <w:bCs w:val="0"/>
                <w:sz w:val="24"/>
                <w:szCs w:val="18"/>
                <w:highlight w:val="none"/>
              </w:rPr>
              <w:t>1.符合《中华人民共和国政府采购法》第二十二条的规定；</w:t>
            </w:r>
          </w:p>
          <w:p>
            <w:pPr>
              <w:spacing w:line="360" w:lineRule="auto"/>
              <w:rPr>
                <w:rFonts w:hint="eastAsia" w:asciiTheme="minorEastAsia" w:hAnsiTheme="minorEastAsia" w:cstheme="minorEastAsia"/>
                <w:color w:val="auto"/>
                <w:sz w:val="24"/>
                <w:szCs w:val="24"/>
                <w:lang w:val="en-US" w:eastAsia="zh-CN"/>
              </w:rPr>
            </w:pPr>
            <w:r>
              <w:rPr>
                <w:rFonts w:hint="eastAsia" w:ascii="宋体" w:hAnsi="宋体" w:eastAsia="宋体"/>
                <w:b w:val="0"/>
                <w:bCs w:val="0"/>
                <w:color w:val="auto"/>
                <w:sz w:val="24"/>
                <w:szCs w:val="18"/>
                <w:highlight w:val="none"/>
              </w:rPr>
              <w:t>2</w:t>
            </w:r>
            <w:r>
              <w:rPr>
                <w:rFonts w:hint="eastAsia" w:ascii="宋体" w:hAnsi="宋体" w:eastAsia="宋体"/>
                <w:b w:val="0"/>
                <w:bCs w:val="0"/>
                <w:color w:val="auto"/>
                <w:sz w:val="24"/>
                <w:szCs w:val="18"/>
                <w:highlight w:val="none"/>
                <w:lang w:val="en-US" w:eastAsia="zh-CN"/>
              </w:rPr>
              <w:t>.</w:t>
            </w:r>
            <w:r>
              <w:rPr>
                <w:rFonts w:hint="eastAsia" w:asciiTheme="minorEastAsia" w:hAnsiTheme="minorEastAsia" w:cstheme="minorEastAsia"/>
                <w:color w:val="auto"/>
                <w:sz w:val="24"/>
                <w:szCs w:val="24"/>
                <w:lang w:val="en-US" w:eastAsia="zh-CN"/>
              </w:rPr>
              <w:t>项目负责人1人，并提供开标前六个月的社保证明。</w:t>
            </w:r>
          </w:p>
          <w:p>
            <w:pPr>
              <w:spacing w:line="360" w:lineRule="auto"/>
              <w:rPr>
                <w:rFonts w:hint="eastAsia" w:ascii="宋体" w:hAnsi="宋体" w:eastAsia="宋体" w:cs="宋体"/>
                <w:bCs/>
                <w:color w:val="000000" w:themeColor="text1"/>
                <w:sz w:val="24"/>
                <w:szCs w:val="24"/>
                <w14:textFill>
                  <w14:solidFill>
                    <w14:schemeClr w14:val="tx1"/>
                  </w14:solidFill>
                </w14:textFill>
              </w:rPr>
            </w:pPr>
            <w:r>
              <w:rPr>
                <w:rFonts w:hint="eastAsia" w:asciiTheme="minorEastAsia" w:hAnsiTheme="minorEastAsia" w:cstheme="minorEastAsia"/>
                <w:sz w:val="24"/>
                <w:szCs w:val="24"/>
                <w:lang w:val="en-US" w:eastAsia="zh-CN"/>
              </w:rPr>
              <w:t>3.</w:t>
            </w:r>
            <w:r>
              <w:rPr>
                <w:rFonts w:hint="eastAsia" w:ascii="宋体" w:hAnsi="宋体" w:eastAsia="宋体"/>
                <w:b w:val="0"/>
                <w:bCs w:val="0"/>
                <w:sz w:val="24"/>
                <w:szCs w:val="18"/>
                <w:highlight w:val="none"/>
              </w:rPr>
              <w:t>具有本地化(合肥市)服务能力。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80" w:type="dxa"/>
            <w:vAlign w:val="center"/>
          </w:tcPr>
          <w:p>
            <w:pPr>
              <w:jc w:val="center"/>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4</w:t>
            </w:r>
          </w:p>
        </w:tc>
        <w:tc>
          <w:tcPr>
            <w:tcW w:w="1725" w:type="dxa"/>
            <w:vAlign w:val="center"/>
          </w:tcPr>
          <w:p>
            <w:pPr>
              <w:pStyle w:val="45"/>
              <w:widowControl w:val="0"/>
              <w:spacing w:before="0" w:beforeAutospacing="0" w:after="0" w:afterAutospacing="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资金来源</w:t>
            </w:r>
          </w:p>
        </w:tc>
        <w:tc>
          <w:tcPr>
            <w:tcW w:w="6718" w:type="dxa"/>
            <w:vAlign w:val="center"/>
          </w:tcPr>
          <w:p>
            <w:pPr>
              <w:pStyle w:val="45"/>
              <w:widowControl w:val="0"/>
              <w:spacing w:before="0" w:beforeAutospacing="0" w:after="0" w:afterAutospacing="0"/>
              <w:jc w:val="both"/>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财政\自筹资金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80" w:type="dxa"/>
            <w:vAlign w:val="center"/>
          </w:tcPr>
          <w:p>
            <w:pPr>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725" w:type="dxa"/>
          </w:tcPr>
          <w:p>
            <w:pPr>
              <w:spacing w:line="500" w:lineRule="exact"/>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标段划分</w:t>
            </w:r>
          </w:p>
        </w:tc>
        <w:tc>
          <w:tcPr>
            <w:tcW w:w="6718" w:type="dxa"/>
            <w:vAlign w:val="center"/>
          </w:tcPr>
          <w:p>
            <w:pPr>
              <w:spacing w:line="500" w:lineRule="exact"/>
              <w:ind w:firstLine="120" w:firstLineChars="5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0" w:type="dxa"/>
            <w:vAlign w:val="center"/>
          </w:tcPr>
          <w:p>
            <w:pPr>
              <w:spacing w:line="500" w:lineRule="exact"/>
              <w:ind w:right="102"/>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1725" w:type="dxa"/>
            <w:vAlign w:val="center"/>
          </w:tcPr>
          <w:p>
            <w:pPr>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付款方式</w:t>
            </w:r>
          </w:p>
        </w:tc>
        <w:tc>
          <w:tcPr>
            <w:tcW w:w="6718" w:type="dxa"/>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ascii="宋体" w:hAnsi="宋体" w:eastAsia="宋体" w:cs="宋体"/>
                <w:b w:val="0"/>
                <w:bCs w:val="0"/>
                <w:i w:val="0"/>
                <w:iCs w:val="0"/>
                <w:color w:val="333333"/>
                <w:sz w:val="24"/>
                <w:szCs w:val="24"/>
                <w:u w:val="none"/>
              </w:rPr>
            </w:pPr>
            <w:r>
              <w:rPr>
                <w:rFonts w:ascii="宋体" w:hAnsi="宋体" w:eastAsia="宋体" w:cs="宋体"/>
                <w:b w:val="0"/>
                <w:bCs w:val="0"/>
                <w:i w:val="0"/>
                <w:iCs w:val="0"/>
                <w:color w:val="333333"/>
                <w:sz w:val="24"/>
                <w:szCs w:val="24"/>
                <w:u w:val="none"/>
              </w:rPr>
              <w:t>最终跟踪审计费＝所有跟踪审计项目的工程总结算价×标准收费费率×中标费率—∑季度应付审计费用扣除的费用。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ascii="宋体" w:hAnsi="宋体" w:eastAsia="宋体" w:cs="宋体"/>
                <w:b w:val="0"/>
                <w:bCs w:val="0"/>
                <w:i w:val="0"/>
                <w:iCs w:val="0"/>
                <w:color w:val="333333"/>
                <w:sz w:val="24"/>
                <w:szCs w:val="24"/>
                <w:u w:val="none"/>
              </w:rPr>
            </w:pPr>
            <w:r>
              <w:rPr>
                <w:rFonts w:ascii="宋体" w:hAnsi="宋体" w:eastAsia="宋体" w:cs="宋体"/>
                <w:b w:val="0"/>
                <w:bCs w:val="0"/>
                <w:i w:val="0"/>
                <w:iCs w:val="0"/>
                <w:color w:val="333333"/>
                <w:sz w:val="24"/>
                <w:szCs w:val="24"/>
                <w:u w:val="none"/>
              </w:rPr>
              <w:t>单个项目应付审计费=各季度应付审计费之和</w:t>
            </w:r>
            <w:r>
              <w:rPr>
                <w:rFonts w:hint="eastAsia" w:ascii="宋体" w:hAnsi="宋体" w:eastAsia="宋体" w:cs="宋体"/>
                <w:b w:val="0"/>
                <w:bCs w:val="0"/>
                <w:i w:val="0"/>
                <w:iCs w:val="0"/>
                <w:color w:val="333333"/>
                <w:sz w:val="24"/>
                <w:szCs w:val="24"/>
                <w:u w:val="none"/>
                <w:lang w:eastAsia="zh-CN"/>
              </w:rPr>
              <w:t>。</w:t>
            </w:r>
            <w:r>
              <w:rPr>
                <w:rFonts w:ascii="宋体" w:hAnsi="宋体" w:eastAsia="宋体" w:cs="宋体"/>
                <w:b w:val="0"/>
                <w:bCs w:val="0"/>
                <w:i w:val="0"/>
                <w:iCs w:val="0"/>
                <w:color w:val="333333"/>
                <w:sz w:val="24"/>
                <w:szCs w:val="24"/>
                <w:u w:val="none"/>
              </w:rPr>
              <w:t>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eastAsia="宋体" w:cs="宋体"/>
                <w:b w:val="0"/>
                <w:bCs w:val="0"/>
                <w:i w:val="0"/>
                <w:iCs w:val="0"/>
                <w:color w:val="333333"/>
                <w:sz w:val="24"/>
                <w:szCs w:val="24"/>
                <w:u w:val="none"/>
              </w:rPr>
            </w:pPr>
            <w:r>
              <w:rPr>
                <w:rFonts w:ascii="宋体" w:hAnsi="宋体" w:eastAsia="宋体" w:cs="宋体"/>
                <w:b w:val="0"/>
                <w:bCs w:val="0"/>
                <w:i w:val="0"/>
                <w:iCs w:val="0"/>
                <w:color w:val="333333"/>
                <w:sz w:val="24"/>
                <w:szCs w:val="24"/>
                <w:u w:val="none"/>
              </w:rPr>
              <w:t>季度应付审计费=当季完成投资×标准收费费率×中标费率×考核系数。标准收费费率按照《安徽省建设工程造价咨询服务项目及收费标准》造价咨询服务项目及收费标准，仅计取第七项施工阶段全过程工程造价控制费用，不计取其他费用，服务内容中的其他费用， 视为已包含在第七项施工阶段全过程造价控制费用之中。）；若单个项目考核得分在95分以上（含95分），则考核系数为1，若单个项目考核得分在95分以下，则考核系数=单个项目考核得分÷100 。当季应付审计费被扣除的费用【即当季完成投资×标准收费费率×中标费率×（1－考核系数）】，</w:t>
            </w:r>
            <w:r>
              <w:rPr>
                <w:rFonts w:hint="eastAsia" w:ascii="宋体" w:hAnsi="宋体" w:eastAsia="宋体" w:cs="宋体"/>
                <w:b w:val="0"/>
                <w:bCs w:val="0"/>
                <w:i w:val="0"/>
                <w:iCs w:val="0"/>
                <w:color w:val="333333"/>
                <w:sz w:val="24"/>
                <w:szCs w:val="24"/>
                <w:u w:val="none"/>
                <w:lang w:val="en-US" w:eastAsia="zh-CN"/>
              </w:rPr>
              <w:t>采购人</w:t>
            </w:r>
            <w:r>
              <w:rPr>
                <w:rFonts w:ascii="宋体" w:hAnsi="宋体" w:eastAsia="宋体" w:cs="宋体"/>
                <w:b w:val="0"/>
                <w:bCs w:val="0"/>
                <w:i w:val="0"/>
                <w:iCs w:val="0"/>
                <w:color w:val="333333"/>
                <w:sz w:val="24"/>
                <w:szCs w:val="24"/>
                <w:u w:val="none"/>
              </w:rPr>
              <w:t>无需再向</w:t>
            </w:r>
            <w:r>
              <w:rPr>
                <w:rFonts w:hint="eastAsia" w:ascii="宋体" w:hAnsi="宋体" w:eastAsia="宋体" w:cs="宋体"/>
                <w:b w:val="0"/>
                <w:bCs w:val="0"/>
                <w:i w:val="0"/>
                <w:iCs w:val="0"/>
                <w:color w:val="333333"/>
                <w:sz w:val="24"/>
                <w:szCs w:val="24"/>
                <w:u w:val="none"/>
                <w:lang w:val="en-US" w:eastAsia="zh-CN"/>
              </w:rPr>
              <w:t>中标人</w:t>
            </w:r>
            <w:r>
              <w:rPr>
                <w:rFonts w:ascii="宋体" w:hAnsi="宋体" w:eastAsia="宋体" w:cs="宋体"/>
                <w:b w:val="0"/>
                <w:bCs w:val="0"/>
                <w:i w:val="0"/>
                <w:iCs w:val="0"/>
                <w:color w:val="333333"/>
                <w:sz w:val="24"/>
                <w:szCs w:val="24"/>
                <w:u w:val="none"/>
              </w:rPr>
              <w:t>支付。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b w:val="0"/>
                <w:bCs w:val="0"/>
                <w:i w:val="0"/>
                <w:iCs w:val="0"/>
                <w:color w:val="333333"/>
                <w:sz w:val="24"/>
                <w:szCs w:val="24"/>
                <w:u w:val="none"/>
              </w:rPr>
              <w:t>除另有约定外，招标人无须再向中标人另行支付其他任何费用及税费，包括但不限于食宿费、交通费、流转税、所得税等。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80" w:type="dxa"/>
            <w:vAlign w:val="center"/>
          </w:tcPr>
          <w:p>
            <w:pPr>
              <w:spacing w:line="500" w:lineRule="exact"/>
              <w:ind w:right="102"/>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1725" w:type="dxa"/>
            <w:vAlign w:val="center"/>
          </w:tcPr>
          <w:p>
            <w:pPr>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联合体投标</w:t>
            </w:r>
          </w:p>
        </w:tc>
        <w:tc>
          <w:tcPr>
            <w:tcW w:w="6718" w:type="dxa"/>
            <w:vAlign w:val="center"/>
          </w:tcPr>
          <w:p>
            <w:pPr>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w:t>
            </w:r>
            <w:r>
              <w:rPr>
                <w:rFonts w:hint="eastAsia" w:ascii="宋体" w:hAnsi="宋体" w:eastAsia="宋体" w:cs="宋体"/>
                <w:color w:val="000000" w:themeColor="text1"/>
                <w:sz w:val="24"/>
                <w:szCs w:val="24"/>
                <w:lang w:val="zh-CN"/>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80" w:type="dxa"/>
            <w:vAlign w:val="center"/>
          </w:tcPr>
          <w:p>
            <w:pPr>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1725" w:type="dxa"/>
          </w:tcPr>
          <w:p>
            <w:pPr>
              <w:spacing w:line="500" w:lineRule="exact"/>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服务地点</w:t>
            </w:r>
          </w:p>
        </w:tc>
        <w:tc>
          <w:tcPr>
            <w:tcW w:w="6718" w:type="dxa"/>
          </w:tcPr>
          <w:p>
            <w:pPr>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80" w:type="dxa"/>
            <w:vAlign w:val="center"/>
          </w:tcPr>
          <w:p>
            <w:pPr>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1725" w:type="dxa"/>
            <w:vAlign w:val="center"/>
          </w:tcPr>
          <w:p>
            <w:pPr>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服务期限</w:t>
            </w:r>
          </w:p>
        </w:tc>
        <w:tc>
          <w:tcPr>
            <w:tcW w:w="6718" w:type="dxa"/>
            <w:vAlign w:val="center"/>
          </w:tcPr>
          <w:p>
            <w:pPr>
              <w:pStyle w:val="80"/>
              <w:spacing w:line="360" w:lineRule="auto"/>
              <w:ind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highlight w:val="none"/>
              </w:rPr>
              <w:t>1、服务</w:t>
            </w:r>
            <w:r>
              <w:rPr>
                <w:rFonts w:hint="eastAsia" w:ascii="宋体" w:hAnsi="宋体" w:eastAsia="宋体" w:cs="宋体"/>
                <w:sz w:val="24"/>
                <w:szCs w:val="24"/>
                <w:highlight w:val="none"/>
              </w:rPr>
              <w:t>期限：1+X年（X≤</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），合同期满后根据履约情况，经合同双方协商一致，可续签合同，合同金额、服务内容保持不变。</w:t>
            </w:r>
          </w:p>
          <w:p>
            <w:pPr>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2、当出现以下因素时，采购人有权随时终止合同，中标供应商不得以任何理由提出索赔要求：（1）政策性调整；（2）因中标供应商原因发生安全事故。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80" w:type="dxa"/>
            <w:vAlign w:val="center"/>
          </w:tcPr>
          <w:p>
            <w:pPr>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725" w:type="dxa"/>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bCs/>
                <w:color w:val="000000"/>
                <w:sz w:val="24"/>
                <w:szCs w:val="24"/>
              </w:rPr>
              <w:t>踏勘现场</w:t>
            </w:r>
          </w:p>
        </w:tc>
        <w:tc>
          <w:tcPr>
            <w:tcW w:w="6718" w:type="dxa"/>
            <w:vAlign w:val="center"/>
          </w:tcPr>
          <w:p>
            <w:pPr>
              <w:spacing w:line="500" w:lineRule="exact"/>
              <w:rPr>
                <w:rFonts w:hint="eastAsia" w:ascii="宋体" w:hAnsi="宋体" w:eastAsia="宋体" w:cs="宋体"/>
                <w:color w:val="000000"/>
                <w:sz w:val="24"/>
                <w:szCs w:val="24"/>
                <w:lang w:val="zh-CN"/>
              </w:rPr>
            </w:pPr>
            <w:r>
              <w:rPr>
                <w:rFonts w:hint="eastAsia" w:ascii="宋体" w:hAnsi="宋体" w:eastAsia="宋体" w:cs="宋体"/>
                <w:b/>
                <w:color w:val="000000"/>
                <w:sz w:val="24"/>
                <w:szCs w:val="24"/>
              </w:rPr>
              <w:sym w:font="Wingdings" w:char="00FE"/>
            </w:r>
            <w:r>
              <w:rPr>
                <w:rFonts w:hint="eastAsia" w:ascii="宋体" w:hAnsi="宋体" w:eastAsia="宋体" w:cs="宋体"/>
                <w:bCs/>
                <w:color w:val="000000"/>
                <w:sz w:val="24"/>
                <w:szCs w:val="24"/>
              </w:rPr>
              <w:t>自行踏勘</w:t>
            </w:r>
            <w:r>
              <w:rPr>
                <w:rFonts w:hint="eastAsia" w:ascii="宋体" w:hAnsi="宋体" w:eastAsia="宋体" w:cs="宋体"/>
                <w:color w:val="000000"/>
                <w:sz w:val="24"/>
                <w:szCs w:val="24"/>
              </w:rPr>
              <w:t xml:space="preserve">  □采购人</w:t>
            </w:r>
            <w:r>
              <w:rPr>
                <w:rFonts w:hint="eastAsia" w:ascii="宋体" w:hAnsi="宋体" w:eastAsia="宋体" w:cs="宋体"/>
                <w:color w:val="000000"/>
                <w:sz w:val="24"/>
                <w:szCs w:val="24"/>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80" w:type="dxa"/>
            <w:vAlign w:val="center"/>
          </w:tcPr>
          <w:p>
            <w:pPr>
              <w:spacing w:line="50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1725" w:type="dxa"/>
            <w:vAlign w:val="center"/>
          </w:tcPr>
          <w:p>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本地化服务</w:t>
            </w:r>
          </w:p>
        </w:tc>
        <w:tc>
          <w:tcPr>
            <w:tcW w:w="6718" w:type="dxa"/>
            <w:vAlign w:val="center"/>
          </w:tcPr>
          <w:p>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本项目是否要求本地化服务能力：</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要求□不要求</w:t>
            </w:r>
          </w:p>
          <w:p>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本地化服务的能力是指具有以下条件之一：</w:t>
            </w:r>
          </w:p>
          <w:p>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1）在本地具有固定的办公场所及人员；</w:t>
            </w:r>
          </w:p>
          <w:p>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2）在本地注册成立的；</w:t>
            </w:r>
          </w:p>
          <w:p>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3）承诺成交即设立本地化服务机构。</w:t>
            </w:r>
          </w:p>
          <w:p>
            <w:pPr>
              <w:spacing w:line="500" w:lineRule="exact"/>
              <w:rPr>
                <w:rFonts w:hint="eastAsia" w:ascii="宋体" w:hAnsi="宋体" w:eastAsia="宋体" w:cs="宋体"/>
                <w:b/>
                <w:color w:val="000000"/>
                <w:sz w:val="24"/>
                <w:szCs w:val="24"/>
              </w:rPr>
            </w:pPr>
            <w:r>
              <w:rPr>
                <w:rFonts w:hint="eastAsia" w:ascii="宋体" w:hAnsi="宋体" w:eastAsia="宋体" w:cs="宋体"/>
                <w:color w:val="000000"/>
                <w:sz w:val="24"/>
                <w:szCs w:val="24"/>
              </w:rPr>
              <w:t>备注：“本地”系指：合肥市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180" w:type="dxa"/>
            <w:vAlign w:val="center"/>
          </w:tcPr>
          <w:p>
            <w:pPr>
              <w:spacing w:line="5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1725" w:type="dxa"/>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供应商业绩</w:t>
            </w:r>
          </w:p>
        </w:tc>
        <w:tc>
          <w:tcPr>
            <w:tcW w:w="6718" w:type="dxa"/>
            <w:vAlign w:val="center"/>
          </w:tcPr>
          <w:p>
            <w:pPr>
              <w:spacing w:line="500" w:lineRule="exact"/>
              <w:rPr>
                <w:rFonts w:hint="eastAsia" w:ascii="宋体" w:hAnsi="宋体" w:eastAsia="宋体" w:cs="宋体"/>
                <w:b/>
                <w:color w:val="auto"/>
                <w:sz w:val="24"/>
                <w:szCs w:val="24"/>
              </w:rPr>
            </w:pPr>
            <w:r>
              <w:rPr>
                <w:rFonts w:hint="eastAsia" w:ascii="宋体" w:hAnsi="宋体" w:eastAsia="宋体" w:cs="宋体"/>
                <w:color w:val="auto"/>
                <w:sz w:val="24"/>
                <w:szCs w:val="24"/>
              </w:rPr>
              <w:t>自 2020年 1月 1日以来（以合同签订时间为准），投标人具有单个合同中工程总投资额不少于200万元的市政工程项目跟踪审计业绩</w:t>
            </w:r>
            <w:r>
              <w:rPr>
                <w:rFonts w:hint="eastAsia" w:ascii="宋体" w:hAnsi="宋体" w:eastAsia="宋体" w:cs="宋体"/>
                <w:color w:val="auto"/>
                <w:sz w:val="24"/>
                <w:szCs w:val="24"/>
                <w:lang w:val="en-US" w:eastAsia="zh-CN"/>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80" w:type="dxa"/>
            <w:vAlign w:val="center"/>
          </w:tcPr>
          <w:p>
            <w:pPr>
              <w:spacing w:line="5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13</w:t>
            </w:r>
          </w:p>
        </w:tc>
        <w:tc>
          <w:tcPr>
            <w:tcW w:w="1725" w:type="dxa"/>
            <w:vAlign w:val="center"/>
          </w:tcPr>
          <w:p>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备注</w:t>
            </w:r>
          </w:p>
        </w:tc>
        <w:tc>
          <w:tcPr>
            <w:tcW w:w="6718" w:type="dxa"/>
            <w:vAlign w:val="center"/>
          </w:tcPr>
          <w:p>
            <w:pPr>
              <w:spacing w:line="500" w:lineRule="exact"/>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sz w:val="24"/>
                <w:szCs w:val="24"/>
              </w:rPr>
              <w:t xml:space="preserve">特别提醒：供应商参与投标，应当诚信守法、公平竞争。如有以提供虚假材料（包括但不限于虚假技术参数响应、虚假业绩、虚假证书、虚假检测报告等）、串通投标、隐瞒失信信息等谋取成交资格的行为，一经发现，将报监管部门严肃查处。 </w:t>
            </w:r>
          </w:p>
        </w:tc>
      </w:tr>
    </w:tbl>
    <w:p>
      <w:pPr>
        <w:bidi w:val="0"/>
        <w:jc w:val="both"/>
        <w:rPr>
          <w:rFonts w:hint="eastAsia"/>
          <w:b/>
          <w:bCs/>
          <w:sz w:val="32"/>
          <w:szCs w:val="32"/>
          <w:lang w:val="en-US" w:eastAsia="zh-CN"/>
        </w:rPr>
      </w:pPr>
    </w:p>
    <w:p>
      <w:pPr>
        <w:widowControl/>
        <w:kinsoku w:val="0"/>
        <w:autoSpaceDE w:val="0"/>
        <w:autoSpaceDN w:val="0"/>
        <w:adjustRightInd w:val="0"/>
        <w:snapToGrid w:val="0"/>
        <w:spacing w:before="101" w:line="226" w:lineRule="auto"/>
        <w:ind w:left="1898"/>
        <w:jc w:val="left"/>
        <w:textAlignment w:val="baseline"/>
        <w:rPr>
          <w:rFonts w:ascii="黑体" w:hAnsi="黑体" w:eastAsia="黑体" w:cs="黑体"/>
          <w:snapToGrid w:val="0"/>
          <w:color w:val="000000"/>
          <w:spacing w:val="8"/>
          <w:kern w:val="0"/>
          <w:sz w:val="31"/>
          <w:szCs w:val="31"/>
          <w:lang w:eastAsia="en-US"/>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一</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服务要求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（一）审核时限要求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1.进度款审核，在收到完整的进度款申报资料后3天内完成，并出具审核成果；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2.合同外造价变更测算、审核，在收到完整的报送资料后5日完成，并出具审核成果；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3.跟踪审计竣工结算审核时限：收到结算资料后10天完成，并出具审核说明及初审定案表；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审计开展期间，报审资料不齐全或被审计单位配合不力的，</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应认真做好工作记录，并及时向</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报告，因此延误时间不计入审计要求时限。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（二）</w:t>
      </w:r>
      <w:r>
        <w:rPr>
          <w:rFonts w:hint="eastAsia" w:asciiTheme="minorEastAsia" w:hAnsiTheme="minorEastAsia" w:eastAsiaTheme="minorEastAsia" w:cstheme="minorEastAsia"/>
          <w:b/>
          <w:bCs/>
          <w:sz w:val="24"/>
          <w:szCs w:val="24"/>
        </w:rPr>
        <w:t>人员要求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1.本项目需配备人员不少于5人，其中项目负责人1人</w:t>
      </w:r>
      <w:r>
        <w:rPr>
          <w:rFonts w:hint="eastAsia" w:asciiTheme="minorEastAsia" w:hAnsiTheme="minorEastAsia" w:cstheme="minorEastAsia"/>
          <w:color w:val="auto"/>
          <w:sz w:val="24"/>
          <w:szCs w:val="24"/>
          <w:lang w:val="en-US" w:eastAsia="zh-CN"/>
        </w:rPr>
        <w:t>，开标当天需提供开标前六个月的社保证明</w:t>
      </w:r>
      <w:r>
        <w:rPr>
          <w:rFonts w:hint="eastAsia" w:asciiTheme="minorEastAsia" w:hAnsiTheme="minorEastAsia" w:cstheme="minorEastAsia"/>
          <w:sz w:val="24"/>
          <w:szCs w:val="24"/>
          <w:lang w:val="en-US" w:eastAsia="zh-CN"/>
        </w:rPr>
        <w:t>。专业审计人员4人，</w:t>
      </w:r>
      <w:r>
        <w:rPr>
          <w:rFonts w:hint="eastAsia" w:asciiTheme="minorEastAsia" w:hAnsiTheme="minorEastAsia" w:eastAsiaTheme="minorEastAsia" w:cstheme="minorEastAsia"/>
          <w:sz w:val="24"/>
          <w:szCs w:val="24"/>
          <w:lang w:val="en-US" w:eastAsia="zh-CN"/>
        </w:rPr>
        <w:t>中标后</w:t>
      </w:r>
      <w:r>
        <w:rPr>
          <w:rFonts w:hint="eastAsia" w:asciiTheme="minorEastAsia" w:hAnsiTheme="minorEastAsia" w:cstheme="minorEastAsia"/>
          <w:sz w:val="24"/>
          <w:szCs w:val="24"/>
          <w:lang w:val="en-US" w:eastAsia="zh-CN"/>
        </w:rPr>
        <w:t>需</w:t>
      </w:r>
      <w:r>
        <w:rPr>
          <w:rFonts w:hint="eastAsia" w:asciiTheme="minorEastAsia" w:hAnsiTheme="minorEastAsia" w:eastAsiaTheme="minorEastAsia" w:cstheme="minorEastAsia"/>
          <w:sz w:val="24"/>
          <w:szCs w:val="24"/>
          <w:lang w:val="en-US" w:eastAsia="zh-CN"/>
        </w:rPr>
        <w:t>提供人员任职名单。</w:t>
      </w:r>
      <w:bookmarkStart w:id="10" w:name="_GoBack"/>
      <w:bookmarkEnd w:id="1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所报人员原则上不得调换。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.本项目禁止挂靠或转包，有下列情形之一，视同</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挂靠或转包，</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有权拒绝与</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签订合同或解除已签订的合同，并上报监管部门进行依法依规处理：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（1）合同签订后</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即申请投标所报人员进行调换，并申请调换人员达2人及以上的；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组织中标约谈及每月审计例会，要求上述人员配备需求表中的</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人员全部参加的，参加人员累计缺席超3人次的。</w:t>
      </w:r>
    </w:p>
    <w:p>
      <w:pPr>
        <w:keepNext w:val="0"/>
        <w:keepLines w:val="0"/>
        <w:pageBreakBefore w:val="0"/>
        <w:widowControl w:val="0"/>
        <w:tabs>
          <w:tab w:val="left" w:pos="7575"/>
        </w:tabs>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rPr>
      </w:pPr>
      <w:bookmarkStart w:id="9" w:name="_Toc482188644"/>
      <w:r>
        <w:rPr>
          <w:rFonts w:hint="eastAsia" w:asciiTheme="minorEastAsia" w:hAnsiTheme="minorEastAsia" w:eastAsiaTheme="minorEastAsia" w:cstheme="minorEastAsia"/>
          <w:b/>
          <w:sz w:val="24"/>
          <w:szCs w:val="24"/>
          <w:lang w:val="en-US" w:eastAsia="zh-CN"/>
        </w:rPr>
        <w:t>二</w:t>
      </w:r>
      <w:r>
        <w:rPr>
          <w:rFonts w:hint="eastAsia" w:asciiTheme="minorEastAsia" w:hAnsiTheme="minorEastAsia" w:eastAsiaTheme="minorEastAsia" w:cstheme="minorEastAsia"/>
          <w:b/>
          <w:sz w:val="24"/>
          <w:szCs w:val="24"/>
        </w:rPr>
        <w:t>、</w:t>
      </w:r>
      <w:bookmarkEnd w:id="9"/>
      <w:r>
        <w:rPr>
          <w:rFonts w:hint="eastAsia" w:asciiTheme="minorEastAsia" w:hAnsiTheme="minorEastAsia" w:eastAsiaTheme="minorEastAsia" w:cstheme="minorEastAsia"/>
          <w:b/>
          <w:sz w:val="24"/>
          <w:szCs w:val="24"/>
        </w:rPr>
        <w:t>报价要求</w:t>
      </w:r>
    </w:p>
    <w:p>
      <w:pPr>
        <w:keepNext w:val="0"/>
        <w:keepLines w:val="0"/>
        <w:pageBreakBefore w:val="0"/>
        <w:widowControl w:val="0"/>
        <w:tabs>
          <w:tab w:val="left" w:pos="757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w:t>
      </w:r>
      <w:r>
        <w:rPr>
          <w:rFonts w:hint="eastAsia" w:asciiTheme="minorEastAsia" w:hAnsiTheme="minorEastAsia" w:eastAsiaTheme="minorEastAsia" w:cstheme="minorEastAsia"/>
          <w:sz w:val="24"/>
          <w:szCs w:val="24"/>
          <w:lang w:eastAsia="zh-CN"/>
        </w:rPr>
        <w:t>预算为</w:t>
      </w:r>
      <w:r>
        <w:rPr>
          <w:rFonts w:hint="eastAsia" w:asciiTheme="minorEastAsia" w:hAnsiTheme="minorEastAsia" w:eastAsiaTheme="minorEastAsia" w:cstheme="minorEastAsia"/>
          <w:sz w:val="24"/>
          <w:szCs w:val="24"/>
          <w:lang w:val="en-US" w:eastAsia="zh-CN"/>
        </w:rPr>
        <w:t>28.5万元/年，投标人须</w:t>
      </w:r>
      <w:r>
        <w:rPr>
          <w:rFonts w:hint="eastAsia" w:asciiTheme="minorEastAsia" w:hAnsiTheme="minorEastAsia" w:eastAsiaTheme="minorEastAsia" w:cstheme="minorEastAsia"/>
          <w:sz w:val="24"/>
          <w:szCs w:val="24"/>
        </w:rPr>
        <w:t>报</w:t>
      </w:r>
      <w:r>
        <w:rPr>
          <w:rFonts w:hint="eastAsia" w:asciiTheme="minorEastAsia" w:hAnsiTheme="minorEastAsia" w:eastAsiaTheme="minorEastAsia" w:cstheme="minorEastAsia"/>
          <w:sz w:val="24"/>
          <w:szCs w:val="24"/>
          <w:lang w:eastAsia="zh-CN"/>
        </w:rPr>
        <w:t>出</w:t>
      </w:r>
      <w:r>
        <w:rPr>
          <w:rFonts w:hint="eastAsia" w:asciiTheme="minorEastAsia" w:hAnsiTheme="minorEastAsia" w:eastAsiaTheme="minorEastAsia" w:cstheme="minorEastAsia"/>
          <w:sz w:val="24"/>
          <w:szCs w:val="24"/>
          <w:lang w:val="en-US" w:eastAsia="zh-CN"/>
        </w:rPr>
        <w:t>费率</w:t>
      </w:r>
      <w:r>
        <w:rPr>
          <w:rFonts w:hint="eastAsia" w:asciiTheme="minorEastAsia" w:hAnsiTheme="minorEastAsia" w:cstheme="minorEastAsia"/>
          <w:sz w:val="24"/>
          <w:szCs w:val="24"/>
          <w:lang w:val="en-US" w:eastAsia="zh-CN"/>
        </w:rPr>
        <w:t>（＜50%）</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费用据实结算，全年</w:t>
      </w:r>
      <w:r>
        <w:rPr>
          <w:rFonts w:hint="eastAsia" w:asciiTheme="minorEastAsia" w:hAnsiTheme="minorEastAsia" w:eastAsiaTheme="minorEastAsia" w:cstheme="minorEastAsia"/>
          <w:sz w:val="24"/>
          <w:szCs w:val="24"/>
          <w:lang w:eastAsia="zh-CN"/>
        </w:rPr>
        <w:t>总价</w:t>
      </w:r>
      <w:r>
        <w:rPr>
          <w:rFonts w:hint="eastAsia" w:asciiTheme="minorEastAsia" w:hAnsiTheme="minorEastAsia" w:eastAsiaTheme="minorEastAsia" w:cstheme="minorEastAsia"/>
          <w:sz w:val="24"/>
          <w:szCs w:val="24"/>
        </w:rPr>
        <w:t>不得超过</w:t>
      </w:r>
      <w:r>
        <w:rPr>
          <w:rFonts w:hint="eastAsia" w:asciiTheme="minorEastAsia" w:hAnsiTheme="minorEastAsia" w:eastAsiaTheme="minorEastAsia" w:cstheme="minorEastAsia"/>
          <w:sz w:val="24"/>
          <w:szCs w:val="24"/>
          <w:lang w:eastAsia="zh-CN"/>
        </w:rPr>
        <w:t>项目预算</w:t>
      </w:r>
      <w:r>
        <w:rPr>
          <w:rFonts w:hint="eastAsia" w:asciiTheme="minorEastAsia" w:hAnsiTheme="minorEastAsia" w:eastAsiaTheme="minorEastAsia" w:cstheme="minorEastAsia"/>
          <w:sz w:val="24"/>
          <w:szCs w:val="24"/>
        </w:rPr>
        <w:t>。投标人应充分考虑本项目服务内容涉及范围较广，地点分散等特殊性以及工作要求后，谨慎报价。</w:t>
      </w:r>
    </w:p>
    <w:p>
      <w:pPr>
        <w:keepNext w:val="0"/>
        <w:keepLines w:val="0"/>
        <w:pageBreakBefore w:val="0"/>
        <w:widowControl w:val="0"/>
        <w:tabs>
          <w:tab w:val="left" w:pos="757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报价包含但不限于人员工资、办公费、通讯费、差旅费、食宿费、验收等为完成本次项目所发生的一切费用、税金。投标人自行考虑可能存在的各种风险、责任、义务等支出。后期不得以工程量与总概预算差距较大、延期、估计不足等理由提出任何增加服务价款的要求。</w:t>
      </w:r>
    </w:p>
    <w:p>
      <w:pPr>
        <w:keepNext w:val="0"/>
        <w:keepLines w:val="0"/>
        <w:pageBreakBefore w:val="0"/>
        <w:widowControl w:val="0"/>
        <w:tabs>
          <w:tab w:val="left" w:pos="7575"/>
        </w:tabs>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三</w:t>
      </w:r>
      <w:r>
        <w:rPr>
          <w:rFonts w:hint="eastAsia" w:asciiTheme="minorEastAsia" w:hAnsiTheme="minorEastAsia" w:eastAsiaTheme="minorEastAsia" w:cstheme="minorEastAsia"/>
          <w:b/>
          <w:sz w:val="24"/>
          <w:szCs w:val="24"/>
          <w:lang w:eastAsia="zh-CN"/>
        </w:rPr>
        <w:t>、评标方法和标准</w:t>
      </w:r>
    </w:p>
    <w:p>
      <w:pPr>
        <w:keepNext w:val="0"/>
        <w:keepLines w:val="0"/>
        <w:pageBreakBefore w:val="0"/>
        <w:widowControl w:val="0"/>
        <w:tabs>
          <w:tab w:val="left" w:pos="757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w:t>
      </w:r>
      <w:r>
        <w:rPr>
          <w:rFonts w:hint="eastAsia" w:asciiTheme="minorEastAsia" w:hAnsiTheme="minorEastAsia" w:eastAsiaTheme="minorEastAsia" w:cstheme="minorEastAsia"/>
          <w:sz w:val="24"/>
          <w:szCs w:val="24"/>
          <w:lang w:eastAsia="zh-CN"/>
        </w:rPr>
        <w:t>采用平均值竞价，</w:t>
      </w:r>
      <w:r>
        <w:rPr>
          <w:rFonts w:hint="eastAsia" w:asciiTheme="minorEastAsia" w:hAnsiTheme="minorEastAsia" w:eastAsiaTheme="minorEastAsia" w:cstheme="minorEastAsia"/>
          <w:sz w:val="24"/>
          <w:szCs w:val="24"/>
        </w:rPr>
        <w:t>具体评</w:t>
      </w:r>
      <w:r>
        <w:rPr>
          <w:rFonts w:hint="eastAsia" w:asciiTheme="minorEastAsia" w:hAnsiTheme="minorEastAsia" w:eastAsiaTheme="minorEastAsia" w:cstheme="minorEastAsia"/>
          <w:sz w:val="24"/>
          <w:szCs w:val="24"/>
          <w:lang w:eastAsia="zh-CN"/>
        </w:rPr>
        <w:t>定</w:t>
      </w:r>
      <w:r>
        <w:rPr>
          <w:rFonts w:hint="eastAsia" w:asciiTheme="minorEastAsia" w:hAnsiTheme="minorEastAsia" w:eastAsiaTheme="minorEastAsia" w:cstheme="minorEastAsia"/>
          <w:sz w:val="24"/>
          <w:szCs w:val="24"/>
        </w:rPr>
        <w:t>细则如下：</w:t>
      </w:r>
    </w:p>
    <w:p>
      <w:pPr>
        <w:keepNext w:val="0"/>
        <w:keepLines w:val="0"/>
        <w:pageBreakBefore w:val="0"/>
        <w:widowControl w:val="0"/>
        <w:tabs>
          <w:tab w:val="left" w:pos="757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基准价生成‌：</w:t>
      </w:r>
    </w:p>
    <w:p>
      <w:pPr>
        <w:keepNext w:val="0"/>
        <w:keepLines w:val="0"/>
        <w:pageBreakBefore w:val="0"/>
        <w:widowControl w:val="0"/>
        <w:tabs>
          <w:tab w:val="left" w:pos="757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‌首次计算‌：所有有效报价的算术平均值</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tabs>
          <w:tab w:val="left" w:pos="757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‌二次筛选‌：仅取≤首次均值的报价，二次平均确定最终基准价</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tabs>
          <w:tab w:val="left" w:pos="7575"/>
        </w:tabs>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（特别说明：≤首次均价的报价不够3家的，不再二次筛选，首次算术平均价即为最终基准价；</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首次均价的报价达3家及以上的，采用二次筛选。）</w:t>
      </w:r>
    </w:p>
    <w:p>
      <w:pPr>
        <w:keepNext w:val="0"/>
        <w:keepLines w:val="0"/>
        <w:pageBreakBefore w:val="0"/>
        <w:widowControl w:val="0"/>
        <w:tabs>
          <w:tab w:val="left" w:pos="757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‌中标候选人确定‌：</w:t>
      </w:r>
    </w:p>
    <w:p>
      <w:pPr>
        <w:keepNext w:val="0"/>
        <w:keepLines w:val="0"/>
        <w:pageBreakBefore w:val="0"/>
        <w:widowControl w:val="0"/>
        <w:tabs>
          <w:tab w:val="left" w:pos="757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报价与基准价‌偏差绝对值最小者优先‌；</w:t>
      </w:r>
    </w:p>
    <w:p>
      <w:pPr>
        <w:keepNext w:val="0"/>
        <w:keepLines w:val="0"/>
        <w:pageBreakBefore w:val="0"/>
        <w:widowControl w:val="0"/>
        <w:tabs>
          <w:tab w:val="left" w:pos="757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绝对值相同时，优先选择‌负偏差报价企业‌（即低于基准价）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lang w:eastAsia="zh-CN"/>
        </w:rPr>
        <w:t>、其他要求</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3"/>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r>
        <w:rPr>
          <w:rFonts w:hint="eastAsia" w:asciiTheme="minorEastAsia" w:hAnsiTheme="minorEastAsia" w:eastAsiaTheme="minorEastAsia" w:cstheme="minorEastAsia"/>
          <w:bCs/>
          <w:sz w:val="24"/>
          <w:szCs w:val="24"/>
          <w:lang w:eastAsia="zh-CN"/>
        </w:rPr>
        <w:t>中标人</w:t>
      </w:r>
      <w:r>
        <w:rPr>
          <w:rFonts w:hint="eastAsia" w:asciiTheme="minorEastAsia" w:hAnsiTheme="minorEastAsia" w:eastAsiaTheme="minorEastAsia" w:cstheme="minorEastAsia"/>
          <w:bCs/>
          <w:sz w:val="24"/>
          <w:szCs w:val="24"/>
        </w:rPr>
        <w:t>要切实提高造价审计质量，</w:t>
      </w:r>
      <w:r>
        <w:rPr>
          <w:rFonts w:hint="eastAsia" w:asciiTheme="minorEastAsia" w:hAnsiTheme="minorEastAsia" w:eastAsiaTheme="minorEastAsia" w:cstheme="minorEastAsia"/>
          <w:bCs/>
          <w:sz w:val="24"/>
          <w:szCs w:val="24"/>
          <w:lang w:eastAsia="zh-CN"/>
        </w:rPr>
        <w:t>采购人</w:t>
      </w:r>
      <w:r>
        <w:rPr>
          <w:rFonts w:hint="eastAsia" w:asciiTheme="minorEastAsia" w:hAnsiTheme="minorEastAsia" w:eastAsiaTheme="minorEastAsia" w:cstheme="minorEastAsia"/>
          <w:bCs/>
          <w:sz w:val="24"/>
          <w:szCs w:val="24"/>
        </w:rPr>
        <w:t>将对</w:t>
      </w:r>
      <w:r>
        <w:rPr>
          <w:rFonts w:hint="eastAsia" w:asciiTheme="minorEastAsia" w:hAnsiTheme="minorEastAsia" w:eastAsiaTheme="minorEastAsia" w:cstheme="minorEastAsia"/>
          <w:bCs/>
          <w:sz w:val="24"/>
          <w:szCs w:val="24"/>
          <w:lang w:eastAsia="zh-CN"/>
        </w:rPr>
        <w:t>中标人</w:t>
      </w:r>
      <w:r>
        <w:rPr>
          <w:rFonts w:hint="eastAsia" w:asciiTheme="minorEastAsia" w:hAnsiTheme="minorEastAsia" w:eastAsiaTheme="minorEastAsia" w:cstheme="minorEastAsia"/>
          <w:bCs/>
          <w:sz w:val="24"/>
          <w:szCs w:val="24"/>
        </w:rPr>
        <w:t>服务质量进行考核，考核内容、评分标准及结果运用按照</w:t>
      </w:r>
      <w:r>
        <w:rPr>
          <w:rFonts w:hint="eastAsia" w:asciiTheme="minorEastAsia" w:hAnsiTheme="minorEastAsia" w:eastAsiaTheme="minorEastAsia" w:cstheme="minorEastAsia"/>
          <w:bCs/>
          <w:sz w:val="24"/>
          <w:szCs w:val="24"/>
          <w:lang w:eastAsia="zh-CN"/>
        </w:rPr>
        <w:t>采购人</w:t>
      </w:r>
      <w:r>
        <w:rPr>
          <w:rFonts w:hint="eastAsia" w:asciiTheme="minorEastAsia" w:hAnsiTheme="minorEastAsia" w:eastAsiaTheme="minorEastAsia" w:cstheme="minorEastAsia"/>
          <w:bCs/>
          <w:sz w:val="24"/>
          <w:szCs w:val="24"/>
        </w:rPr>
        <w:t>相关考评制度执行。</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3"/>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2.若合同履行期间，合经区建设项目审计相关管理规定进行调整，对审计单位工作内容要求出现变化的，则</w:t>
      </w:r>
      <w:r>
        <w:rPr>
          <w:rFonts w:hint="eastAsia" w:asciiTheme="minorEastAsia" w:hAnsiTheme="minorEastAsia" w:eastAsiaTheme="minorEastAsia" w:cstheme="minorEastAsia"/>
          <w:bCs/>
          <w:sz w:val="24"/>
          <w:szCs w:val="24"/>
          <w:lang w:eastAsia="zh-CN"/>
        </w:rPr>
        <w:t>中标人</w:t>
      </w:r>
      <w:r>
        <w:rPr>
          <w:rFonts w:hint="eastAsia" w:asciiTheme="minorEastAsia" w:hAnsiTheme="minorEastAsia" w:eastAsiaTheme="minorEastAsia" w:cstheme="minorEastAsia"/>
          <w:bCs/>
          <w:sz w:val="24"/>
          <w:szCs w:val="24"/>
        </w:rPr>
        <w:t>必须无条件按新规定执行，并不得以工作内容增加、工作模式改变要求增加审计费。后期，经开区采用信息化系统进行审计工作管理，</w:t>
      </w:r>
      <w:r>
        <w:rPr>
          <w:rFonts w:hint="eastAsia" w:asciiTheme="minorEastAsia" w:hAnsiTheme="minorEastAsia" w:eastAsiaTheme="minorEastAsia" w:cstheme="minorEastAsia"/>
          <w:bCs/>
          <w:sz w:val="24"/>
          <w:szCs w:val="24"/>
          <w:lang w:eastAsia="zh-CN"/>
        </w:rPr>
        <w:t>中标人</w:t>
      </w:r>
      <w:r>
        <w:rPr>
          <w:rFonts w:hint="eastAsia" w:asciiTheme="minorEastAsia" w:hAnsiTheme="minorEastAsia" w:eastAsiaTheme="minorEastAsia" w:cstheme="minorEastAsia"/>
          <w:bCs/>
          <w:sz w:val="24"/>
          <w:szCs w:val="24"/>
        </w:rPr>
        <w:t>须服从</w:t>
      </w:r>
      <w:r>
        <w:rPr>
          <w:rFonts w:hint="eastAsia" w:asciiTheme="minorEastAsia" w:hAnsiTheme="minorEastAsia" w:eastAsiaTheme="minorEastAsia" w:cstheme="minorEastAsia"/>
          <w:bCs/>
          <w:sz w:val="24"/>
          <w:szCs w:val="24"/>
          <w:lang w:eastAsia="zh-CN"/>
        </w:rPr>
        <w:t>采购人</w:t>
      </w:r>
      <w:r>
        <w:rPr>
          <w:rFonts w:hint="eastAsia" w:asciiTheme="minorEastAsia" w:hAnsiTheme="minorEastAsia" w:eastAsiaTheme="minorEastAsia" w:cstheme="minorEastAsia"/>
          <w:bCs/>
          <w:sz w:val="24"/>
          <w:szCs w:val="24"/>
        </w:rPr>
        <w:t>统一安排，学习掌握经开区审计信息化系统用法，利用信息化平台开展工作。</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3"/>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w:t>
      </w:r>
      <w:r>
        <w:rPr>
          <w:rFonts w:hint="eastAsia" w:asciiTheme="minorEastAsia" w:hAnsiTheme="minorEastAsia" w:eastAsiaTheme="minorEastAsia" w:cstheme="minorEastAsia"/>
          <w:bCs/>
          <w:sz w:val="24"/>
          <w:szCs w:val="24"/>
        </w:rPr>
        <w:t>. 跟踪审计核减率要求。单项工程结算初审后，</w:t>
      </w:r>
      <w:r>
        <w:rPr>
          <w:rFonts w:hint="eastAsia" w:asciiTheme="minorEastAsia" w:hAnsiTheme="minorEastAsia" w:eastAsiaTheme="minorEastAsia" w:cstheme="minorEastAsia"/>
          <w:bCs/>
          <w:sz w:val="24"/>
          <w:szCs w:val="24"/>
          <w:lang w:eastAsia="zh-CN"/>
        </w:rPr>
        <w:t>采购人</w:t>
      </w:r>
      <w:r>
        <w:rPr>
          <w:rFonts w:hint="eastAsia" w:asciiTheme="minorEastAsia" w:hAnsiTheme="minorEastAsia" w:eastAsiaTheme="minorEastAsia" w:cstheme="minorEastAsia"/>
          <w:bCs/>
          <w:sz w:val="24"/>
          <w:szCs w:val="24"/>
        </w:rPr>
        <w:t>将另行委托审计单位进行终审。如其中任何一项单项工程终审核减率超过3%，则该合同结算价的20%不计取审计费，若超过5%，则该合同结算价的50%不计取审计费，若超过 8%，则该合同结算价全部不计取审计费；若本项目所有施工合同的合计结算价总核减率超过3%，则</w:t>
      </w:r>
      <w:r>
        <w:rPr>
          <w:rFonts w:hint="eastAsia" w:asciiTheme="minorEastAsia" w:hAnsiTheme="minorEastAsia" w:eastAsiaTheme="minorEastAsia" w:cstheme="minorEastAsia"/>
          <w:bCs/>
          <w:sz w:val="24"/>
          <w:szCs w:val="24"/>
          <w:lang w:val="en-US" w:eastAsia="zh-CN"/>
        </w:rPr>
        <w:t>采购人</w:t>
      </w:r>
      <w:r>
        <w:rPr>
          <w:rFonts w:hint="eastAsia" w:asciiTheme="minorEastAsia" w:hAnsiTheme="minorEastAsia" w:eastAsiaTheme="minorEastAsia" w:cstheme="minorEastAsia"/>
          <w:bCs/>
          <w:sz w:val="24"/>
          <w:szCs w:val="24"/>
        </w:rPr>
        <w:t>有权拒付剩余的跟踪审计费用。给</w:t>
      </w:r>
      <w:r>
        <w:rPr>
          <w:rFonts w:hint="eastAsia" w:asciiTheme="minorEastAsia" w:hAnsiTheme="minorEastAsia" w:eastAsiaTheme="minorEastAsia" w:cstheme="minorEastAsia"/>
          <w:bCs/>
          <w:sz w:val="24"/>
          <w:szCs w:val="24"/>
          <w:lang w:val="en-US" w:eastAsia="zh-CN"/>
        </w:rPr>
        <w:t>采购人</w:t>
      </w:r>
      <w:r>
        <w:rPr>
          <w:rFonts w:hint="eastAsia" w:asciiTheme="minorEastAsia" w:hAnsiTheme="minorEastAsia" w:eastAsiaTheme="minorEastAsia" w:cstheme="minorEastAsia"/>
          <w:bCs/>
          <w:sz w:val="24"/>
          <w:szCs w:val="24"/>
        </w:rPr>
        <w:t>带来重大损失或重大影响的，视情节轻重，</w:t>
      </w:r>
      <w:r>
        <w:rPr>
          <w:rFonts w:hint="eastAsia" w:asciiTheme="minorEastAsia" w:hAnsiTheme="minorEastAsia" w:eastAsiaTheme="minorEastAsia" w:cstheme="minorEastAsia"/>
          <w:bCs/>
          <w:sz w:val="24"/>
          <w:szCs w:val="24"/>
          <w:lang w:val="en-US" w:eastAsia="zh-CN"/>
        </w:rPr>
        <w:t>中标人</w:t>
      </w:r>
      <w:r>
        <w:rPr>
          <w:rFonts w:hint="eastAsia" w:asciiTheme="minorEastAsia" w:hAnsiTheme="minorEastAsia" w:eastAsiaTheme="minorEastAsia" w:cstheme="minorEastAsia"/>
          <w:bCs/>
          <w:sz w:val="24"/>
          <w:szCs w:val="24"/>
        </w:rPr>
        <w:t>按损失费用的10%—30%向</w:t>
      </w:r>
      <w:r>
        <w:rPr>
          <w:rFonts w:hint="eastAsia" w:asciiTheme="minorEastAsia" w:hAnsiTheme="minorEastAsia" w:cstheme="minorEastAsia"/>
          <w:bCs/>
          <w:sz w:val="24"/>
          <w:szCs w:val="24"/>
          <w:lang w:val="en-US" w:eastAsia="zh-CN"/>
        </w:rPr>
        <w:t>采购人</w:t>
      </w:r>
      <w:r>
        <w:rPr>
          <w:rFonts w:hint="eastAsia" w:asciiTheme="minorEastAsia" w:hAnsiTheme="minorEastAsia" w:eastAsiaTheme="minorEastAsia" w:cstheme="minorEastAsia"/>
          <w:bCs/>
          <w:sz w:val="24"/>
          <w:szCs w:val="24"/>
        </w:rPr>
        <w:t>赔偿。</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3"/>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4</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eastAsia="zh-CN"/>
        </w:rPr>
        <w:t>中标人</w:t>
      </w:r>
      <w:r>
        <w:rPr>
          <w:rFonts w:hint="eastAsia" w:asciiTheme="minorEastAsia" w:hAnsiTheme="minorEastAsia" w:eastAsiaTheme="minorEastAsia" w:cstheme="minorEastAsia"/>
          <w:bCs/>
          <w:sz w:val="24"/>
          <w:szCs w:val="24"/>
        </w:rPr>
        <w:t>所有人员必须熟悉合肥经济技术开发区建设环境，掌握并执行合肥经济技术开发区财政项目的建设程序和造价管理办法。</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3"/>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w:t>
      </w:r>
      <w:r>
        <w:rPr>
          <w:rFonts w:hint="eastAsia" w:asciiTheme="minorEastAsia" w:hAnsiTheme="minorEastAsia" w:eastAsiaTheme="minorEastAsia" w:cstheme="minorEastAsia"/>
          <w:bCs/>
          <w:sz w:val="24"/>
          <w:szCs w:val="24"/>
          <w:lang w:eastAsia="zh-CN"/>
        </w:rPr>
        <w:t>中标人</w:t>
      </w:r>
      <w:r>
        <w:rPr>
          <w:rFonts w:hint="eastAsia" w:asciiTheme="minorEastAsia" w:hAnsiTheme="minorEastAsia" w:eastAsiaTheme="minorEastAsia" w:cstheme="minorEastAsia"/>
          <w:bCs/>
          <w:sz w:val="24"/>
          <w:szCs w:val="24"/>
        </w:rPr>
        <w:t>应做到在跟审过程中，不得出具虚假报告、隐瞒审计中发现的违法、违规问题；不得滥用权限、徇私舞弊或者泄露相关秘密、个人隐私；上述情况一经发现，将移送有关部门处理，涉嫌犯罪的依法追究刑事责任。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bCs/>
          <w:sz w:val="24"/>
          <w:szCs w:val="24"/>
        </w:rPr>
        <w:t>7.</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应</w:t>
      </w:r>
      <w:r>
        <w:rPr>
          <w:rFonts w:hint="eastAsia" w:asciiTheme="minorEastAsia" w:hAnsiTheme="minorEastAsia" w:eastAsiaTheme="minorEastAsia" w:cstheme="minorEastAsia"/>
          <w:sz w:val="24"/>
          <w:szCs w:val="24"/>
          <w:lang w:eastAsia="zh-CN"/>
        </w:rPr>
        <w:t>做</w:t>
      </w:r>
      <w:r>
        <w:rPr>
          <w:rFonts w:hint="eastAsia" w:asciiTheme="minorEastAsia" w:hAnsiTheme="minorEastAsia" w:eastAsiaTheme="minorEastAsia" w:cstheme="minorEastAsia"/>
          <w:sz w:val="24"/>
          <w:szCs w:val="24"/>
        </w:rPr>
        <w:t>好审计人员的交通食宿等后勤保障，不得要求或暗示被审计单位车辆接送、安排食宿；审计人员工作餐安排在项目现场食堂的须缴纳就餐费用。</w:t>
      </w:r>
      <w:r>
        <w:rPr>
          <w:rFonts w:hint="eastAsia" w:asciiTheme="minorEastAsia" w:hAnsiTheme="minorEastAsia" w:eastAsiaTheme="minorEastAsia" w:cstheme="minorEastAsia"/>
          <w:sz w:val="24"/>
          <w:szCs w:val="24"/>
          <w:lang w:eastAsia="zh-CN"/>
        </w:rPr>
        <w:t>中标人</w:t>
      </w:r>
      <w:r>
        <w:rPr>
          <w:rFonts w:hint="eastAsia" w:asciiTheme="minorEastAsia" w:hAnsiTheme="minorEastAsia" w:eastAsiaTheme="minorEastAsia" w:cstheme="minorEastAsia"/>
          <w:sz w:val="24"/>
          <w:szCs w:val="24"/>
        </w:rPr>
        <w:t>进场开展审计前，应与相关被审计单位（施工单位）</w:t>
      </w:r>
      <w:r>
        <w:rPr>
          <w:rFonts w:hint="eastAsia" w:asciiTheme="minorEastAsia" w:hAnsiTheme="minorEastAsia" w:eastAsiaTheme="minorEastAsia" w:cstheme="minorEastAsia"/>
          <w:sz w:val="24"/>
          <w:szCs w:val="24"/>
          <w:highlight w:val="none"/>
        </w:rPr>
        <w:t>签订廉政协议</w:t>
      </w:r>
    </w:p>
    <w:p>
      <w:pPr>
        <w:pStyle w:val="6"/>
        <w:spacing w:before="166" w:line="219" w:lineRule="auto"/>
        <w:ind w:left="0" w:leftChars="0" w:firstLine="0" w:firstLineChars="0"/>
        <w:jc w:val="center"/>
        <w:rPr>
          <w:sz w:val="36"/>
          <w:szCs w:val="36"/>
        </w:rPr>
      </w:pPr>
      <w:r>
        <w:rPr>
          <w:b/>
          <w:bCs/>
          <w:spacing w:val="2"/>
          <w:sz w:val="36"/>
          <w:szCs w:val="36"/>
        </w:rPr>
        <w:t>公用公司本部及子公司工程项目跟踪审计委托项目日常性考核内容及评分标准明细表</w:t>
      </w:r>
    </w:p>
    <w:p>
      <w:pPr>
        <w:spacing w:line="262" w:lineRule="auto"/>
        <w:jc w:val="center"/>
        <w:rPr>
          <w:rFonts w:ascii="Arial"/>
          <w:sz w:val="21"/>
        </w:rPr>
      </w:pPr>
    </w:p>
    <w:p>
      <w:pPr>
        <w:pStyle w:val="6"/>
        <w:spacing w:before="68" w:line="223" w:lineRule="auto"/>
        <w:ind w:left="75"/>
        <w:rPr>
          <w:position w:val="1"/>
          <w:sz w:val="21"/>
          <w:szCs w:val="21"/>
        </w:rPr>
      </w:pPr>
      <w:r>
        <w:rPr>
          <w:position w:val="1"/>
          <w:sz w:val="21"/>
          <w:szCs w:val="21"/>
        </w:rPr>
        <w:t>项</w:t>
      </w:r>
      <w:r>
        <w:rPr>
          <w:rFonts w:hint="eastAsia"/>
          <w:position w:val="1"/>
          <w:sz w:val="21"/>
          <w:szCs w:val="21"/>
          <w:lang w:val="en-US" w:eastAsia="zh-CN"/>
        </w:rPr>
        <w:t>目</w:t>
      </w:r>
      <w:r>
        <w:rPr>
          <w:position w:val="1"/>
          <w:sz w:val="21"/>
          <w:szCs w:val="21"/>
        </w:rPr>
        <w:t>名称：</w:t>
      </w:r>
      <w:r>
        <w:rPr>
          <w:spacing w:val="1"/>
          <w:position w:val="1"/>
          <w:sz w:val="21"/>
          <w:szCs w:val="21"/>
        </w:rPr>
        <w:t xml:space="preserve">                                        </w:t>
      </w:r>
      <w:r>
        <w:rPr>
          <w:position w:val="1"/>
          <w:sz w:val="21"/>
          <w:szCs w:val="21"/>
        </w:rPr>
        <w:t xml:space="preserve">                                           考核时间：</w:t>
      </w:r>
    </w:p>
    <w:p/>
    <w:tbl>
      <w:tblPr>
        <w:tblStyle w:val="37"/>
        <w:tblW w:w="14400" w:type="dxa"/>
        <w:tblInd w:w="-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7"/>
        <w:gridCol w:w="1978"/>
        <w:gridCol w:w="5045"/>
        <w:gridCol w:w="3767"/>
        <w:gridCol w:w="1189"/>
        <w:gridCol w:w="13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077" w:type="dxa"/>
            <w:vAlign w:val="center"/>
          </w:tcPr>
          <w:p>
            <w:pPr>
              <w:pStyle w:val="36"/>
              <w:spacing w:before="200" w:line="219" w:lineRule="auto"/>
              <w:ind w:left="198"/>
              <w:jc w:val="left"/>
              <w:rPr>
                <w:sz w:val="21"/>
                <w:szCs w:val="21"/>
              </w:rPr>
            </w:pPr>
            <w:r>
              <w:rPr>
                <w:b/>
                <w:bCs/>
                <w:spacing w:val="-5"/>
                <w:sz w:val="21"/>
                <w:szCs w:val="21"/>
              </w:rPr>
              <w:t>类别</w:t>
            </w:r>
          </w:p>
        </w:tc>
        <w:tc>
          <w:tcPr>
            <w:tcW w:w="7023" w:type="dxa"/>
            <w:gridSpan w:val="2"/>
            <w:vAlign w:val="center"/>
          </w:tcPr>
          <w:p>
            <w:pPr>
              <w:pStyle w:val="36"/>
              <w:spacing w:before="200" w:line="219" w:lineRule="auto"/>
              <w:jc w:val="center"/>
              <w:rPr>
                <w:sz w:val="21"/>
                <w:szCs w:val="21"/>
              </w:rPr>
            </w:pPr>
            <w:r>
              <w:rPr>
                <w:b/>
                <w:bCs/>
                <w:spacing w:val="-20"/>
                <w:sz w:val="21"/>
                <w:szCs w:val="21"/>
              </w:rPr>
              <w:t>内</w:t>
            </w:r>
            <w:r>
              <w:rPr>
                <w:spacing w:val="24"/>
                <w:sz w:val="21"/>
                <w:szCs w:val="21"/>
              </w:rPr>
              <w:t xml:space="preserve">  </w:t>
            </w:r>
            <w:r>
              <w:rPr>
                <w:b/>
                <w:bCs/>
                <w:spacing w:val="-20"/>
                <w:sz w:val="21"/>
                <w:szCs w:val="21"/>
              </w:rPr>
              <w:t>容</w:t>
            </w:r>
          </w:p>
        </w:tc>
        <w:tc>
          <w:tcPr>
            <w:tcW w:w="3767" w:type="dxa"/>
            <w:vAlign w:val="center"/>
          </w:tcPr>
          <w:p>
            <w:pPr>
              <w:pStyle w:val="36"/>
              <w:spacing w:before="201" w:line="220" w:lineRule="auto"/>
              <w:jc w:val="center"/>
              <w:rPr>
                <w:sz w:val="21"/>
                <w:szCs w:val="21"/>
              </w:rPr>
            </w:pPr>
            <w:r>
              <w:rPr>
                <w:b/>
                <w:bCs/>
                <w:spacing w:val="-4"/>
                <w:sz w:val="21"/>
                <w:szCs w:val="21"/>
              </w:rPr>
              <w:t>评分标准</w:t>
            </w:r>
          </w:p>
        </w:tc>
        <w:tc>
          <w:tcPr>
            <w:tcW w:w="1189" w:type="dxa"/>
            <w:vAlign w:val="bottom"/>
          </w:tcPr>
          <w:p>
            <w:pPr>
              <w:pStyle w:val="36"/>
              <w:spacing w:before="30" w:line="219" w:lineRule="auto"/>
              <w:jc w:val="center"/>
              <w:rPr>
                <w:rFonts w:hint="default" w:eastAsiaTheme="minorEastAsia"/>
                <w:sz w:val="21"/>
                <w:szCs w:val="21"/>
                <w:lang w:val="en-US" w:eastAsia="zh-CN"/>
              </w:rPr>
            </w:pPr>
            <w:r>
              <w:rPr>
                <w:rFonts w:hint="eastAsia"/>
                <w:b/>
                <w:bCs/>
                <w:sz w:val="21"/>
                <w:szCs w:val="21"/>
                <w:lang w:val="en-US" w:eastAsia="zh-CN"/>
              </w:rPr>
              <w:t>考核扣分</w:t>
            </w:r>
          </w:p>
        </w:tc>
        <w:tc>
          <w:tcPr>
            <w:tcW w:w="1344" w:type="dxa"/>
            <w:vAlign w:val="center"/>
          </w:tcPr>
          <w:p>
            <w:pPr>
              <w:pStyle w:val="36"/>
              <w:spacing w:before="201" w:line="221" w:lineRule="auto"/>
              <w:jc w:val="center"/>
              <w:rPr>
                <w:sz w:val="21"/>
                <w:szCs w:val="21"/>
              </w:rPr>
            </w:pPr>
            <w:r>
              <w:rPr>
                <w:b/>
                <w:bCs/>
                <w:spacing w:val="-5"/>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1077" w:type="dxa"/>
            <w:vMerge w:val="restart"/>
            <w:tcBorders>
              <w:bottom w:val="nil"/>
            </w:tcBorders>
            <w:vAlign w:val="center"/>
          </w:tcPr>
          <w:p>
            <w:pPr>
              <w:spacing w:line="245" w:lineRule="auto"/>
              <w:jc w:val="both"/>
              <w:rPr>
                <w:rFonts w:ascii="Arial"/>
                <w:snapToGrid w:val="0"/>
                <w:color w:val="000000"/>
                <w:sz w:val="21"/>
              </w:rPr>
            </w:pPr>
          </w:p>
          <w:p>
            <w:pPr>
              <w:pStyle w:val="36"/>
              <w:spacing w:before="69" w:line="279" w:lineRule="auto"/>
              <w:ind w:left="245" w:right="185" w:hanging="50"/>
              <w:jc w:val="both"/>
              <w:rPr>
                <w:rFonts w:hint="default" w:eastAsiaTheme="minorEastAsia"/>
                <w:sz w:val="21"/>
                <w:szCs w:val="21"/>
                <w:lang w:val="en-US" w:eastAsia="zh-CN"/>
              </w:rPr>
            </w:pPr>
            <w:r>
              <w:rPr>
                <w:rFonts w:hint="eastAsia"/>
                <w:sz w:val="21"/>
                <w:szCs w:val="21"/>
                <w:lang w:val="en-US" w:eastAsia="zh-CN"/>
              </w:rPr>
              <w:t>考核 （100分）</w:t>
            </w:r>
            <w:r>
              <w:rPr>
                <w:sz w:val="21"/>
                <w:szCs w:val="21"/>
              </w:rPr>
              <w:t xml:space="preserve"> </w:t>
            </w:r>
          </w:p>
        </w:tc>
        <w:tc>
          <w:tcPr>
            <w:tcW w:w="1978" w:type="dxa"/>
            <w:vAlign w:val="center"/>
          </w:tcPr>
          <w:p>
            <w:pPr>
              <w:pStyle w:val="36"/>
              <w:spacing w:before="210" w:line="275" w:lineRule="auto"/>
              <w:ind w:right="79"/>
              <w:jc w:val="center"/>
              <w:rPr>
                <w:sz w:val="21"/>
                <w:szCs w:val="21"/>
              </w:rPr>
            </w:pPr>
            <w:r>
              <w:rPr>
                <w:rFonts w:hint="eastAsia"/>
                <w:sz w:val="21"/>
                <w:szCs w:val="21"/>
                <w:lang w:val="en-US" w:eastAsia="zh-CN"/>
              </w:rPr>
              <w:t>1.</w:t>
            </w:r>
            <w:r>
              <w:rPr>
                <w:sz w:val="21"/>
                <w:szCs w:val="21"/>
              </w:rPr>
              <w:t>项目跟踪审计实施方</w:t>
            </w:r>
            <w:r>
              <w:rPr>
                <w:spacing w:val="-14"/>
                <w:sz w:val="21"/>
                <w:szCs w:val="21"/>
              </w:rPr>
              <w:t>案</w:t>
            </w:r>
            <w:r>
              <w:rPr>
                <w:rFonts w:hint="eastAsia"/>
                <w:spacing w:val="-14"/>
                <w:sz w:val="21"/>
                <w:szCs w:val="21"/>
                <w:lang w:eastAsia="zh-CN"/>
              </w:rPr>
              <w:t>（</w:t>
            </w:r>
            <w:r>
              <w:rPr>
                <w:rFonts w:hint="eastAsia"/>
                <w:spacing w:val="-14"/>
                <w:sz w:val="21"/>
                <w:szCs w:val="21"/>
                <w:lang w:val="en-US" w:eastAsia="zh-CN"/>
              </w:rPr>
              <w:t>30分</w:t>
            </w:r>
            <w:r>
              <w:rPr>
                <w:rFonts w:hint="eastAsia"/>
                <w:spacing w:val="-14"/>
                <w:sz w:val="21"/>
                <w:szCs w:val="21"/>
                <w:lang w:eastAsia="zh-CN"/>
              </w:rPr>
              <w:t>）</w:t>
            </w:r>
          </w:p>
        </w:tc>
        <w:tc>
          <w:tcPr>
            <w:tcW w:w="5045" w:type="dxa"/>
            <w:vAlign w:val="center"/>
          </w:tcPr>
          <w:p>
            <w:pPr>
              <w:pStyle w:val="36"/>
              <w:spacing w:before="37" w:line="258" w:lineRule="auto"/>
              <w:ind w:left="92" w:firstLine="49"/>
              <w:jc w:val="center"/>
              <w:rPr>
                <w:sz w:val="21"/>
                <w:szCs w:val="21"/>
              </w:rPr>
            </w:pPr>
            <w:r>
              <w:rPr>
                <w:spacing w:val="-11"/>
                <w:sz w:val="21"/>
                <w:szCs w:val="21"/>
              </w:rPr>
              <w:t>1.方案内容：项目基本情况、编制依据、人员配</w:t>
            </w:r>
            <w:r>
              <w:rPr>
                <w:spacing w:val="-12"/>
                <w:sz w:val="21"/>
                <w:szCs w:val="21"/>
              </w:rPr>
              <w:t>备及</w:t>
            </w:r>
            <w:r>
              <w:rPr>
                <w:sz w:val="21"/>
                <w:szCs w:val="21"/>
              </w:rPr>
              <w:t xml:space="preserve"> </w:t>
            </w:r>
            <w:r>
              <w:rPr>
                <w:spacing w:val="-9"/>
                <w:sz w:val="21"/>
                <w:szCs w:val="21"/>
              </w:rPr>
              <w:t>分工、审查内容范围及重难点、其他内容；2.</w:t>
            </w:r>
            <w:r>
              <w:rPr>
                <w:spacing w:val="-10"/>
                <w:sz w:val="21"/>
                <w:szCs w:val="21"/>
              </w:rPr>
              <w:t>协审单</w:t>
            </w:r>
            <w:r>
              <w:rPr>
                <w:spacing w:val="-1"/>
                <w:sz w:val="21"/>
                <w:szCs w:val="21"/>
              </w:rPr>
              <w:t>位公司内部进行审查批准后盖章。</w:t>
            </w:r>
          </w:p>
        </w:tc>
        <w:tc>
          <w:tcPr>
            <w:tcW w:w="3767" w:type="dxa"/>
            <w:vAlign w:val="center"/>
          </w:tcPr>
          <w:p>
            <w:pPr>
              <w:pStyle w:val="36"/>
              <w:spacing w:before="68" w:line="249" w:lineRule="auto"/>
              <w:ind w:left="95" w:right="81"/>
              <w:jc w:val="center"/>
              <w:rPr>
                <w:sz w:val="21"/>
                <w:szCs w:val="21"/>
              </w:rPr>
            </w:pPr>
            <w:r>
              <w:rPr>
                <w:sz w:val="21"/>
                <w:szCs w:val="21"/>
              </w:rPr>
              <w:t>没有方案扣20分：未经内部审批的扣10</w:t>
            </w:r>
            <w:r>
              <w:rPr>
                <w:spacing w:val="9"/>
                <w:sz w:val="21"/>
                <w:szCs w:val="21"/>
              </w:rPr>
              <w:t xml:space="preserve"> </w:t>
            </w:r>
            <w:r>
              <w:rPr>
                <w:spacing w:val="3"/>
                <w:sz w:val="21"/>
                <w:szCs w:val="21"/>
              </w:rPr>
              <w:t>分；未盖章的扣5分；主要内容缺项的</w:t>
            </w:r>
            <w:r>
              <w:rPr>
                <w:spacing w:val="9"/>
                <w:sz w:val="21"/>
                <w:szCs w:val="21"/>
              </w:rPr>
              <w:t xml:space="preserve"> </w:t>
            </w:r>
            <w:r>
              <w:rPr>
                <w:spacing w:val="-1"/>
                <w:sz w:val="21"/>
                <w:szCs w:val="21"/>
              </w:rPr>
              <w:t>每项扣2分。</w:t>
            </w:r>
          </w:p>
        </w:tc>
        <w:tc>
          <w:tcPr>
            <w:tcW w:w="1189" w:type="dxa"/>
            <w:vAlign w:val="top"/>
          </w:tcPr>
          <w:p>
            <w:pPr>
              <w:rPr>
                <w:rFonts w:ascii="Arial"/>
                <w:snapToGrid w:val="0"/>
                <w:color w:val="000000"/>
                <w:sz w:val="21"/>
              </w:rPr>
            </w:pPr>
          </w:p>
        </w:tc>
        <w:tc>
          <w:tcPr>
            <w:tcW w:w="1344" w:type="dxa"/>
            <w:vAlign w:val="top"/>
          </w:tcPr>
          <w:p>
            <w:pPr>
              <w:rPr>
                <w:rFonts w:ascii="Arial"/>
                <w:snapToGrid w:val="0"/>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77" w:type="dxa"/>
            <w:vMerge w:val="continue"/>
            <w:tcBorders>
              <w:top w:val="nil"/>
              <w:bottom w:val="nil"/>
            </w:tcBorders>
            <w:vAlign w:val="center"/>
          </w:tcPr>
          <w:p>
            <w:pPr>
              <w:jc w:val="both"/>
              <w:rPr>
                <w:rFonts w:ascii="Arial"/>
                <w:snapToGrid w:val="0"/>
                <w:color w:val="000000"/>
                <w:sz w:val="21"/>
              </w:rPr>
            </w:pPr>
          </w:p>
        </w:tc>
        <w:tc>
          <w:tcPr>
            <w:tcW w:w="1978" w:type="dxa"/>
            <w:vAlign w:val="center"/>
          </w:tcPr>
          <w:p>
            <w:pPr>
              <w:pStyle w:val="36"/>
              <w:spacing w:before="239" w:line="286" w:lineRule="auto"/>
              <w:ind w:right="218"/>
              <w:jc w:val="center"/>
              <w:rPr>
                <w:sz w:val="21"/>
                <w:szCs w:val="21"/>
              </w:rPr>
            </w:pPr>
            <w:r>
              <w:rPr>
                <w:rFonts w:hint="eastAsia"/>
                <w:spacing w:val="-2"/>
                <w:sz w:val="21"/>
                <w:szCs w:val="21"/>
                <w:lang w:val="en-US" w:eastAsia="zh-CN"/>
              </w:rPr>
              <w:t>2.</w:t>
            </w:r>
            <w:r>
              <w:rPr>
                <w:spacing w:val="-2"/>
                <w:sz w:val="21"/>
                <w:szCs w:val="21"/>
              </w:rPr>
              <w:t>重大事项报告情况</w:t>
            </w:r>
            <w:r>
              <w:rPr>
                <w:rFonts w:hint="eastAsia"/>
                <w:spacing w:val="-2"/>
                <w:sz w:val="21"/>
                <w:szCs w:val="21"/>
                <w:lang w:eastAsia="zh-CN"/>
              </w:rPr>
              <w:t>（</w:t>
            </w:r>
            <w:r>
              <w:rPr>
                <w:rFonts w:hint="eastAsia"/>
                <w:spacing w:val="-2"/>
                <w:sz w:val="21"/>
                <w:szCs w:val="21"/>
                <w:lang w:val="en-US" w:eastAsia="zh-CN"/>
              </w:rPr>
              <w:t>20分</w:t>
            </w:r>
            <w:r>
              <w:rPr>
                <w:rFonts w:hint="eastAsia"/>
                <w:spacing w:val="-2"/>
                <w:sz w:val="21"/>
                <w:szCs w:val="21"/>
                <w:lang w:eastAsia="zh-CN"/>
              </w:rPr>
              <w:t>）</w:t>
            </w:r>
          </w:p>
        </w:tc>
        <w:tc>
          <w:tcPr>
            <w:tcW w:w="5045" w:type="dxa"/>
            <w:vAlign w:val="center"/>
          </w:tcPr>
          <w:p>
            <w:pPr>
              <w:pStyle w:val="36"/>
              <w:spacing w:before="60" w:line="269" w:lineRule="auto"/>
              <w:ind w:left="92"/>
              <w:jc w:val="center"/>
              <w:rPr>
                <w:sz w:val="21"/>
                <w:szCs w:val="21"/>
              </w:rPr>
            </w:pPr>
            <w:r>
              <w:rPr>
                <w:spacing w:val="-5"/>
                <w:sz w:val="21"/>
                <w:szCs w:val="21"/>
              </w:rPr>
              <w:t>遇工程管理或其他程序不合理、或相关参建单位失</w:t>
            </w:r>
            <w:r>
              <w:rPr>
                <w:spacing w:val="1"/>
                <w:sz w:val="21"/>
                <w:szCs w:val="21"/>
              </w:rPr>
              <w:t xml:space="preserve">  </w:t>
            </w:r>
            <w:r>
              <w:rPr>
                <w:spacing w:val="-10"/>
                <w:sz w:val="21"/>
                <w:szCs w:val="21"/>
              </w:rPr>
              <w:t>误、失职可能导致项目损失或投资损失的重大事项，</w:t>
            </w:r>
            <w:r>
              <w:rPr>
                <w:spacing w:val="13"/>
                <w:sz w:val="21"/>
                <w:szCs w:val="21"/>
              </w:rPr>
              <w:t xml:space="preserve"> </w:t>
            </w:r>
            <w:r>
              <w:rPr>
                <w:spacing w:val="-5"/>
                <w:sz w:val="21"/>
                <w:szCs w:val="21"/>
              </w:rPr>
              <w:t>应书面报告分析过程原因，提出建议。</w:t>
            </w:r>
          </w:p>
        </w:tc>
        <w:tc>
          <w:tcPr>
            <w:tcW w:w="3767" w:type="dxa"/>
            <w:vAlign w:val="center"/>
          </w:tcPr>
          <w:p>
            <w:pPr>
              <w:pStyle w:val="36"/>
              <w:spacing w:before="239" w:line="283" w:lineRule="auto"/>
              <w:ind w:left="95" w:right="100"/>
              <w:jc w:val="center"/>
              <w:rPr>
                <w:sz w:val="21"/>
                <w:szCs w:val="21"/>
              </w:rPr>
            </w:pPr>
            <w:r>
              <w:rPr>
                <w:spacing w:val="-1"/>
                <w:sz w:val="21"/>
                <w:szCs w:val="21"/>
              </w:rPr>
              <w:t>应报告未报告的扣5分/次，未按要求形</w:t>
            </w:r>
            <w:r>
              <w:rPr>
                <w:spacing w:val="8"/>
                <w:sz w:val="21"/>
                <w:szCs w:val="21"/>
              </w:rPr>
              <w:t xml:space="preserve"> </w:t>
            </w:r>
            <w:r>
              <w:rPr>
                <w:spacing w:val="-1"/>
                <w:sz w:val="21"/>
                <w:szCs w:val="21"/>
              </w:rPr>
              <w:t>式报告的扣2分/次。</w:t>
            </w:r>
          </w:p>
        </w:tc>
        <w:tc>
          <w:tcPr>
            <w:tcW w:w="1189" w:type="dxa"/>
            <w:vAlign w:val="top"/>
          </w:tcPr>
          <w:p>
            <w:pPr>
              <w:rPr>
                <w:rFonts w:ascii="Arial"/>
                <w:snapToGrid w:val="0"/>
                <w:color w:val="000000"/>
                <w:sz w:val="21"/>
              </w:rPr>
            </w:pPr>
          </w:p>
        </w:tc>
        <w:tc>
          <w:tcPr>
            <w:tcW w:w="1344" w:type="dxa"/>
            <w:vAlign w:val="top"/>
          </w:tcPr>
          <w:p>
            <w:pPr>
              <w:rPr>
                <w:rFonts w:ascii="Arial"/>
                <w:snapToGrid w:val="0"/>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77" w:type="dxa"/>
            <w:vMerge w:val="continue"/>
            <w:tcBorders>
              <w:top w:val="nil"/>
              <w:bottom w:val="nil"/>
            </w:tcBorders>
            <w:vAlign w:val="center"/>
          </w:tcPr>
          <w:p>
            <w:pPr>
              <w:jc w:val="both"/>
              <w:rPr>
                <w:rFonts w:ascii="Arial"/>
                <w:snapToGrid w:val="0"/>
                <w:color w:val="000000"/>
                <w:sz w:val="21"/>
              </w:rPr>
            </w:pPr>
          </w:p>
        </w:tc>
        <w:tc>
          <w:tcPr>
            <w:tcW w:w="1978" w:type="dxa"/>
            <w:vAlign w:val="center"/>
          </w:tcPr>
          <w:p>
            <w:pPr>
              <w:pStyle w:val="36"/>
              <w:spacing w:before="84" w:line="235" w:lineRule="auto"/>
              <w:ind w:right="198"/>
              <w:jc w:val="center"/>
              <w:rPr>
                <w:sz w:val="21"/>
                <w:szCs w:val="21"/>
              </w:rPr>
            </w:pPr>
            <w:r>
              <w:rPr>
                <w:rFonts w:hint="eastAsia"/>
                <w:sz w:val="21"/>
                <w:szCs w:val="21"/>
                <w:lang w:val="en-US" w:eastAsia="zh-CN"/>
              </w:rPr>
              <w:t>3.</w:t>
            </w:r>
            <w:r>
              <w:rPr>
                <w:sz w:val="21"/>
                <w:szCs w:val="21"/>
              </w:rPr>
              <w:t>人员派驻现场情况</w:t>
            </w:r>
            <w:r>
              <w:rPr>
                <w:rFonts w:hint="eastAsia"/>
                <w:sz w:val="21"/>
                <w:szCs w:val="21"/>
                <w:lang w:eastAsia="zh-CN"/>
              </w:rPr>
              <w:t>（</w:t>
            </w:r>
            <w:r>
              <w:rPr>
                <w:rFonts w:hint="eastAsia"/>
                <w:sz w:val="21"/>
                <w:szCs w:val="21"/>
                <w:lang w:val="en-US" w:eastAsia="zh-CN"/>
              </w:rPr>
              <w:t>10分</w:t>
            </w:r>
            <w:r>
              <w:rPr>
                <w:rFonts w:hint="eastAsia"/>
                <w:sz w:val="21"/>
                <w:szCs w:val="21"/>
                <w:lang w:eastAsia="zh-CN"/>
              </w:rPr>
              <w:t>）</w:t>
            </w:r>
          </w:p>
        </w:tc>
        <w:tc>
          <w:tcPr>
            <w:tcW w:w="5045" w:type="dxa"/>
            <w:vAlign w:val="center"/>
          </w:tcPr>
          <w:p>
            <w:pPr>
              <w:pStyle w:val="36"/>
              <w:spacing w:before="213" w:line="219" w:lineRule="auto"/>
              <w:ind w:left="92"/>
              <w:jc w:val="center"/>
              <w:rPr>
                <w:sz w:val="21"/>
                <w:szCs w:val="21"/>
              </w:rPr>
            </w:pPr>
            <w:r>
              <w:rPr>
                <w:spacing w:val="-1"/>
                <w:sz w:val="21"/>
                <w:szCs w:val="21"/>
              </w:rPr>
              <w:t>跟审驻场人员每个项目每周到场不少于半天</w:t>
            </w:r>
          </w:p>
        </w:tc>
        <w:tc>
          <w:tcPr>
            <w:tcW w:w="3767" w:type="dxa"/>
            <w:vAlign w:val="center"/>
          </w:tcPr>
          <w:p>
            <w:pPr>
              <w:pStyle w:val="36"/>
              <w:spacing w:before="212" w:line="219" w:lineRule="auto"/>
              <w:jc w:val="center"/>
              <w:rPr>
                <w:rFonts w:hint="default" w:eastAsiaTheme="minorEastAsia"/>
                <w:color w:val="auto"/>
                <w:sz w:val="21"/>
                <w:szCs w:val="21"/>
                <w:lang w:val="en-US" w:eastAsia="zh-CN"/>
              </w:rPr>
            </w:pPr>
            <w:r>
              <w:rPr>
                <w:color w:val="auto"/>
                <w:spacing w:val="-1"/>
                <w:sz w:val="21"/>
                <w:szCs w:val="21"/>
              </w:rPr>
              <w:t>提供到场证明，每少半天或一次扣</w:t>
            </w:r>
            <w:r>
              <w:rPr>
                <w:rFonts w:hint="eastAsia"/>
                <w:color w:val="auto"/>
                <w:spacing w:val="-1"/>
                <w:sz w:val="21"/>
                <w:szCs w:val="21"/>
                <w:lang w:val="en-US" w:eastAsia="zh-CN"/>
              </w:rPr>
              <w:t>1</w:t>
            </w:r>
            <w:r>
              <w:rPr>
                <w:color w:val="auto"/>
                <w:spacing w:val="-1"/>
                <w:sz w:val="21"/>
                <w:szCs w:val="21"/>
              </w:rPr>
              <w:t>分</w:t>
            </w:r>
            <w:r>
              <w:rPr>
                <w:rFonts w:hint="eastAsia"/>
                <w:color w:val="auto"/>
                <w:spacing w:val="-1"/>
                <w:sz w:val="21"/>
                <w:szCs w:val="21"/>
                <w:lang w:val="en-US" w:eastAsia="zh-CN"/>
              </w:rPr>
              <w:t>。</w:t>
            </w:r>
          </w:p>
        </w:tc>
        <w:tc>
          <w:tcPr>
            <w:tcW w:w="1189" w:type="dxa"/>
            <w:vAlign w:val="top"/>
          </w:tcPr>
          <w:p>
            <w:pPr>
              <w:rPr>
                <w:rFonts w:ascii="Arial"/>
                <w:snapToGrid w:val="0"/>
                <w:color w:val="auto"/>
                <w:sz w:val="21"/>
              </w:rPr>
            </w:pPr>
          </w:p>
        </w:tc>
        <w:tc>
          <w:tcPr>
            <w:tcW w:w="1344" w:type="dxa"/>
            <w:vAlign w:val="top"/>
          </w:tcPr>
          <w:p>
            <w:pPr>
              <w:rPr>
                <w:rFonts w:ascii="Arial"/>
                <w:snapToGrid w:val="0"/>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077" w:type="dxa"/>
            <w:vMerge w:val="continue"/>
            <w:tcBorders>
              <w:top w:val="nil"/>
              <w:bottom w:val="nil"/>
            </w:tcBorders>
            <w:vAlign w:val="center"/>
          </w:tcPr>
          <w:p>
            <w:pPr>
              <w:jc w:val="both"/>
              <w:rPr>
                <w:rFonts w:ascii="Arial"/>
                <w:snapToGrid w:val="0"/>
                <w:color w:val="000000"/>
                <w:sz w:val="21"/>
              </w:rPr>
            </w:pPr>
          </w:p>
        </w:tc>
        <w:tc>
          <w:tcPr>
            <w:tcW w:w="1978" w:type="dxa"/>
            <w:vAlign w:val="center"/>
          </w:tcPr>
          <w:p>
            <w:pPr>
              <w:pStyle w:val="36"/>
              <w:spacing w:before="105" w:line="252" w:lineRule="auto"/>
              <w:ind w:right="80"/>
              <w:jc w:val="both"/>
              <w:rPr>
                <w:rFonts w:hint="eastAsia" w:eastAsiaTheme="minorEastAsia"/>
                <w:sz w:val="21"/>
                <w:szCs w:val="21"/>
                <w:lang w:eastAsia="zh-CN"/>
              </w:rPr>
            </w:pPr>
            <w:r>
              <w:rPr>
                <w:rFonts w:hint="eastAsia"/>
                <w:spacing w:val="1"/>
                <w:sz w:val="21"/>
                <w:szCs w:val="21"/>
                <w:lang w:val="en-US" w:eastAsia="zh-CN"/>
              </w:rPr>
              <w:t>4.</w:t>
            </w:r>
            <w:r>
              <w:rPr>
                <w:spacing w:val="1"/>
                <w:sz w:val="21"/>
                <w:szCs w:val="21"/>
              </w:rPr>
              <w:t>出席项目建设重要例</w:t>
            </w:r>
            <w:r>
              <w:rPr>
                <w:spacing w:val="5"/>
                <w:sz w:val="21"/>
                <w:szCs w:val="21"/>
              </w:rPr>
              <w:t>会等情况</w:t>
            </w:r>
            <w:r>
              <w:rPr>
                <w:rFonts w:hint="eastAsia"/>
                <w:spacing w:val="5"/>
                <w:sz w:val="21"/>
                <w:szCs w:val="21"/>
                <w:lang w:eastAsia="zh-CN"/>
              </w:rPr>
              <w:t>（</w:t>
            </w:r>
            <w:r>
              <w:rPr>
                <w:rFonts w:hint="eastAsia"/>
                <w:spacing w:val="5"/>
                <w:sz w:val="21"/>
                <w:szCs w:val="21"/>
                <w:lang w:val="en-US" w:eastAsia="zh-CN"/>
              </w:rPr>
              <w:t>10分</w:t>
            </w:r>
            <w:r>
              <w:rPr>
                <w:rFonts w:hint="eastAsia"/>
                <w:spacing w:val="5"/>
                <w:sz w:val="21"/>
                <w:szCs w:val="21"/>
                <w:lang w:eastAsia="zh-CN"/>
              </w:rPr>
              <w:t>）</w:t>
            </w:r>
          </w:p>
        </w:tc>
        <w:tc>
          <w:tcPr>
            <w:tcW w:w="5045" w:type="dxa"/>
            <w:vAlign w:val="center"/>
          </w:tcPr>
          <w:p>
            <w:pPr>
              <w:pStyle w:val="36"/>
              <w:spacing w:before="94" w:line="257" w:lineRule="auto"/>
              <w:ind w:left="92"/>
              <w:jc w:val="center"/>
              <w:rPr>
                <w:sz w:val="21"/>
                <w:szCs w:val="21"/>
              </w:rPr>
            </w:pPr>
            <w:r>
              <w:rPr>
                <w:spacing w:val="-10"/>
                <w:sz w:val="21"/>
                <w:szCs w:val="21"/>
              </w:rPr>
              <w:t>参加工程项目例会，依据会议纪要及签到表或建设单</w:t>
            </w:r>
            <w:r>
              <w:rPr>
                <w:spacing w:val="-1"/>
                <w:sz w:val="21"/>
                <w:szCs w:val="21"/>
              </w:rPr>
              <w:t>位相关资料和反映的情况。</w:t>
            </w:r>
          </w:p>
        </w:tc>
        <w:tc>
          <w:tcPr>
            <w:tcW w:w="3767" w:type="dxa"/>
            <w:vAlign w:val="center"/>
          </w:tcPr>
          <w:p>
            <w:pPr>
              <w:pStyle w:val="36"/>
              <w:spacing w:before="243" w:line="219" w:lineRule="auto"/>
              <w:ind w:left="125"/>
              <w:jc w:val="center"/>
              <w:rPr>
                <w:sz w:val="21"/>
                <w:szCs w:val="21"/>
              </w:rPr>
            </w:pPr>
            <w:r>
              <w:rPr>
                <w:sz w:val="21"/>
                <w:szCs w:val="21"/>
              </w:rPr>
              <w:t>未按要求参加会议的一次扣1分。</w:t>
            </w:r>
          </w:p>
        </w:tc>
        <w:tc>
          <w:tcPr>
            <w:tcW w:w="1189" w:type="dxa"/>
            <w:vAlign w:val="top"/>
          </w:tcPr>
          <w:p>
            <w:pPr>
              <w:rPr>
                <w:rFonts w:ascii="Arial"/>
                <w:snapToGrid w:val="0"/>
                <w:color w:val="000000"/>
                <w:sz w:val="21"/>
              </w:rPr>
            </w:pPr>
          </w:p>
        </w:tc>
        <w:tc>
          <w:tcPr>
            <w:tcW w:w="1344" w:type="dxa"/>
            <w:vAlign w:val="top"/>
          </w:tcPr>
          <w:p>
            <w:pPr>
              <w:rPr>
                <w:rFonts w:ascii="Arial"/>
                <w:snapToGrid w:val="0"/>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077" w:type="dxa"/>
            <w:vMerge w:val="continue"/>
            <w:tcBorders>
              <w:top w:val="nil"/>
              <w:bottom w:val="nil"/>
            </w:tcBorders>
            <w:vAlign w:val="center"/>
          </w:tcPr>
          <w:p>
            <w:pPr>
              <w:jc w:val="both"/>
              <w:rPr>
                <w:rFonts w:ascii="Arial"/>
                <w:snapToGrid w:val="0"/>
                <w:color w:val="000000"/>
                <w:sz w:val="21"/>
              </w:rPr>
            </w:pPr>
          </w:p>
        </w:tc>
        <w:tc>
          <w:tcPr>
            <w:tcW w:w="1978" w:type="dxa"/>
            <w:vAlign w:val="center"/>
          </w:tcPr>
          <w:p>
            <w:pPr>
              <w:pStyle w:val="36"/>
              <w:spacing w:before="68" w:line="218" w:lineRule="auto"/>
              <w:jc w:val="center"/>
              <w:rPr>
                <w:rFonts w:hint="eastAsia" w:eastAsiaTheme="minorEastAsia"/>
                <w:sz w:val="21"/>
                <w:szCs w:val="21"/>
                <w:lang w:eastAsia="zh-CN"/>
              </w:rPr>
            </w:pPr>
            <w:r>
              <w:rPr>
                <w:rFonts w:hint="eastAsia"/>
                <w:spacing w:val="3"/>
                <w:sz w:val="21"/>
                <w:szCs w:val="21"/>
                <w:lang w:val="en-US" w:eastAsia="zh-CN"/>
              </w:rPr>
              <w:t>5.</w:t>
            </w:r>
            <w:r>
              <w:rPr>
                <w:spacing w:val="3"/>
                <w:sz w:val="21"/>
                <w:szCs w:val="21"/>
              </w:rPr>
              <w:t>价款审查情况</w:t>
            </w:r>
            <w:r>
              <w:rPr>
                <w:rFonts w:hint="eastAsia"/>
                <w:spacing w:val="3"/>
                <w:sz w:val="21"/>
                <w:szCs w:val="21"/>
                <w:lang w:eastAsia="zh-CN"/>
              </w:rPr>
              <w:t>（</w:t>
            </w:r>
            <w:r>
              <w:rPr>
                <w:rFonts w:hint="eastAsia"/>
                <w:spacing w:val="3"/>
                <w:sz w:val="21"/>
                <w:szCs w:val="21"/>
                <w:lang w:val="en-US" w:eastAsia="zh-CN"/>
              </w:rPr>
              <w:t>20分</w:t>
            </w:r>
            <w:r>
              <w:rPr>
                <w:rFonts w:hint="eastAsia"/>
                <w:spacing w:val="3"/>
                <w:sz w:val="21"/>
                <w:szCs w:val="21"/>
                <w:lang w:eastAsia="zh-CN"/>
              </w:rPr>
              <w:t>）</w:t>
            </w:r>
          </w:p>
        </w:tc>
        <w:tc>
          <w:tcPr>
            <w:tcW w:w="5045" w:type="dxa"/>
            <w:vAlign w:val="center"/>
          </w:tcPr>
          <w:p>
            <w:pPr>
              <w:pStyle w:val="36"/>
              <w:spacing w:before="64" w:line="253" w:lineRule="auto"/>
              <w:ind w:left="92"/>
              <w:jc w:val="center"/>
              <w:rPr>
                <w:sz w:val="21"/>
                <w:szCs w:val="21"/>
              </w:rPr>
            </w:pPr>
            <w:r>
              <w:rPr>
                <w:spacing w:val="-10"/>
                <w:sz w:val="21"/>
                <w:szCs w:val="21"/>
              </w:rPr>
              <w:t>进度款及变更签证应及时审核，并建立台账；竣工结算审核误差率不应超过合同约定，审批手续不完善的</w:t>
            </w:r>
            <w:r>
              <w:rPr>
                <w:spacing w:val="-1"/>
                <w:sz w:val="21"/>
                <w:szCs w:val="21"/>
              </w:rPr>
              <w:t>签证不得计入结算。</w:t>
            </w:r>
          </w:p>
        </w:tc>
        <w:tc>
          <w:tcPr>
            <w:tcW w:w="3767" w:type="dxa"/>
            <w:vAlign w:val="center"/>
          </w:tcPr>
          <w:p>
            <w:pPr>
              <w:pStyle w:val="36"/>
              <w:spacing w:before="74" w:line="250" w:lineRule="auto"/>
              <w:ind w:left="115" w:right="75" w:hanging="20"/>
              <w:jc w:val="center"/>
              <w:rPr>
                <w:sz w:val="21"/>
                <w:szCs w:val="21"/>
              </w:rPr>
            </w:pPr>
            <w:r>
              <w:rPr>
                <w:sz w:val="21"/>
                <w:szCs w:val="21"/>
              </w:rPr>
              <w:t>审核不及时的扣2分/次，未建立台账的</w:t>
            </w:r>
            <w:r>
              <w:rPr>
                <w:spacing w:val="15"/>
                <w:sz w:val="21"/>
                <w:szCs w:val="21"/>
              </w:rPr>
              <w:t xml:space="preserve"> </w:t>
            </w:r>
            <w:r>
              <w:rPr>
                <w:spacing w:val="5"/>
                <w:sz w:val="21"/>
                <w:szCs w:val="21"/>
              </w:rPr>
              <w:t>扣2分，台账过于简单的扣1分。未完</w:t>
            </w:r>
            <w:r>
              <w:rPr>
                <w:spacing w:val="2"/>
                <w:sz w:val="21"/>
                <w:szCs w:val="21"/>
              </w:rPr>
              <w:t xml:space="preserve">  </w:t>
            </w:r>
            <w:r>
              <w:rPr>
                <w:spacing w:val="-1"/>
                <w:sz w:val="21"/>
                <w:szCs w:val="21"/>
              </w:rPr>
              <w:t>善手续的签证计入结算的扣5分/次。</w:t>
            </w:r>
          </w:p>
        </w:tc>
        <w:tc>
          <w:tcPr>
            <w:tcW w:w="1189" w:type="dxa"/>
            <w:vAlign w:val="top"/>
          </w:tcPr>
          <w:p>
            <w:pPr>
              <w:rPr>
                <w:rFonts w:ascii="Arial"/>
                <w:snapToGrid w:val="0"/>
                <w:color w:val="000000"/>
                <w:sz w:val="21"/>
              </w:rPr>
            </w:pPr>
          </w:p>
        </w:tc>
        <w:tc>
          <w:tcPr>
            <w:tcW w:w="1344" w:type="dxa"/>
            <w:vAlign w:val="top"/>
          </w:tcPr>
          <w:p>
            <w:pPr>
              <w:rPr>
                <w:rFonts w:ascii="Arial"/>
                <w:snapToGrid w:val="0"/>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4400" w:type="dxa"/>
            <w:gridSpan w:val="6"/>
            <w:vAlign w:val="top"/>
          </w:tcPr>
          <w:p>
            <w:pPr>
              <w:rPr>
                <w:rFonts w:hint="eastAsia" w:ascii="Arial" w:eastAsiaTheme="minorEastAsia"/>
                <w:snapToGrid w:val="0"/>
                <w:color w:val="000000"/>
                <w:sz w:val="21"/>
                <w:lang w:eastAsia="zh-CN"/>
              </w:rPr>
            </w:pPr>
            <w:r>
              <w:rPr>
                <w:b/>
                <w:bCs/>
                <w:snapToGrid w:val="0"/>
                <w:color w:val="000000"/>
                <w:spacing w:val="-5"/>
                <w:sz w:val="27"/>
                <w:szCs w:val="27"/>
              </w:rPr>
              <w:t>考核得分</w:t>
            </w:r>
            <w:r>
              <w:rPr>
                <w:rFonts w:hint="eastAsia"/>
                <w:b/>
                <w:bCs/>
                <w:snapToGrid w:val="0"/>
                <w:color w:val="000000"/>
                <w:spacing w:val="-5"/>
                <w:sz w:val="27"/>
                <w:szCs w:val="27"/>
                <w:lang w:eastAsia="zh-CN"/>
              </w:rPr>
              <w:t>（</w:t>
            </w:r>
            <w:r>
              <w:rPr>
                <w:rFonts w:hint="eastAsia"/>
                <w:b/>
                <w:bCs/>
                <w:snapToGrid w:val="0"/>
                <w:color w:val="000000"/>
                <w:spacing w:val="-5"/>
                <w:sz w:val="27"/>
                <w:szCs w:val="27"/>
                <w:lang w:val="en-US" w:eastAsia="zh-CN"/>
              </w:rPr>
              <w:t>总分100分</w:t>
            </w:r>
            <w:r>
              <w:rPr>
                <w:rFonts w:hint="eastAsia"/>
                <w:b/>
                <w:bCs/>
                <w:snapToGrid w:val="0"/>
                <w:color w:val="000000"/>
                <w:spacing w:val="-5"/>
                <w:sz w:val="27"/>
                <w:szCs w:val="27"/>
                <w:lang w:eastAsia="zh-CN"/>
              </w:rPr>
              <w:t>）：</w:t>
            </w:r>
          </w:p>
        </w:tc>
      </w:tr>
    </w:tbl>
    <w:p>
      <w:pPr>
        <w:pStyle w:val="6"/>
        <w:spacing w:before="35" w:line="228" w:lineRule="auto"/>
        <w:ind w:left="5115"/>
        <w:rPr>
          <w:rFonts w:hint="eastAsia" w:asciiTheme="minorEastAsia" w:hAnsiTheme="minorEastAsia" w:eastAsiaTheme="minorEastAsia" w:cstheme="minorEastAsia"/>
          <w:sz w:val="24"/>
          <w:szCs w:val="24"/>
          <w:highlight w:val="none"/>
          <w:lang w:val="en-US" w:eastAsia="zh-CN"/>
        </w:rPr>
      </w:pPr>
      <w:r>
        <w:rPr>
          <w:position w:val="-1"/>
          <w:sz w:val="24"/>
          <w:szCs w:val="24"/>
        </w:rPr>
        <w:t>审核：</w:t>
      </w:r>
      <w:r>
        <w:rPr>
          <w:spacing w:val="2"/>
          <w:position w:val="-1"/>
          <w:sz w:val="24"/>
          <w:szCs w:val="24"/>
        </w:rPr>
        <w:t xml:space="preserve">                             </w:t>
      </w:r>
      <w:r>
        <w:rPr>
          <w:spacing w:val="1"/>
          <w:position w:val="-1"/>
          <w:sz w:val="24"/>
          <w:szCs w:val="24"/>
        </w:rPr>
        <w:t xml:space="preserve">           </w:t>
      </w:r>
      <w:r>
        <w:rPr>
          <w:sz w:val="24"/>
          <w:szCs w:val="24"/>
        </w:rPr>
        <w:t>考评人：</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326"/>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7A4F09"/>
    <w:multiLevelType w:val="singleLevel"/>
    <w:tmpl w:val="D77A4F0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1E0373D"/>
    <w:rsid w:val="03164B46"/>
    <w:rsid w:val="03C238C1"/>
    <w:rsid w:val="046D02C9"/>
    <w:rsid w:val="04AC7907"/>
    <w:rsid w:val="07D61CBB"/>
    <w:rsid w:val="08187346"/>
    <w:rsid w:val="08C218CD"/>
    <w:rsid w:val="09357310"/>
    <w:rsid w:val="09431CDD"/>
    <w:rsid w:val="09D85925"/>
    <w:rsid w:val="09E823E8"/>
    <w:rsid w:val="0B16599D"/>
    <w:rsid w:val="0CC51CA1"/>
    <w:rsid w:val="12375F75"/>
    <w:rsid w:val="12E66D1C"/>
    <w:rsid w:val="1465676B"/>
    <w:rsid w:val="1474453F"/>
    <w:rsid w:val="147A6B5F"/>
    <w:rsid w:val="174F3E72"/>
    <w:rsid w:val="19371A3D"/>
    <w:rsid w:val="19DE229C"/>
    <w:rsid w:val="19E716B5"/>
    <w:rsid w:val="1B562B38"/>
    <w:rsid w:val="1BBE6F12"/>
    <w:rsid w:val="1BE340FE"/>
    <w:rsid w:val="1CD51C99"/>
    <w:rsid w:val="1DB440B4"/>
    <w:rsid w:val="1EA9518B"/>
    <w:rsid w:val="1EF02DBA"/>
    <w:rsid w:val="2091596D"/>
    <w:rsid w:val="21BC67D1"/>
    <w:rsid w:val="229D0F23"/>
    <w:rsid w:val="23A23896"/>
    <w:rsid w:val="250338C6"/>
    <w:rsid w:val="2560638D"/>
    <w:rsid w:val="27781B9E"/>
    <w:rsid w:val="2888575B"/>
    <w:rsid w:val="296C096E"/>
    <w:rsid w:val="2A2100B3"/>
    <w:rsid w:val="2B0A1393"/>
    <w:rsid w:val="2DC35BE2"/>
    <w:rsid w:val="2DFD6DA8"/>
    <w:rsid w:val="2F5C3B54"/>
    <w:rsid w:val="321D0284"/>
    <w:rsid w:val="33713C78"/>
    <w:rsid w:val="3401034F"/>
    <w:rsid w:val="35F42D38"/>
    <w:rsid w:val="365F5108"/>
    <w:rsid w:val="36F271E0"/>
    <w:rsid w:val="38451629"/>
    <w:rsid w:val="39202096"/>
    <w:rsid w:val="3956631D"/>
    <w:rsid w:val="39A323C9"/>
    <w:rsid w:val="3C1579B4"/>
    <w:rsid w:val="3C446F5E"/>
    <w:rsid w:val="3D995F73"/>
    <w:rsid w:val="3DD40ACC"/>
    <w:rsid w:val="3E7A3FF6"/>
    <w:rsid w:val="3F7C42B6"/>
    <w:rsid w:val="40821E95"/>
    <w:rsid w:val="42331D89"/>
    <w:rsid w:val="425C413F"/>
    <w:rsid w:val="42654155"/>
    <w:rsid w:val="427A6373"/>
    <w:rsid w:val="46670B6F"/>
    <w:rsid w:val="475C491A"/>
    <w:rsid w:val="49521D16"/>
    <w:rsid w:val="4A180A44"/>
    <w:rsid w:val="4A630034"/>
    <w:rsid w:val="4B0E4506"/>
    <w:rsid w:val="4BF20535"/>
    <w:rsid w:val="4D5C1604"/>
    <w:rsid w:val="4D752558"/>
    <w:rsid w:val="4D841426"/>
    <w:rsid w:val="4D926C66"/>
    <w:rsid w:val="4E235B10"/>
    <w:rsid w:val="4E4A0A8E"/>
    <w:rsid w:val="4EFF657E"/>
    <w:rsid w:val="50116703"/>
    <w:rsid w:val="51C0097A"/>
    <w:rsid w:val="51EB53DF"/>
    <w:rsid w:val="53603F65"/>
    <w:rsid w:val="536966EB"/>
    <w:rsid w:val="54396124"/>
    <w:rsid w:val="54E33363"/>
    <w:rsid w:val="551C3A0B"/>
    <w:rsid w:val="555C59B4"/>
    <w:rsid w:val="563F1955"/>
    <w:rsid w:val="5839386D"/>
    <w:rsid w:val="58B2099D"/>
    <w:rsid w:val="59F6057D"/>
    <w:rsid w:val="5A8121BA"/>
    <w:rsid w:val="5ABF0539"/>
    <w:rsid w:val="5B4434DF"/>
    <w:rsid w:val="5C071983"/>
    <w:rsid w:val="5DAF1758"/>
    <w:rsid w:val="5E5658D9"/>
    <w:rsid w:val="6359495D"/>
    <w:rsid w:val="65374BCA"/>
    <w:rsid w:val="6562740E"/>
    <w:rsid w:val="65CA16B3"/>
    <w:rsid w:val="65CB2D47"/>
    <w:rsid w:val="65FC1861"/>
    <w:rsid w:val="662E5966"/>
    <w:rsid w:val="66862F83"/>
    <w:rsid w:val="6747066A"/>
    <w:rsid w:val="699F737A"/>
    <w:rsid w:val="6A463B57"/>
    <w:rsid w:val="6BDB5C18"/>
    <w:rsid w:val="6BF518AF"/>
    <w:rsid w:val="6D892812"/>
    <w:rsid w:val="6DB12CE1"/>
    <w:rsid w:val="6EAC5D22"/>
    <w:rsid w:val="6F1E00AA"/>
    <w:rsid w:val="6F9E3EA7"/>
    <w:rsid w:val="6FA50623"/>
    <w:rsid w:val="6FE07D2F"/>
    <w:rsid w:val="70E71E73"/>
    <w:rsid w:val="710038B0"/>
    <w:rsid w:val="73136DD6"/>
    <w:rsid w:val="73922BF0"/>
    <w:rsid w:val="73B72B30"/>
    <w:rsid w:val="76052D3F"/>
    <w:rsid w:val="76271B88"/>
    <w:rsid w:val="76C41664"/>
    <w:rsid w:val="77A37093"/>
    <w:rsid w:val="77AD62C7"/>
    <w:rsid w:val="792768C4"/>
    <w:rsid w:val="79A85310"/>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autoRedefine/>
    <w:qFormat/>
    <w:uiPriority w:val="1"/>
    <w:pPr>
      <w:ind w:left="577"/>
      <w:outlineLvl w:val="6"/>
    </w:pPr>
    <w:rPr>
      <w:rFonts w:ascii="宋体" w:hAnsi="宋体"/>
      <w:b/>
      <w:bCs/>
      <w:sz w:val="21"/>
      <w:szCs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32"/>
    <w:autoRedefine/>
    <w:semiHidden/>
    <w:unhideWhenUsed/>
    <w:qFormat/>
    <w:uiPriority w:val="99"/>
    <w:pPr>
      <w:jc w:val="left"/>
    </w:pPr>
  </w:style>
  <w:style w:type="paragraph" w:styleId="6">
    <w:name w:val="Body Text"/>
    <w:basedOn w:val="1"/>
    <w:autoRedefine/>
    <w:qFormat/>
    <w:uiPriority w:val="1"/>
    <w:pPr>
      <w:ind w:left="140"/>
    </w:pPr>
    <w:rPr>
      <w:rFonts w:ascii="宋体" w:hAnsi="宋体"/>
      <w:sz w:val="21"/>
      <w:szCs w:val="21"/>
    </w:rPr>
  </w:style>
  <w:style w:type="paragraph" w:styleId="7">
    <w:name w:val="Body Text Indent"/>
    <w:basedOn w:val="1"/>
    <w:autoRedefine/>
    <w:qFormat/>
    <w:uiPriority w:val="0"/>
    <w:pPr>
      <w:ind w:firstLine="645"/>
    </w:pPr>
    <w:rPr>
      <w:rFonts w:ascii="楷体_GB2312" w:eastAsia="楷体_GB2312"/>
      <w:kern w:val="2"/>
      <w:sz w:val="32"/>
    </w:rPr>
  </w:style>
  <w:style w:type="paragraph" w:styleId="8">
    <w:name w:val="Plain Text"/>
    <w:basedOn w:val="1"/>
    <w:autoRedefine/>
    <w:qFormat/>
    <w:uiPriority w:val="0"/>
    <w:rPr>
      <w:rFonts w:hAnsi="Courier New"/>
      <w:kern w:val="2"/>
      <w:sz w:val="21"/>
    </w:rPr>
  </w:style>
  <w:style w:type="paragraph" w:styleId="9">
    <w:name w:val="Balloon Text"/>
    <w:basedOn w:val="1"/>
    <w:link w:val="34"/>
    <w:autoRedefine/>
    <w:semiHidden/>
    <w:unhideWhenUsed/>
    <w:qFormat/>
    <w:uiPriority w:val="99"/>
    <w:rPr>
      <w:sz w:val="18"/>
      <w:szCs w:val="18"/>
    </w:rPr>
  </w:style>
  <w:style w:type="paragraph" w:styleId="10">
    <w:name w:val="footer"/>
    <w:basedOn w:val="1"/>
    <w:link w:val="30"/>
    <w:autoRedefine/>
    <w:unhideWhenUsed/>
    <w:qFormat/>
    <w:uiPriority w:val="99"/>
    <w:pPr>
      <w:tabs>
        <w:tab w:val="center" w:pos="4153"/>
        <w:tab w:val="right" w:pos="8306"/>
      </w:tabs>
      <w:snapToGrid w:val="0"/>
      <w:jc w:val="left"/>
    </w:pPr>
    <w:rPr>
      <w:sz w:val="18"/>
      <w:szCs w:val="18"/>
    </w:rPr>
  </w:style>
  <w:style w:type="paragraph" w:styleId="11">
    <w:name w:val="envelope return"/>
    <w:basedOn w:val="1"/>
    <w:autoRedefine/>
    <w:unhideWhenUsed/>
    <w:qFormat/>
    <w:uiPriority w:val="99"/>
    <w:pPr>
      <w:snapToGrid w:val="0"/>
    </w:pPr>
    <w:rPr>
      <w:rFonts w:ascii="Arial" w:hAnsi="Arial"/>
    </w:rPr>
  </w:style>
  <w:style w:type="paragraph" w:styleId="12">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5"/>
    <w:next w:val="5"/>
    <w:link w:val="33"/>
    <w:autoRedefine/>
    <w:semiHidden/>
    <w:unhideWhenUsed/>
    <w:qFormat/>
    <w:uiPriority w:val="99"/>
    <w:rPr>
      <w:b/>
      <w:bCs/>
    </w:rPr>
  </w:style>
  <w:style w:type="paragraph" w:styleId="18">
    <w:name w:val="Body Text First Indent"/>
    <w:basedOn w:val="6"/>
    <w:autoRedefine/>
    <w:unhideWhenUsed/>
    <w:qFormat/>
    <w:uiPriority w:val="99"/>
    <w:pPr>
      <w:ind w:firstLine="420" w:firstLineChars="100"/>
    </w:pPr>
  </w:style>
  <w:style w:type="paragraph" w:styleId="19">
    <w:name w:val="Body Text First Indent 2"/>
    <w:basedOn w:val="7"/>
    <w:autoRedefine/>
    <w:qFormat/>
    <w:uiPriority w:val="0"/>
    <w:pPr>
      <w:ind w:left="420" w:leftChars="200" w:firstLine="420" w:firstLineChars="200"/>
    </w:pPr>
  </w:style>
  <w:style w:type="table" w:styleId="21">
    <w:name w:val="Table Grid"/>
    <w:basedOn w:val="2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autoRedefine/>
    <w:qFormat/>
    <w:uiPriority w:val="22"/>
    <w:rPr>
      <w:b/>
    </w:rPr>
  </w:style>
  <w:style w:type="character" w:styleId="24">
    <w:name w:val="FollowedHyperlink"/>
    <w:basedOn w:val="22"/>
    <w:autoRedefine/>
    <w:semiHidden/>
    <w:unhideWhenUsed/>
    <w:qFormat/>
    <w:uiPriority w:val="99"/>
    <w:rPr>
      <w:color w:val="2490F8"/>
      <w:u w:val="none"/>
    </w:rPr>
  </w:style>
  <w:style w:type="character" w:styleId="25">
    <w:name w:val="Emphasis"/>
    <w:basedOn w:val="22"/>
    <w:autoRedefine/>
    <w:qFormat/>
    <w:uiPriority w:val="20"/>
  </w:style>
  <w:style w:type="character" w:styleId="26">
    <w:name w:val="Hyperlink"/>
    <w:basedOn w:val="22"/>
    <w:autoRedefine/>
    <w:semiHidden/>
    <w:unhideWhenUsed/>
    <w:qFormat/>
    <w:uiPriority w:val="99"/>
    <w:rPr>
      <w:color w:val="2490F8"/>
      <w:u w:val="none"/>
    </w:rPr>
  </w:style>
  <w:style w:type="character" w:styleId="27">
    <w:name w:val="annotation reference"/>
    <w:basedOn w:val="22"/>
    <w:autoRedefine/>
    <w:semiHidden/>
    <w:unhideWhenUsed/>
    <w:qFormat/>
    <w:uiPriority w:val="99"/>
    <w:rPr>
      <w:sz w:val="21"/>
      <w:szCs w:val="21"/>
    </w:rPr>
  </w:style>
  <w:style w:type="paragraph" w:customStyle="1" w:styleId="28">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9">
    <w:name w:val="页眉 Char"/>
    <w:basedOn w:val="22"/>
    <w:link w:val="12"/>
    <w:autoRedefine/>
    <w:qFormat/>
    <w:uiPriority w:val="99"/>
    <w:rPr>
      <w:sz w:val="18"/>
      <w:szCs w:val="18"/>
    </w:rPr>
  </w:style>
  <w:style w:type="character" w:customStyle="1" w:styleId="30">
    <w:name w:val="页脚 Char"/>
    <w:basedOn w:val="22"/>
    <w:link w:val="10"/>
    <w:autoRedefine/>
    <w:qFormat/>
    <w:uiPriority w:val="99"/>
    <w:rPr>
      <w:sz w:val="18"/>
      <w:szCs w:val="18"/>
    </w:rPr>
  </w:style>
  <w:style w:type="paragraph" w:customStyle="1" w:styleId="31">
    <w:name w:val="Char Char Char Char Char Char Char Char Char Char"/>
    <w:basedOn w:val="1"/>
    <w:autoRedefine/>
    <w:qFormat/>
    <w:uiPriority w:val="0"/>
    <w:rPr>
      <w:rFonts w:ascii="Tahoma" w:hAnsi="Tahoma" w:eastAsia="宋体" w:cs="仿宋_GB2312"/>
      <w:sz w:val="24"/>
      <w:szCs w:val="20"/>
    </w:rPr>
  </w:style>
  <w:style w:type="character" w:customStyle="1" w:styleId="32">
    <w:name w:val="批注文字 Char"/>
    <w:basedOn w:val="22"/>
    <w:link w:val="5"/>
    <w:autoRedefine/>
    <w:semiHidden/>
    <w:qFormat/>
    <w:uiPriority w:val="99"/>
  </w:style>
  <w:style w:type="character" w:customStyle="1" w:styleId="33">
    <w:name w:val="批注主题 Char"/>
    <w:basedOn w:val="32"/>
    <w:link w:val="17"/>
    <w:autoRedefine/>
    <w:semiHidden/>
    <w:qFormat/>
    <w:uiPriority w:val="99"/>
    <w:rPr>
      <w:b/>
      <w:bCs/>
    </w:rPr>
  </w:style>
  <w:style w:type="character" w:customStyle="1" w:styleId="34">
    <w:name w:val="批注框文本 Char"/>
    <w:basedOn w:val="22"/>
    <w:link w:val="9"/>
    <w:autoRedefine/>
    <w:semiHidden/>
    <w:qFormat/>
    <w:uiPriority w:val="99"/>
    <w:rPr>
      <w:sz w:val="18"/>
      <w:szCs w:val="18"/>
    </w:rPr>
  </w:style>
  <w:style w:type="paragraph" w:styleId="35">
    <w:name w:val="List Paragraph"/>
    <w:basedOn w:val="1"/>
    <w:autoRedefine/>
    <w:unhideWhenUsed/>
    <w:qFormat/>
    <w:uiPriority w:val="99"/>
    <w:pPr>
      <w:ind w:firstLine="420" w:firstLineChars="200"/>
    </w:pPr>
  </w:style>
  <w:style w:type="paragraph" w:customStyle="1" w:styleId="36">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7">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8">
    <w:name w:val="Char Char Char Char Char Char Char1 Char"/>
    <w:basedOn w:val="1"/>
    <w:autoRedefine/>
    <w:qFormat/>
    <w:uiPriority w:val="0"/>
    <w:rPr>
      <w:rFonts w:ascii="Tahoma" w:hAnsi="Tahoma"/>
      <w:sz w:val="24"/>
    </w:rPr>
  </w:style>
  <w:style w:type="character" w:customStyle="1" w:styleId="39">
    <w:name w:val="font21"/>
    <w:basedOn w:val="22"/>
    <w:autoRedefine/>
    <w:qFormat/>
    <w:uiPriority w:val="0"/>
    <w:rPr>
      <w:rFonts w:hint="eastAsia" w:ascii="宋体" w:hAnsi="宋体" w:eastAsia="宋体" w:cs="宋体"/>
      <w:b/>
      <w:bCs/>
      <w:color w:val="000000"/>
      <w:sz w:val="40"/>
      <w:szCs w:val="40"/>
      <w:u w:val="none"/>
    </w:rPr>
  </w:style>
  <w:style w:type="character" w:customStyle="1" w:styleId="40">
    <w:name w:val="font71"/>
    <w:basedOn w:val="22"/>
    <w:autoRedefine/>
    <w:qFormat/>
    <w:uiPriority w:val="0"/>
    <w:rPr>
      <w:rFonts w:hint="eastAsia" w:ascii="宋体" w:hAnsi="宋体" w:eastAsia="宋体" w:cs="宋体"/>
      <w:b/>
      <w:bCs/>
      <w:color w:val="000000"/>
      <w:sz w:val="40"/>
      <w:szCs w:val="40"/>
      <w:u w:val="single"/>
    </w:rPr>
  </w:style>
  <w:style w:type="character" w:customStyle="1" w:styleId="41">
    <w:name w:val="font91"/>
    <w:basedOn w:val="22"/>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42">
    <w:name w:val="font111"/>
    <w:basedOn w:val="22"/>
    <w:autoRedefine/>
    <w:qFormat/>
    <w:uiPriority w:val="0"/>
    <w:rPr>
      <w:rFonts w:hint="eastAsia" w:ascii="宋体" w:hAnsi="宋体" w:eastAsia="宋体" w:cs="宋体"/>
      <w:color w:val="000000"/>
      <w:sz w:val="40"/>
      <w:szCs w:val="40"/>
      <w:u w:val="single"/>
    </w:rPr>
  </w:style>
  <w:style w:type="character" w:customStyle="1" w:styleId="43">
    <w:name w:val="font141"/>
    <w:basedOn w:val="22"/>
    <w:autoRedefine/>
    <w:qFormat/>
    <w:uiPriority w:val="0"/>
    <w:rPr>
      <w:rFonts w:hint="eastAsia" w:ascii="宋体" w:hAnsi="宋体" w:eastAsia="宋体" w:cs="宋体"/>
      <w:color w:val="000000"/>
      <w:sz w:val="20"/>
      <w:szCs w:val="20"/>
      <w:u w:val="single"/>
    </w:rPr>
  </w:style>
  <w:style w:type="character" w:customStyle="1" w:styleId="44">
    <w:name w:val="font151"/>
    <w:basedOn w:val="22"/>
    <w:autoRedefine/>
    <w:qFormat/>
    <w:uiPriority w:val="0"/>
    <w:rPr>
      <w:rFonts w:hint="eastAsia" w:ascii="宋体" w:hAnsi="宋体" w:eastAsia="宋体" w:cs="宋体"/>
      <w:color w:val="000000"/>
      <w:sz w:val="20"/>
      <w:szCs w:val="20"/>
      <w:u w:val="single"/>
    </w:rPr>
  </w:style>
  <w:style w:type="paragraph" w:customStyle="1" w:styleId="45">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6">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47">
    <w:name w:val="00-表格正文"/>
    <w:basedOn w:val="1"/>
    <w:autoRedefine/>
    <w:qFormat/>
    <w:uiPriority w:val="0"/>
    <w:pPr>
      <w:widowControl/>
      <w:spacing w:line="360" w:lineRule="auto"/>
      <w:jc w:val="left"/>
    </w:pPr>
    <w:rPr>
      <w:rFonts w:ascii="黑体" w:hAnsi="黑体" w:eastAsia="仿宋" w:cs="宋体"/>
      <w:bCs/>
      <w:color w:val="000000"/>
      <w:szCs w:val="24"/>
    </w:rPr>
  </w:style>
  <w:style w:type="paragraph" w:customStyle="1" w:styleId="48">
    <w:name w:val="Table Paragraph"/>
    <w:basedOn w:val="1"/>
    <w:autoRedefine/>
    <w:qFormat/>
    <w:uiPriority w:val="1"/>
    <w:pPr>
      <w:jc w:val="left"/>
    </w:pPr>
    <w:rPr>
      <w:rFonts w:ascii="Calibri" w:hAnsi="Calibri"/>
      <w:sz w:val="22"/>
      <w:lang w:eastAsia="en-US"/>
    </w:rPr>
  </w:style>
  <w:style w:type="character" w:customStyle="1" w:styleId="49">
    <w:name w:val="drapbtn"/>
    <w:basedOn w:val="22"/>
    <w:autoRedefine/>
    <w:qFormat/>
    <w:uiPriority w:val="0"/>
  </w:style>
  <w:style w:type="character" w:customStyle="1" w:styleId="50">
    <w:name w:val="cdropright"/>
    <w:basedOn w:val="22"/>
    <w:autoRedefine/>
    <w:qFormat/>
    <w:uiPriority w:val="0"/>
  </w:style>
  <w:style w:type="character" w:customStyle="1" w:styleId="51">
    <w:name w:val="icontext2"/>
    <w:basedOn w:val="22"/>
    <w:autoRedefine/>
    <w:qFormat/>
    <w:uiPriority w:val="0"/>
  </w:style>
  <w:style w:type="character" w:customStyle="1" w:styleId="52">
    <w:name w:val="first-child"/>
    <w:basedOn w:val="22"/>
    <w:autoRedefine/>
    <w:qFormat/>
    <w:uiPriority w:val="0"/>
  </w:style>
  <w:style w:type="character" w:customStyle="1" w:styleId="53">
    <w:name w:val="icontext1"/>
    <w:basedOn w:val="22"/>
    <w:autoRedefine/>
    <w:qFormat/>
    <w:uiPriority w:val="0"/>
  </w:style>
  <w:style w:type="character" w:customStyle="1" w:styleId="54">
    <w:name w:val="icontext11"/>
    <w:basedOn w:val="22"/>
    <w:autoRedefine/>
    <w:qFormat/>
    <w:uiPriority w:val="0"/>
  </w:style>
  <w:style w:type="character" w:customStyle="1" w:styleId="55">
    <w:name w:val="icontext12"/>
    <w:basedOn w:val="22"/>
    <w:autoRedefine/>
    <w:qFormat/>
    <w:uiPriority w:val="0"/>
  </w:style>
  <w:style w:type="character" w:customStyle="1" w:styleId="56">
    <w:name w:val="layui-layer-tabnow"/>
    <w:basedOn w:val="22"/>
    <w:autoRedefine/>
    <w:qFormat/>
    <w:uiPriority w:val="0"/>
    <w:rPr>
      <w:bdr w:val="single" w:color="CCCCCC" w:sz="6" w:space="0"/>
      <w:shd w:val="clear" w:fill="FFFFFF"/>
    </w:rPr>
  </w:style>
  <w:style w:type="character" w:customStyle="1" w:styleId="57">
    <w:name w:val="active26"/>
    <w:basedOn w:val="22"/>
    <w:autoRedefine/>
    <w:qFormat/>
    <w:uiPriority w:val="0"/>
    <w:rPr>
      <w:color w:val="00FF00"/>
      <w:shd w:val="clear" w:fill="111111"/>
    </w:rPr>
  </w:style>
  <w:style w:type="character" w:customStyle="1" w:styleId="58">
    <w:name w:val="button"/>
    <w:basedOn w:val="22"/>
    <w:autoRedefine/>
    <w:qFormat/>
    <w:uiPriority w:val="0"/>
  </w:style>
  <w:style w:type="character" w:customStyle="1" w:styleId="59">
    <w:name w:val="associateddata"/>
    <w:basedOn w:val="22"/>
    <w:autoRedefine/>
    <w:qFormat/>
    <w:uiPriority w:val="0"/>
    <w:rPr>
      <w:shd w:val="clear" w:fill="50A6F9"/>
    </w:rPr>
  </w:style>
  <w:style w:type="character" w:customStyle="1" w:styleId="60">
    <w:name w:val="cdropleft"/>
    <w:basedOn w:val="22"/>
    <w:autoRedefine/>
    <w:qFormat/>
    <w:uiPriority w:val="0"/>
  </w:style>
  <w:style w:type="character" w:customStyle="1" w:styleId="61">
    <w:name w:val="iconline2"/>
    <w:basedOn w:val="22"/>
    <w:autoRedefine/>
    <w:qFormat/>
    <w:uiPriority w:val="0"/>
  </w:style>
  <w:style w:type="character" w:customStyle="1" w:styleId="62">
    <w:name w:val="iconline21"/>
    <w:basedOn w:val="22"/>
    <w:autoRedefine/>
    <w:qFormat/>
    <w:uiPriority w:val="0"/>
  </w:style>
  <w:style w:type="character" w:customStyle="1" w:styleId="63">
    <w:name w:val="icontext3"/>
    <w:basedOn w:val="22"/>
    <w:autoRedefine/>
    <w:qFormat/>
    <w:uiPriority w:val="0"/>
  </w:style>
  <w:style w:type="character" w:customStyle="1" w:styleId="64">
    <w:name w:val="hilite"/>
    <w:basedOn w:val="22"/>
    <w:autoRedefine/>
    <w:qFormat/>
    <w:uiPriority w:val="0"/>
    <w:rPr>
      <w:color w:val="FFFFFF"/>
      <w:shd w:val="clear" w:fill="666666"/>
    </w:rPr>
  </w:style>
  <w:style w:type="character" w:customStyle="1" w:styleId="65">
    <w:name w:val="cy"/>
    <w:basedOn w:val="22"/>
    <w:autoRedefine/>
    <w:qFormat/>
    <w:uiPriority w:val="0"/>
  </w:style>
  <w:style w:type="character" w:customStyle="1" w:styleId="66">
    <w:name w:val="choose-status"/>
    <w:basedOn w:val="22"/>
    <w:autoRedefine/>
    <w:qFormat/>
    <w:uiPriority w:val="0"/>
    <w:rPr>
      <w:color w:val="1F85EC"/>
      <w:shd w:val="clear" w:fill="FFFFFF"/>
    </w:rPr>
  </w:style>
  <w:style w:type="character" w:customStyle="1" w:styleId="67">
    <w:name w:val="after"/>
    <w:basedOn w:val="22"/>
    <w:autoRedefine/>
    <w:qFormat/>
    <w:uiPriority w:val="0"/>
    <w:rPr>
      <w:sz w:val="0"/>
      <w:szCs w:val="0"/>
    </w:rPr>
  </w:style>
  <w:style w:type="character" w:customStyle="1" w:styleId="68">
    <w:name w:val="tmpztreemove_arrow"/>
    <w:basedOn w:val="22"/>
    <w:autoRedefine/>
    <w:qFormat/>
    <w:uiPriority w:val="0"/>
  </w:style>
  <w:style w:type="character" w:customStyle="1" w:styleId="69">
    <w:name w:val="pagechatarealistclose_box"/>
    <w:basedOn w:val="22"/>
    <w:autoRedefine/>
    <w:qFormat/>
    <w:uiPriority w:val="0"/>
  </w:style>
  <w:style w:type="character" w:customStyle="1" w:styleId="70">
    <w:name w:val="pagechatarealistclose_box1"/>
    <w:basedOn w:val="22"/>
    <w:autoRedefine/>
    <w:qFormat/>
    <w:uiPriority w:val="0"/>
  </w:style>
  <w:style w:type="character" w:customStyle="1" w:styleId="71">
    <w:name w:val="ico1654"/>
    <w:basedOn w:val="22"/>
    <w:autoRedefine/>
    <w:qFormat/>
    <w:uiPriority w:val="0"/>
  </w:style>
  <w:style w:type="character" w:customStyle="1" w:styleId="72">
    <w:name w:val="ico1655"/>
    <w:basedOn w:val="22"/>
    <w:autoRedefine/>
    <w:qFormat/>
    <w:uiPriority w:val="0"/>
  </w:style>
  <w:style w:type="character" w:customStyle="1" w:styleId="73">
    <w:name w:val="w32"/>
    <w:basedOn w:val="22"/>
    <w:autoRedefine/>
    <w:qFormat/>
    <w:uiPriority w:val="0"/>
  </w:style>
  <w:style w:type="character" w:customStyle="1" w:styleId="74">
    <w:name w:val="ico16"/>
    <w:basedOn w:val="22"/>
    <w:autoRedefine/>
    <w:qFormat/>
    <w:uiPriority w:val="0"/>
  </w:style>
  <w:style w:type="character" w:customStyle="1" w:styleId="75">
    <w:name w:val="ico161"/>
    <w:basedOn w:val="22"/>
    <w:autoRedefine/>
    <w:qFormat/>
    <w:uiPriority w:val="0"/>
  </w:style>
  <w:style w:type="character" w:customStyle="1" w:styleId="76">
    <w:name w:val="active25"/>
    <w:basedOn w:val="22"/>
    <w:autoRedefine/>
    <w:qFormat/>
    <w:uiPriority w:val="0"/>
    <w:rPr>
      <w:color w:val="00FF00"/>
      <w:shd w:val="clear" w:fill="111111"/>
    </w:rPr>
  </w:style>
  <w:style w:type="character" w:customStyle="1" w:styleId="77">
    <w:name w:val="button4"/>
    <w:basedOn w:val="22"/>
    <w:autoRedefine/>
    <w:qFormat/>
    <w:uiPriority w:val="0"/>
  </w:style>
  <w:style w:type="character" w:customStyle="1" w:styleId="78">
    <w:name w:val="hilite6"/>
    <w:basedOn w:val="22"/>
    <w:autoRedefine/>
    <w:qFormat/>
    <w:uiPriority w:val="0"/>
    <w:rPr>
      <w:color w:val="FFFFFF"/>
      <w:shd w:val="clear" w:fill="666666"/>
    </w:rPr>
  </w:style>
  <w:style w:type="character" w:customStyle="1" w:styleId="79">
    <w:name w:val="active20"/>
    <w:basedOn w:val="22"/>
    <w:autoRedefine/>
    <w:qFormat/>
    <w:uiPriority w:val="0"/>
    <w:rPr>
      <w:color w:val="00FF00"/>
      <w:shd w:val="clear" w:fill="111111"/>
    </w:rPr>
  </w:style>
  <w:style w:type="paragraph" w:customStyle="1" w:styleId="80">
    <w:name w:val="列出段落1"/>
    <w:basedOn w:val="1"/>
    <w:autoRedefine/>
    <w:unhideWhenUsed/>
    <w:qFormat/>
    <w:uiPriority w:val="99"/>
    <w:pPr>
      <w:ind w:firstLine="420" w:firstLineChars="200"/>
    </w:pPr>
    <w:rPr>
      <w:rFonts w:ascii="Calibri" w:hAnsi="Calibri"/>
      <w:kern w:val="2"/>
      <w:sz w:val="21"/>
      <w:szCs w:val="22"/>
    </w:rPr>
  </w:style>
  <w:style w:type="character" w:customStyle="1" w:styleId="81">
    <w:name w:val="ico1653"/>
    <w:basedOn w:val="22"/>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2</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2025-11-13T04:22:00Z</cp:lastPrinted>
  <dcterms:modified xsi:type="dcterms:W3CDTF">2025-12-24T06:42:35Z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