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5"/>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single"/>
                <w:lang w:val="en-US" w:eastAsia="zh-CN"/>
              </w:rPr>
              <w:t>元</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75" w:type="dxa"/>
            <w:vAlign w:val="center"/>
          </w:tcPr>
          <w:p>
            <w:pPr>
              <w:jc w:val="center"/>
              <w:rPr>
                <w:rFonts w:hAnsi="宋体"/>
                <w:b/>
                <w:color w:val="000000"/>
              </w:rPr>
            </w:pPr>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2"/>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int="default" w:hAnsi="宋体" w:eastAsia="宋体"/>
                <w:bCs/>
                <w:color w:val="000000"/>
                <w:highlight w:val="none"/>
                <w:lang w:val="en-US" w:eastAsia="zh-CN"/>
              </w:rPr>
            </w:pPr>
            <w:r>
              <w:rPr>
                <w:rFonts w:hint="eastAsia" w:hAnsi="宋体"/>
                <w:bCs/>
                <w:color w:val="000000"/>
                <w:highlight w:val="none"/>
                <w:lang w:val="en-US" w:eastAsia="zh-CN"/>
              </w:rPr>
              <w:t>项目名称</w:t>
            </w:r>
          </w:p>
        </w:tc>
        <w:tc>
          <w:tcPr>
            <w:tcW w:w="7223" w:type="dxa"/>
            <w:vAlign w:val="center"/>
          </w:tcPr>
          <w:p>
            <w:pPr>
              <w:spacing w:line="360" w:lineRule="exact"/>
              <w:jc w:val="both"/>
              <w:rPr>
                <w:rFonts w:hint="default" w:eastAsia="宋体"/>
                <w:b w:val="0"/>
                <w:bCs w:val="0"/>
                <w:color w:val="000000"/>
                <w:sz w:val="24"/>
                <w:szCs w:val="18"/>
                <w:lang w:val="en-US" w:eastAsia="zh-CN"/>
              </w:rPr>
            </w:pPr>
            <w:r>
              <w:rPr>
                <w:rFonts w:hint="eastAsia"/>
                <w:b w:val="0"/>
                <w:bCs w:val="0"/>
                <w:color w:val="000000"/>
                <w:sz w:val="24"/>
                <w:szCs w:val="18"/>
                <w:lang w:val="en-US" w:eastAsia="zh-CN"/>
              </w:rPr>
              <w:t>公用事业发展有限公司新桥分公司市政基地搬迁服务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int="eastAsia" w:hAnsi="宋体" w:eastAsia="宋体"/>
                <w:color w:val="000000"/>
                <w:sz w:val="21"/>
                <w:szCs w:val="21"/>
                <w:highlight w:val="none"/>
                <w:lang w:eastAsia="zh-CN"/>
              </w:rPr>
            </w:pPr>
            <w:r>
              <w:rPr>
                <w:rFonts w:hint="eastAsia" w:hAnsi="宋体"/>
                <w:color w:val="000000"/>
                <w:sz w:val="21"/>
                <w:szCs w:val="21"/>
                <w:highlight w:val="none"/>
              </w:rPr>
              <w:t>项目</w:t>
            </w:r>
            <w:r>
              <w:rPr>
                <w:rFonts w:hint="eastAsia" w:hAnsi="宋体"/>
                <w:color w:val="000000"/>
                <w:sz w:val="21"/>
                <w:szCs w:val="21"/>
                <w:highlight w:val="none"/>
                <w:lang w:val="en-US" w:eastAsia="zh-CN"/>
              </w:rPr>
              <w:t>概况</w:t>
            </w:r>
          </w:p>
        </w:tc>
        <w:tc>
          <w:tcPr>
            <w:tcW w:w="7223" w:type="dxa"/>
            <w:vAlign w:val="center"/>
          </w:tcPr>
          <w:p>
            <w:pPr>
              <w:jc w:val="both"/>
              <w:rPr>
                <w:rFonts w:hint="default" w:eastAsia="宋体"/>
                <w:b w:val="0"/>
                <w:bCs w:val="0"/>
                <w:color w:val="000000"/>
                <w:sz w:val="24"/>
                <w:szCs w:val="24"/>
                <w:lang w:val="en-US" w:eastAsia="zh-CN"/>
              </w:rPr>
            </w:pPr>
            <w:r>
              <w:rPr>
                <w:rFonts w:hint="eastAsia"/>
                <w:lang w:val="en-US" w:eastAsia="zh-CN"/>
              </w:rPr>
              <w:t>确定一家中标人，负责将公用公司新桥分公司市政基地</w:t>
            </w:r>
            <w:r>
              <w:rPr>
                <w:rFonts w:hint="eastAsia" w:ascii="宋体" w:hAnsi="Times New Roman" w:eastAsia="宋体" w:cs="Times New Roman"/>
                <w:kern w:val="0"/>
                <w:sz w:val="24"/>
                <w:lang w:val="en-US" w:eastAsia="zh-CN" w:bidi="ar-SA"/>
              </w:rPr>
              <w:t>（长兴大道与中川路交口）</w:t>
            </w:r>
            <w:r>
              <w:rPr>
                <w:rFonts w:hint="eastAsia"/>
                <w:lang w:val="en-US" w:eastAsia="zh-CN"/>
              </w:rPr>
              <w:t>内存放市政设施（各型号护栏约740片、各型号标牌约633块、各型号杆件约194柱、其它各型号石材约8600块等）搬迁至新址</w:t>
            </w:r>
            <w:r>
              <w:rPr>
                <w:rFonts w:hint="eastAsia" w:ascii="宋体" w:hAnsi="Times New Roman" w:eastAsia="宋体" w:cs="Times New Roman"/>
                <w:kern w:val="0"/>
                <w:sz w:val="24"/>
                <w:lang w:val="en-US" w:eastAsia="zh-CN" w:bidi="ar-SA"/>
              </w:rPr>
              <w:t>（</w:t>
            </w:r>
            <w:r>
              <w:rPr>
                <w:rFonts w:hint="eastAsia" w:cs="Times New Roman"/>
                <w:kern w:val="0"/>
                <w:sz w:val="24"/>
                <w:lang w:val="en-US" w:eastAsia="zh-CN" w:bidi="ar-SA"/>
              </w:rPr>
              <w:t>路程15公里以内</w:t>
            </w:r>
            <w:r>
              <w:rPr>
                <w:rFonts w:hint="eastAsia" w:ascii="宋体" w:hAnsi="Times New Roman" w:eastAsia="宋体" w:cs="Times New Roman"/>
                <w:kern w:val="0"/>
                <w:sz w:val="24"/>
                <w:lang w:val="en-US" w:eastAsia="zh-CN" w:bidi="ar-SA"/>
              </w:rPr>
              <w:t>）</w:t>
            </w:r>
            <w:r>
              <w:rPr>
                <w:rFonts w:hint="eastAsia"/>
                <w:lang w:val="en-US" w:eastAsia="zh-CN"/>
              </w:rPr>
              <w:t>，并按照招标人需求对新址场地进行清表及平整工作</w:t>
            </w:r>
            <w:r>
              <w:t>(搬迁数量包括但不限于以上种类和数量)。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rPr>
                <w:rFonts w:hint="eastAsia"/>
                <w:bCs/>
                <w:color w:val="000000"/>
                <w:szCs w:val="24"/>
              </w:rPr>
            </w:pPr>
            <w:r>
              <w:rPr>
                <w:rFonts w:hint="eastAsia"/>
                <w:bCs/>
                <w:color w:val="000000"/>
                <w:szCs w:val="24"/>
              </w:rPr>
              <w:t>1.符合《中华人民共和国政府采购法》第二十二条的规定；</w:t>
            </w:r>
          </w:p>
          <w:p>
            <w:pPr>
              <w:rPr>
                <w:bCs/>
                <w:color w:val="000000"/>
                <w:szCs w:val="24"/>
              </w:rPr>
            </w:pPr>
            <w:r>
              <w:rPr>
                <w:bCs/>
                <w:color w:val="000000"/>
                <w:szCs w:val="24"/>
              </w:rPr>
              <w:t>2、</w:t>
            </w:r>
            <w:r>
              <w:rPr>
                <w:rFonts w:hint="eastAsia"/>
                <w:bCs/>
                <w:color w:val="000000"/>
                <w:szCs w:val="24"/>
              </w:rPr>
              <w:t>具备有效的安全生产许可证</w:t>
            </w:r>
            <w:r>
              <w:rPr>
                <w:bCs/>
                <w:color w:val="000000"/>
                <w:szCs w:val="24"/>
              </w:rPr>
              <w:t>；</w:t>
            </w:r>
          </w:p>
          <w:p>
            <w:pPr>
              <w:rPr>
                <w:bCs/>
                <w:color w:val="000000"/>
                <w:szCs w:val="24"/>
              </w:rPr>
            </w:pPr>
            <w:r>
              <w:rPr>
                <w:bCs/>
                <w:color w:val="000000"/>
                <w:szCs w:val="24"/>
              </w:rPr>
              <w:t>3、具有本地化(合肥市)服务能力。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42"/>
              <w:widowControl w:val="0"/>
              <w:spacing w:before="0" w:beforeAutospacing="0" w:after="0" w:afterAutospacing="0"/>
              <w:jc w:val="both"/>
              <w:rPr>
                <w:rFonts w:hint="default" w:eastAsia="宋体"/>
                <w:b w:val="0"/>
                <w:bCs w:val="0"/>
                <w:color w:val="000000"/>
                <w:sz w:val="24"/>
                <w:lang w:val="en-US" w:eastAsia="zh-CN"/>
              </w:rPr>
            </w:pPr>
            <w:r>
              <w:rPr>
                <w:rFonts w:hint="eastAsia"/>
                <w:b w:val="0"/>
                <w:bCs w:val="0"/>
                <w:color w:val="000000"/>
                <w:sz w:val="24"/>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42"/>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42"/>
              <w:widowControl w:val="0"/>
              <w:spacing w:before="0" w:beforeAutospacing="0" w:after="0" w:afterAutospacing="0"/>
              <w:jc w:val="both"/>
              <w:rPr>
                <w:b w:val="0"/>
                <w:bCs w:val="0"/>
                <w:color w:val="000000"/>
                <w:sz w:val="24"/>
              </w:rPr>
            </w:pPr>
            <w:r>
              <w:rPr>
                <w:color w:val="000000"/>
              </w:rPr>
              <w:sym w:font="Wingdings" w:char="0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05" w:firstLineChars="50"/>
              <w:rPr>
                <w:rFonts w:hAnsi="宋体"/>
                <w:bCs/>
                <w:color w:val="000000"/>
              </w:rPr>
            </w:pPr>
            <w:r>
              <w:rPr>
                <w:b/>
                <w:bCs/>
                <w:color w:val="000000"/>
              </w:rPr>
              <w:sym w:font="Wingdings" w:char="0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vAlign w:val="center"/>
          </w:tcPr>
          <w:p>
            <w:pPr>
              <w:pStyle w:val="14"/>
              <w:spacing w:line="440" w:lineRule="exact"/>
              <w:ind w:firstLine="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1．服务费由甲方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以转账形式</w:t>
            </w:r>
            <w:r>
              <w:rPr>
                <w:rFonts w:hint="eastAsia" w:asciiTheme="minorEastAsia" w:hAnsiTheme="minorEastAsia" w:eastAsiaTheme="minorEastAsia" w:cstheme="minorEastAsia"/>
                <w:color w:val="000000" w:themeColor="text1"/>
                <w:sz w:val="21"/>
                <w:szCs w:val="21"/>
                <w14:textFill>
                  <w14:solidFill>
                    <w14:schemeClr w14:val="tx1"/>
                  </w14:solidFill>
                </w14:textFill>
              </w:rPr>
              <w:t>支付乙方。</w:t>
            </w:r>
          </w:p>
          <w:p>
            <w:pPr>
              <w:jc w:val="both"/>
              <w:rPr>
                <w:rFonts w:hint="eastAsia"/>
                <w:lang w:val="en-US" w:eastAsia="zh-CN"/>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2．具体支付方式和时间如下：</w:t>
            </w:r>
            <w:r>
              <w:rPr>
                <w:rFonts w:hint="eastAsia" w:ascii="宋体" w:hAnsi="宋体" w:eastAsiaTheme="minorEastAsia"/>
                <w:sz w:val="21"/>
                <w:szCs w:val="21"/>
                <w:lang w:val="en-US" w:eastAsia="zh-CN"/>
              </w:rPr>
              <w:t>搬运结束并通过验收后，30个工作日内一次性支付费用。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0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int="eastAsia" w:hAnsi="宋体" w:eastAsia="宋体"/>
                <w:color w:val="000000"/>
                <w:lang w:eastAsia="zh-CN"/>
              </w:rPr>
            </w:pPr>
            <w:r>
              <w:rPr>
                <w:rFonts w:hint="eastAsia" w:hAnsi="宋体"/>
                <w:color w:val="000000"/>
              </w:rPr>
              <w:t>合肥经济技术开发区</w:t>
            </w:r>
            <w:r>
              <w:rPr>
                <w:rFonts w:hint="eastAsia" w:hAnsi="宋体"/>
                <w:color w:val="000000"/>
                <w:lang w:eastAsia="zh-CN"/>
              </w:rPr>
              <w:t>（</w:t>
            </w:r>
            <w:r>
              <w:rPr>
                <w:rFonts w:hint="eastAsia" w:hAnsi="宋体"/>
                <w:color w:val="000000"/>
                <w:lang w:val="en-US" w:eastAsia="zh-CN"/>
              </w:rPr>
              <w:t>北区</w:t>
            </w:r>
            <w:r>
              <w:rPr>
                <w:rFonts w:hint="eastAsia" w:hAnsi="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int="eastAsia" w:cs="宋体" w:asciiTheme="minorEastAsia" w:hAnsiTheme="minorEastAsia" w:eastAsiaTheme="minorEastAsia"/>
                <w:color w:val="000000"/>
                <w:szCs w:val="21"/>
                <w:lang w:eastAsia="zh-CN"/>
              </w:rPr>
            </w:pPr>
            <w:r>
              <w:rPr>
                <w:rFonts w:hint="eastAsia" w:cs="宋体" w:asciiTheme="minorEastAsia" w:hAnsiTheme="minorEastAsia" w:eastAsiaTheme="minorEastAsia"/>
                <w:color w:val="000000"/>
                <w:szCs w:val="21"/>
              </w:rPr>
              <w:t>1、自</w:t>
            </w:r>
            <w:r>
              <w:rPr>
                <w:rFonts w:hint="eastAsia" w:cs="宋体" w:asciiTheme="minorEastAsia" w:hAnsiTheme="minorEastAsia"/>
                <w:color w:val="000000"/>
                <w:szCs w:val="21"/>
                <w:lang w:val="en-US" w:eastAsia="zh-CN"/>
              </w:rPr>
              <w:t>开工</w:t>
            </w:r>
            <w:r>
              <w:rPr>
                <w:rFonts w:hint="eastAsia" w:cs="宋体" w:asciiTheme="minorEastAsia" w:hAnsiTheme="minorEastAsia" w:eastAsiaTheme="minorEastAsia"/>
                <w:color w:val="000000"/>
                <w:szCs w:val="21"/>
              </w:rPr>
              <w:t>之日起</w:t>
            </w:r>
            <w:r>
              <w:rPr>
                <w:rFonts w:hint="eastAsia" w:cs="宋体" w:asciiTheme="minorEastAsia" w:hAnsiTheme="minorEastAsia" w:eastAsiaTheme="minorEastAsia"/>
                <w:color w:val="000000"/>
                <w:szCs w:val="21"/>
                <w:lang w:val="en-US" w:eastAsia="zh-CN"/>
              </w:rPr>
              <w:t>10日</w:t>
            </w:r>
            <w:r>
              <w:rPr>
                <w:rFonts w:hint="eastAsia" w:cs="宋体" w:asciiTheme="minorEastAsia" w:hAnsiTheme="minorEastAsia" w:eastAsiaTheme="minorEastAsia"/>
                <w:color w:val="000000"/>
                <w:szCs w:val="21"/>
              </w:rPr>
              <w:t>内完成</w:t>
            </w:r>
            <w:r>
              <w:rPr>
                <w:rFonts w:hint="eastAsia" w:cs="宋体" w:asciiTheme="minorEastAsia" w:hAnsiTheme="minorEastAsia" w:eastAsiaTheme="minorEastAsia"/>
                <w:color w:val="000000"/>
                <w:szCs w:val="21"/>
                <w:lang w:eastAsia="zh-CN"/>
              </w:rPr>
              <w:t>。</w:t>
            </w:r>
            <w:bookmarkStart w:id="10" w:name="_GoBack"/>
            <w:bookmarkEnd w:id="10"/>
          </w:p>
          <w:p>
            <w:pPr>
              <w:spacing w:line="500" w:lineRule="exact"/>
              <w:rPr>
                <w:rFonts w:hAnsi="宋体"/>
                <w:color w:val="FF0000"/>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w:t>
            </w:r>
            <w:r>
              <w:rPr>
                <w:rFonts w:hint="eastAsia" w:cs="宋体" w:asciiTheme="minorEastAsia" w:hAnsiTheme="minorEastAsia" w:eastAsiaTheme="minorEastAsia"/>
                <w:color w:val="000000"/>
                <w:szCs w:val="21"/>
                <w:lang w:val="en-US" w:eastAsia="zh-CN"/>
              </w:rPr>
              <w:t>服务</w:t>
            </w:r>
            <w:r>
              <w:rPr>
                <w:rFonts w:hint="eastAsia" w:cs="宋体" w:asciiTheme="minorEastAsia" w:hAnsiTheme="minorEastAsia" w:eastAsiaTheme="minorEastAsia"/>
                <w:color w:val="000000"/>
                <w:szCs w:val="21"/>
              </w:rPr>
              <w:t>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675" w:type="dxa"/>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rPr>
              <w:t>11</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A8"/>
            </w:r>
            <w:r>
              <w:rPr>
                <w:rFonts w:hint="eastAsia" w:hAnsi="宋体"/>
                <w:bCs/>
                <w:color w:val="000000"/>
              </w:rPr>
              <w:t>自行踏勘</w:t>
            </w:r>
            <w:r>
              <w:rPr>
                <w:rFonts w:hint="eastAsia" w:hAnsi="宋体"/>
                <w:color w:val="000000"/>
              </w:rPr>
              <w:t xml:space="preserve">  </w:t>
            </w:r>
            <w:r>
              <w:rPr>
                <w:rFonts w:hint="eastAsia" w:hAnsi="宋体"/>
                <w:color w:val="000000"/>
                <w:lang w:eastAsia="zh-CN"/>
              </w:rPr>
              <w:t>☑</w:t>
            </w:r>
            <w:r>
              <w:rPr>
                <w:rFonts w:hint="eastAsia" w:hAnsi="宋体"/>
                <w:color w:val="000000"/>
              </w:rPr>
              <w:t>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rPr>
              <w:t>12</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default" w:hAnsi="宋体" w:eastAsia="宋体"/>
                <w:color w:val="000000"/>
                <w:lang w:val="en-US" w:eastAsia="zh-CN"/>
              </w:rPr>
            </w:pPr>
            <w:r>
              <w:rPr>
                <w:rFonts w:hint="eastAsia" w:hAnsi="宋体"/>
                <w:color w:val="000000"/>
                <w:highlight w:val="none"/>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75" w:type="dxa"/>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rPr>
              <w:t>13</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eastAsia" w:ascii="宋体" w:hAnsi="宋体" w:eastAsia="宋体"/>
                <w:snapToGrid w:val="0"/>
                <w:kern w:val="0"/>
                <w:szCs w:val="21"/>
                <w:lang w:val="en-US" w:eastAsia="zh-CN"/>
              </w:rPr>
            </w:pPr>
            <w:r>
              <w:rPr>
                <w:rFonts w:hint="eastAsia" w:hAnsi="宋体"/>
                <w:snapToGrid w:val="0"/>
                <w:kern w:val="0"/>
                <w:szCs w:val="21"/>
                <w:lang w:val="en-US" w:eastAsia="zh-CN"/>
              </w:rPr>
              <w:t>壹万元整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rPr>
              <w:t>14</w:t>
            </w:r>
          </w:p>
        </w:tc>
        <w:tc>
          <w:tcPr>
            <w:tcW w:w="1447" w:type="dxa"/>
            <w:vAlign w:val="center"/>
          </w:tcPr>
          <w:p>
            <w:pPr>
              <w:ind w:firstLine="210" w:firstLineChars="100"/>
              <w:rPr>
                <w:rFonts w:hAnsi="宋体"/>
                <w:color w:val="000000"/>
              </w:rPr>
            </w:pPr>
            <w:r>
              <w:rPr>
                <w:rFonts w:hint="eastAsia"/>
                <w:color w:val="auto"/>
                <w:highlight w:val="none"/>
                <w:shd w:val="clear" w:color="FFFFFF" w:fill="D9D9D9"/>
              </w:rPr>
              <w:t>业绩</w:t>
            </w:r>
          </w:p>
        </w:tc>
        <w:tc>
          <w:tcPr>
            <w:tcW w:w="7223" w:type="dxa"/>
            <w:vAlign w:val="center"/>
          </w:tcPr>
          <w:p>
            <w:pPr>
              <w:spacing w:before="100" w:beforeAutospacing="1" w:line="360" w:lineRule="auto"/>
              <w:contextualSpacing/>
              <w:rPr>
                <w:rFonts w:hAnsi="宋体"/>
                <w:b/>
                <w:color w:val="000000"/>
              </w:rPr>
            </w:pPr>
            <w:r>
              <w:rPr>
                <w:rFonts w:hint="eastAsia"/>
                <w:highlight w:val="none"/>
              </w:rPr>
              <w:t>自2020年1月1日以来（以合同签订时间为准），</w:t>
            </w:r>
            <w:r>
              <w:rPr>
                <w:rFonts w:hint="eastAsia" w:hAnsi="宋体" w:cs="宋体"/>
                <w:bCs/>
                <w:snapToGrid w:val="0"/>
                <w:szCs w:val="24"/>
                <w:highlight w:val="none"/>
              </w:rPr>
              <w:t>投标人须具有至少一项</w:t>
            </w:r>
            <w:r>
              <w:rPr>
                <w:rFonts w:hint="eastAsia" w:hAnsi="宋体" w:cs="宋体"/>
                <w:bCs/>
                <w:snapToGrid w:val="0"/>
                <w:szCs w:val="24"/>
                <w:highlight w:val="none"/>
                <w:lang w:val="en-US" w:eastAsia="zh-CN"/>
              </w:rPr>
              <w:t>市政设施搬迁、运输</w:t>
            </w:r>
            <w:r>
              <w:rPr>
                <w:rFonts w:hint="eastAsia" w:hAnsi="宋体" w:cs="宋体"/>
                <w:bCs/>
                <w:snapToGrid w:val="0"/>
                <w:szCs w:val="24"/>
                <w:highlight w:val="none"/>
              </w:rPr>
              <w:t>类似业绩</w:t>
            </w:r>
            <w:r>
              <w:rPr>
                <w:rFonts w:hint="eastAsia" w:hAnsi="宋体" w:cs="宋体"/>
                <w:bCs/>
                <w:snapToGrid w:val="0"/>
                <w:szCs w:val="24"/>
                <w:highlight w:val="none"/>
                <w:lang w:eastAsia="zh-CN"/>
              </w:rPr>
              <w:t>（</w:t>
            </w:r>
            <w:r>
              <w:rPr>
                <w:rFonts w:hint="eastAsia" w:hAnsi="宋体" w:cs="宋体"/>
                <w:bCs/>
                <w:snapToGrid w:val="0"/>
                <w:szCs w:val="24"/>
                <w:highlight w:val="none"/>
                <w:lang w:val="en-US" w:eastAsia="zh-CN"/>
              </w:rPr>
              <w:t>不低于10万元</w:t>
            </w:r>
            <w:r>
              <w:rPr>
                <w:rFonts w:hint="eastAsia" w:hAnsi="宋体" w:cs="宋体"/>
                <w:bCs/>
                <w:snapToGrid w:val="0"/>
                <w:szCs w:val="24"/>
                <w:highlight w:val="none"/>
                <w:lang w:eastAsia="zh-CN"/>
              </w:rPr>
              <w:t>）</w:t>
            </w:r>
            <w:r>
              <w:rPr>
                <w:rFonts w:hint="eastAsia"/>
                <w:highlight w:val="none"/>
              </w:rPr>
              <w:t>，需在投标文件中提供合同复印件备查。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rPr>
              <w:t>15</w:t>
            </w:r>
          </w:p>
        </w:tc>
        <w:tc>
          <w:tcPr>
            <w:tcW w:w="1447" w:type="dxa"/>
            <w:vAlign w:val="center"/>
          </w:tcPr>
          <w:p>
            <w:pPr>
              <w:ind w:firstLine="210" w:firstLineChars="100"/>
              <w:rPr>
                <w:rFonts w:hint="eastAsia" w:asciiTheme="minorHAnsi" w:hAnsiTheme="minorHAnsi" w:eastAsiaTheme="minorEastAsia" w:cstheme="minorBidi"/>
                <w:color w:val="000000"/>
                <w:kern w:val="2"/>
                <w:sz w:val="21"/>
                <w:szCs w:val="22"/>
                <w:highlight w:val="none"/>
                <w:lang w:val="en-US" w:eastAsia="zh-CN" w:bidi="ar-SA"/>
              </w:rPr>
            </w:pPr>
            <w:r>
              <w:rPr>
                <w:rFonts w:hint="eastAsia"/>
                <w:color w:val="000000"/>
                <w:highlight w:val="none"/>
              </w:rPr>
              <w:t>其他</w:t>
            </w:r>
          </w:p>
        </w:tc>
        <w:tc>
          <w:tcPr>
            <w:tcW w:w="7223" w:type="dxa"/>
            <w:vAlign w:val="center"/>
          </w:tcPr>
          <w:p>
            <w:pPr>
              <w:rPr>
                <w:rFonts w:hint="eastAsia" w:eastAsia="宋体" w:asciiTheme="minorHAnsi" w:hAnsiTheme="minorHAnsi" w:cstheme="minorBidi"/>
                <w:color w:val="000000"/>
                <w:kern w:val="2"/>
                <w:sz w:val="21"/>
                <w:szCs w:val="22"/>
                <w:highlight w:val="yellow"/>
                <w:lang w:val="en-US" w:eastAsia="zh-CN" w:bidi="ar-SA"/>
              </w:rPr>
            </w:pPr>
            <w:r>
              <w:rPr>
                <w:rFonts w:hint="eastAsia" w:hAnsi="宋体"/>
                <w:b/>
                <w:color w:val="auto"/>
                <w:highlight w:val="none"/>
                <w:lang w:val="en-US" w:eastAsia="zh-CN"/>
              </w:rPr>
              <w:t>特</w:t>
            </w:r>
            <w:r>
              <w:rPr>
                <w:rFonts w:hAnsi="宋体"/>
                <w:b/>
                <w:color w:val="auto"/>
                <w:highlight w:val="none"/>
              </w:rPr>
              <w:t>别提醒</w:t>
            </w:r>
            <w:r>
              <w:rPr>
                <w:rFonts w:hint="eastAsia" w:hAnsi="宋体"/>
                <w:b/>
                <w:color w:val="auto"/>
                <w:highlight w:val="none"/>
              </w:rPr>
              <w:t>：</w:t>
            </w:r>
            <w:r>
              <w:rPr>
                <w:rFonts w:hAnsi="宋体"/>
                <w:b/>
                <w:color w:val="auto"/>
                <w:highlight w:val="none"/>
              </w:rPr>
              <w:t>供应商参与</w:t>
            </w:r>
            <w:r>
              <w:rPr>
                <w:rFonts w:hint="eastAsia" w:hAnsi="宋体"/>
                <w:b/>
                <w:color w:val="auto"/>
                <w:highlight w:val="none"/>
              </w:rPr>
              <w:t>投标</w:t>
            </w:r>
            <w:r>
              <w:rPr>
                <w:rFonts w:hAnsi="宋体"/>
                <w:b/>
                <w:color w:val="auto"/>
                <w:highlight w:val="none"/>
              </w:rPr>
              <w:t>，应当诚信守法、公平竞争。如</w:t>
            </w:r>
            <w:r>
              <w:rPr>
                <w:rFonts w:hint="eastAsia" w:hAnsi="宋体"/>
                <w:b/>
                <w:color w:val="auto"/>
                <w:highlight w:val="none"/>
              </w:rPr>
              <w:t>有</w:t>
            </w:r>
            <w:r>
              <w:rPr>
                <w:rFonts w:hAnsi="宋体"/>
                <w:b/>
                <w:color w:val="auto"/>
                <w:highlight w:val="none"/>
              </w:rPr>
              <w:t>以提供虚假材料</w:t>
            </w:r>
            <w:r>
              <w:rPr>
                <w:rFonts w:hint="eastAsia" w:hAnsi="宋体"/>
                <w:b/>
                <w:color w:val="auto"/>
                <w:highlight w:val="none"/>
              </w:rPr>
              <w:t>（包括但不限于虚假技术参数响应、虚假业绩、虚假证书、虚假检测报告等）</w:t>
            </w:r>
            <w:r>
              <w:rPr>
                <w:rFonts w:hAnsi="宋体"/>
                <w:b/>
                <w:color w:val="auto"/>
                <w:highlight w:val="none"/>
              </w:rPr>
              <w:t>、串通投标、隐瞒失信信息等谋取</w:t>
            </w:r>
            <w:r>
              <w:rPr>
                <w:rFonts w:hint="eastAsia" w:hAnsi="宋体"/>
                <w:b/>
                <w:color w:val="auto"/>
                <w:highlight w:val="none"/>
              </w:rPr>
              <w:t>成交资格</w:t>
            </w:r>
            <w:r>
              <w:rPr>
                <w:rFonts w:hAnsi="宋体"/>
                <w:b/>
                <w:color w:val="auto"/>
                <w:highlight w:val="none"/>
              </w:rPr>
              <w:t>的行为，一经发现，将报</w:t>
            </w:r>
            <w:r>
              <w:rPr>
                <w:rFonts w:hint="eastAsia" w:hAnsi="宋体"/>
                <w:b/>
                <w:color w:val="auto"/>
                <w:highlight w:val="none"/>
              </w:rPr>
              <w:t>监</w:t>
            </w:r>
            <w:r>
              <w:rPr>
                <w:rFonts w:hAnsi="宋体"/>
                <w:b/>
                <w:color w:val="auto"/>
                <w:highlight w:val="none"/>
              </w:rPr>
              <w:t>管</w:t>
            </w:r>
            <w:r>
              <w:rPr>
                <w:rFonts w:hint="eastAsia" w:hAnsi="宋体"/>
                <w:b/>
                <w:color w:val="auto"/>
                <w:highlight w:val="none"/>
              </w:rPr>
              <w:t>部门</w:t>
            </w:r>
            <w:r>
              <w:rPr>
                <w:rFonts w:hAnsi="宋体"/>
                <w:b/>
                <w:color w:val="auto"/>
                <w:highlight w:val="none"/>
              </w:rPr>
              <w:t xml:space="preserve">严肃查处。 </w:t>
            </w:r>
          </w:p>
        </w:tc>
      </w:tr>
    </w:tbl>
    <w:p/>
    <w:p>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color w:val="000000"/>
          <w:sz w:val="24"/>
          <w:szCs w:val="24"/>
          <w:highlight w:val="none"/>
          <w:lang w:val="en-US" w:eastAsia="zh-CN"/>
        </w:rPr>
        <w:t>一、</w:t>
      </w:r>
      <w:r>
        <w:rPr>
          <w:rFonts w:hint="eastAsia" w:asciiTheme="minorEastAsia" w:hAnsiTheme="minorEastAsia" w:eastAsiaTheme="minorEastAsia" w:cstheme="minorEastAsia"/>
          <w:b/>
          <w:bCs/>
          <w:color w:val="000000"/>
          <w:sz w:val="24"/>
          <w:szCs w:val="24"/>
          <w:highlight w:val="none"/>
          <w:lang w:val="en-US" w:eastAsia="zh-CN"/>
        </w:rPr>
        <w:t>项目概况</w:t>
      </w:r>
    </w:p>
    <w:p>
      <w:pPr>
        <w:pStyle w:val="6"/>
        <w:spacing w:before="218" w:line="360" w:lineRule="auto"/>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负责将公用公司新桥分公司市政基地（长兴大道与中川路交口）内存放市政设施（各型号护栏约740片、各型号标牌约633块、各型号杆件约194柱、其它各型号石材约8600块等）搬迁至新址（路程15公里以内），并按照招标人要求对新址场地进行</w:t>
      </w:r>
      <w:r>
        <w:rPr>
          <w:rFonts w:hint="eastAsia" w:asciiTheme="minorEastAsia" w:hAnsiTheme="minorEastAsia" w:eastAsiaTheme="minorEastAsia" w:cstheme="minorEastAsia"/>
          <w:b/>
          <w:bCs/>
          <w:kern w:val="0"/>
          <w:sz w:val="24"/>
          <w:szCs w:val="24"/>
          <w:lang w:val="en-US" w:eastAsia="zh-CN" w:bidi="ar-SA"/>
        </w:rPr>
        <w:t>清表及平整</w:t>
      </w:r>
      <w:r>
        <w:rPr>
          <w:rFonts w:hint="eastAsia" w:asciiTheme="minorEastAsia" w:hAnsiTheme="minorEastAsia" w:eastAsiaTheme="minorEastAsia" w:cstheme="minorEastAsia"/>
          <w:b w:val="0"/>
          <w:bCs w:val="0"/>
          <w:kern w:val="0"/>
          <w:sz w:val="24"/>
          <w:szCs w:val="24"/>
          <w:lang w:val="en-US" w:eastAsia="zh-CN" w:bidi="ar-SA"/>
        </w:rPr>
        <w:t>工作(搬迁数量包括但不限于以上种类和数量)。</w:t>
      </w:r>
    </w:p>
    <w:p>
      <w:pPr>
        <w:pStyle w:val="6"/>
        <w:numPr>
          <w:ilvl w:val="0"/>
          <w:numId w:val="1"/>
        </w:numPr>
        <w:spacing w:before="218" w:line="219" w:lineRule="auto"/>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服务需求</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1.本项目中标人需按采购人项目要求，保障搬迁所需的人员、车辆、机械要求。</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2.设施设施的搬迁要求:</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①搬迁前中标人须安排人员对设施数量进行核对确认并签字，运输周转车辆做好影像记录工作。</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②搬迁过程中涉及设施需保证搬运物完好性，如发生数量缺失，中标人并承担由此产生的一切损失。</w:t>
      </w:r>
    </w:p>
    <w:p>
      <w:pPr>
        <w:spacing w:before="100" w:beforeAutospacing="1" w:line="360" w:lineRule="auto"/>
        <w:ind w:firstLine="480" w:firstLineChars="200"/>
        <w:contextualSpacing/>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color w:val="000000"/>
          <w:sz w:val="24"/>
          <w:szCs w:val="24"/>
          <w:lang w:val="en-US" w:eastAsia="zh-CN"/>
        </w:rPr>
        <w:t>中标</w:t>
      </w:r>
      <w:r>
        <w:rPr>
          <w:rFonts w:hint="eastAsia" w:asciiTheme="minorEastAsia" w:hAnsiTheme="minorEastAsia" w:eastAsiaTheme="minorEastAsia" w:cstheme="minorEastAsia"/>
          <w:color w:val="000000"/>
          <w:sz w:val="24"/>
          <w:szCs w:val="24"/>
          <w:lang w:eastAsia="zh-CN"/>
        </w:rPr>
        <w:t>单位</w:t>
      </w:r>
      <w:r>
        <w:rPr>
          <w:rFonts w:hint="eastAsia" w:asciiTheme="minorEastAsia" w:hAnsiTheme="minorEastAsia" w:eastAsiaTheme="minorEastAsia" w:cstheme="minorEastAsia"/>
          <w:color w:val="000000"/>
          <w:sz w:val="24"/>
          <w:szCs w:val="24"/>
        </w:rPr>
        <w:t>负责对作业人员进行思想教育、专业培训、安全生产教育，并要求作业人员做到遵纪守法，驾驶员等特殊岗位须持证上岗</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b/>
          <w:bCs w:val="0"/>
          <w:snapToGrid w:val="0"/>
          <w:color w:val="auto"/>
          <w:sz w:val="24"/>
          <w:szCs w:val="24"/>
          <w:highlight w:val="none"/>
        </w:rPr>
        <w:t>项目专职安全员须持安全C证</w:t>
      </w:r>
      <w:r>
        <w:rPr>
          <w:rFonts w:hint="eastAsia" w:asciiTheme="minorEastAsia" w:hAnsiTheme="minorEastAsia" w:eastAsiaTheme="minorEastAsia" w:cstheme="minorEastAsia"/>
          <w:b/>
          <w:bCs w:val="0"/>
          <w:snapToGrid w:val="0"/>
          <w:color w:val="auto"/>
          <w:sz w:val="24"/>
          <w:szCs w:val="24"/>
          <w:highlight w:val="none"/>
          <w:lang w:val="en-US" w:eastAsia="zh-CN"/>
        </w:rPr>
        <w:t>上岗</w:t>
      </w:r>
      <w:r>
        <w:rPr>
          <w:rFonts w:hint="eastAsia" w:asciiTheme="minorEastAsia" w:hAnsiTheme="minorEastAsia" w:eastAsiaTheme="minorEastAsia" w:cstheme="minorEastAsia"/>
          <w:b/>
          <w:bCs w:val="0"/>
          <w:snapToGrid w:val="0"/>
          <w:color w:val="auto"/>
          <w:sz w:val="24"/>
          <w:szCs w:val="24"/>
          <w:highlight w:val="none"/>
        </w:rPr>
        <w:t>（中标后提供）</w:t>
      </w:r>
      <w:r>
        <w:rPr>
          <w:rFonts w:hint="eastAsia" w:asciiTheme="minorEastAsia" w:hAnsiTheme="minorEastAsia" w:eastAsiaTheme="minorEastAsia" w:cstheme="minorEastAsia"/>
          <w:b/>
          <w:bCs w:val="0"/>
          <w:snapToGrid w:val="0"/>
          <w:color w:val="auto"/>
          <w:sz w:val="24"/>
          <w:szCs w:val="24"/>
          <w:highlight w:val="none"/>
          <w:lang w:eastAsia="zh-CN"/>
        </w:rPr>
        <w:t>。</w:t>
      </w:r>
    </w:p>
    <w:p>
      <w:pPr>
        <w:numPr>
          <w:ilvl w:val="0"/>
          <w:numId w:val="2"/>
        </w:numPr>
        <w:spacing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中标</w:t>
      </w:r>
      <w:r>
        <w:rPr>
          <w:rFonts w:hint="eastAsia" w:asciiTheme="minorEastAsia" w:hAnsiTheme="minorEastAsia" w:eastAsiaTheme="minorEastAsia" w:cstheme="minorEastAsia"/>
          <w:color w:val="000000"/>
          <w:sz w:val="24"/>
          <w:szCs w:val="24"/>
          <w:lang w:eastAsia="zh-CN"/>
        </w:rPr>
        <w:t>单位</w:t>
      </w:r>
      <w:r>
        <w:rPr>
          <w:rFonts w:hint="eastAsia" w:asciiTheme="minorEastAsia" w:hAnsiTheme="minorEastAsia" w:eastAsiaTheme="minorEastAsia" w:cstheme="minorEastAsia"/>
          <w:color w:val="000000"/>
          <w:sz w:val="24"/>
          <w:szCs w:val="24"/>
        </w:rPr>
        <w:t>在服务期内所发生的有关民事、刑事、安全事故、劳资纠纷等一切责任及经济损失均由</w:t>
      </w:r>
      <w:r>
        <w:rPr>
          <w:rFonts w:hint="eastAsia" w:asciiTheme="minorEastAsia" w:hAnsiTheme="minorEastAsia" w:eastAsiaTheme="minorEastAsia" w:cstheme="minorEastAsia"/>
          <w:color w:val="000000"/>
          <w:sz w:val="24"/>
          <w:szCs w:val="24"/>
          <w:lang w:val="en-US" w:eastAsia="zh-CN"/>
        </w:rPr>
        <w:t>中标</w:t>
      </w:r>
      <w:r>
        <w:rPr>
          <w:rFonts w:hint="eastAsia" w:asciiTheme="minorEastAsia" w:hAnsiTheme="minorEastAsia" w:eastAsiaTheme="minorEastAsia" w:cstheme="minorEastAsia"/>
          <w:color w:val="000000"/>
          <w:sz w:val="24"/>
          <w:szCs w:val="24"/>
          <w:lang w:eastAsia="zh-CN"/>
        </w:rPr>
        <w:t>单位</w:t>
      </w:r>
      <w:r>
        <w:rPr>
          <w:rFonts w:hint="eastAsia" w:asciiTheme="minorEastAsia" w:hAnsiTheme="minorEastAsia" w:eastAsiaTheme="minorEastAsia" w:cstheme="minorEastAsia"/>
          <w:color w:val="000000"/>
          <w:sz w:val="24"/>
          <w:szCs w:val="24"/>
        </w:rPr>
        <w:t>自行承担。</w:t>
      </w:r>
    </w:p>
    <w:p>
      <w:pPr>
        <w:spacing w:before="100" w:beforeAutospacing="1" w:line="360" w:lineRule="auto"/>
        <w:contextualSpacing/>
        <w:rPr>
          <w:rFonts w:hint="eastAsia" w:asciiTheme="minorEastAsia" w:hAnsiTheme="minorEastAsia" w:eastAsiaTheme="minorEastAsia" w:cstheme="minorEastAsia"/>
          <w:b/>
          <w:snapToGrid w:val="0"/>
          <w:sz w:val="24"/>
          <w:szCs w:val="24"/>
          <w:highlight w:val="none"/>
        </w:rPr>
      </w:pPr>
      <w:r>
        <w:rPr>
          <w:rFonts w:hint="eastAsia" w:asciiTheme="minorEastAsia" w:hAnsiTheme="minorEastAsia" w:eastAsiaTheme="minorEastAsia" w:cstheme="minorEastAsia"/>
          <w:b/>
          <w:snapToGrid w:val="0"/>
          <w:sz w:val="24"/>
          <w:szCs w:val="24"/>
          <w:highlight w:val="none"/>
          <w:lang w:val="en-US" w:eastAsia="zh-CN"/>
        </w:rPr>
        <w:t>三、</w:t>
      </w:r>
      <w:r>
        <w:rPr>
          <w:rFonts w:hint="eastAsia" w:asciiTheme="minorEastAsia" w:hAnsiTheme="minorEastAsia" w:eastAsiaTheme="minorEastAsia" w:cstheme="minorEastAsia"/>
          <w:b/>
          <w:snapToGrid w:val="0"/>
          <w:sz w:val="24"/>
          <w:szCs w:val="24"/>
          <w:highlight w:val="none"/>
        </w:rPr>
        <w:t>投标人业绩要求：</w:t>
      </w:r>
    </w:p>
    <w:p>
      <w:pPr>
        <w:spacing w:before="100" w:beforeAutospacing="1"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自2020年1月1日以来（以合同签订时间为准），</w:t>
      </w:r>
      <w:r>
        <w:rPr>
          <w:rFonts w:hint="eastAsia" w:asciiTheme="minorEastAsia" w:hAnsiTheme="minorEastAsia" w:eastAsiaTheme="minorEastAsia" w:cstheme="minorEastAsia"/>
          <w:bCs/>
          <w:snapToGrid w:val="0"/>
          <w:sz w:val="24"/>
          <w:szCs w:val="24"/>
          <w:highlight w:val="none"/>
        </w:rPr>
        <w:t>投标人须具有一项</w:t>
      </w:r>
      <w:r>
        <w:rPr>
          <w:rFonts w:hint="eastAsia" w:asciiTheme="minorEastAsia" w:hAnsiTheme="minorEastAsia" w:eastAsiaTheme="minorEastAsia" w:cstheme="minorEastAsia"/>
          <w:bCs/>
          <w:snapToGrid w:val="0"/>
          <w:sz w:val="24"/>
          <w:szCs w:val="24"/>
          <w:highlight w:val="none"/>
          <w:lang w:val="en-US" w:eastAsia="zh-CN"/>
        </w:rPr>
        <w:t>市政设施搬迁、运输</w:t>
      </w:r>
      <w:r>
        <w:rPr>
          <w:rFonts w:hint="eastAsia" w:asciiTheme="minorEastAsia" w:hAnsiTheme="minorEastAsia" w:eastAsiaTheme="minorEastAsia" w:cstheme="minorEastAsia"/>
          <w:bCs/>
          <w:snapToGrid w:val="0"/>
          <w:sz w:val="24"/>
          <w:szCs w:val="24"/>
          <w:highlight w:val="none"/>
        </w:rPr>
        <w:t>类似业绩</w:t>
      </w:r>
      <w:r>
        <w:rPr>
          <w:rFonts w:hint="eastAsia" w:asciiTheme="minorEastAsia" w:hAnsiTheme="minorEastAsia" w:eastAsiaTheme="minorEastAsia" w:cstheme="minorEastAsia"/>
          <w:bCs/>
          <w:snapToGrid w:val="0"/>
          <w:sz w:val="24"/>
          <w:szCs w:val="24"/>
          <w:highlight w:val="none"/>
          <w:lang w:eastAsia="zh-CN"/>
        </w:rPr>
        <w:t>（</w:t>
      </w:r>
      <w:r>
        <w:rPr>
          <w:rFonts w:hint="eastAsia" w:asciiTheme="minorEastAsia" w:hAnsiTheme="minorEastAsia" w:eastAsiaTheme="minorEastAsia" w:cstheme="minorEastAsia"/>
          <w:bCs/>
          <w:snapToGrid w:val="0"/>
          <w:sz w:val="24"/>
          <w:szCs w:val="24"/>
          <w:highlight w:val="none"/>
          <w:lang w:val="en-US" w:eastAsia="zh-CN"/>
        </w:rPr>
        <w:t>不低于10万元</w:t>
      </w:r>
      <w:r>
        <w:rPr>
          <w:rFonts w:hint="eastAsia" w:asciiTheme="minorEastAsia" w:hAnsiTheme="minorEastAsia" w:eastAsiaTheme="minorEastAsia" w:cstheme="minorEastAsia"/>
          <w:bCs/>
          <w:snapToGrid w:val="0"/>
          <w:sz w:val="24"/>
          <w:szCs w:val="24"/>
          <w:highlight w:val="none"/>
          <w:lang w:eastAsia="zh-CN"/>
        </w:rPr>
        <w:t>）</w:t>
      </w:r>
      <w:r>
        <w:rPr>
          <w:rFonts w:hint="eastAsia" w:asciiTheme="minorEastAsia" w:hAnsiTheme="minorEastAsia" w:eastAsiaTheme="minorEastAsia" w:cstheme="minorEastAsia"/>
          <w:sz w:val="24"/>
          <w:szCs w:val="24"/>
          <w:highlight w:val="none"/>
        </w:rPr>
        <w:t>，需在投标文件中提供合同复印件备查。</w:t>
      </w:r>
    </w:p>
    <w:p>
      <w:pPr>
        <w:spacing w:before="100" w:beforeAutospacing="1"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pPr>
        <w:spacing w:before="100" w:beforeAutospacing="1"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（1）若提供的合同复印件不能直接体现</w:t>
      </w:r>
      <w:r>
        <w:rPr>
          <w:rFonts w:hint="eastAsia" w:asciiTheme="minorEastAsia" w:hAnsiTheme="minorEastAsia" w:eastAsiaTheme="minorEastAsia" w:cstheme="minorEastAsia"/>
          <w:bCs/>
          <w:snapToGrid w:val="0"/>
          <w:sz w:val="24"/>
          <w:szCs w:val="24"/>
          <w:highlight w:val="none"/>
        </w:rPr>
        <w:t>业绩类别或</w:t>
      </w:r>
      <w:r>
        <w:rPr>
          <w:rFonts w:hint="eastAsia" w:asciiTheme="minorEastAsia" w:hAnsiTheme="minorEastAsia" w:eastAsiaTheme="minorEastAsia" w:cstheme="minorEastAsia"/>
          <w:sz w:val="24"/>
          <w:szCs w:val="24"/>
          <w:highlight w:val="none"/>
        </w:rPr>
        <w:t>金额，则需提供其它相应证明材料，如：工程量清单，业主（含总包单位）证明材料（加盖业主公章）等证明材料。</w:t>
      </w:r>
    </w:p>
    <w:p>
      <w:pPr>
        <w:spacing w:before="100" w:beforeAutospacing="1"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（2）若评标委员会对业绩资料真实性质疑，</w:t>
      </w:r>
      <w:bookmarkStart w:id="9" w:name="_Hlk168495271"/>
      <w:r>
        <w:rPr>
          <w:rFonts w:hint="eastAsia" w:asciiTheme="minorEastAsia" w:hAnsiTheme="minorEastAsia" w:eastAsiaTheme="minorEastAsia" w:cstheme="minorEastAsia"/>
          <w:sz w:val="24"/>
          <w:szCs w:val="24"/>
          <w:highlight w:val="none"/>
          <w:lang w:val="en-US" w:eastAsia="zh-CN"/>
        </w:rPr>
        <w:t>评审小组</w:t>
      </w:r>
      <w:r>
        <w:rPr>
          <w:rFonts w:hint="eastAsia" w:asciiTheme="minorEastAsia" w:hAnsiTheme="minorEastAsia" w:eastAsiaTheme="minorEastAsia" w:cstheme="minorEastAsia"/>
          <w:sz w:val="24"/>
          <w:szCs w:val="24"/>
          <w:highlight w:val="none"/>
        </w:rPr>
        <w:t>有权现场查验投标人其它佐证资料（纸质版、电子版均可），如中标通知书、计量资料、发票、网站截图等证明材料。</w:t>
      </w:r>
      <w:bookmarkEnd w:id="9"/>
    </w:p>
    <w:p>
      <w:pPr>
        <w:spacing w:before="100" w:beforeAutospacing="1"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（3）完工业绩及在建业绩均认可。</w:t>
      </w:r>
    </w:p>
    <w:p>
      <w:pPr>
        <w:spacing w:before="100" w:beforeAutospacing="1" w:line="360" w:lineRule="auto"/>
        <w:ind w:firstLine="480" w:firstLineChars="200"/>
        <w:contextualSpacing/>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highlight w:val="none"/>
        </w:rPr>
        <w:t>（4）后续招标人对中标人提供业绩真实性进行再次核查，若存在弄虚作假情况，将取消中标人资格。</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rPr>
        <w:t>、报价要求</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本项目预算</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22.95</w:t>
      </w:r>
      <w:r>
        <w:rPr>
          <w:rFonts w:hint="eastAsia" w:asciiTheme="minorEastAsia" w:hAnsiTheme="minorEastAsia" w:eastAsiaTheme="minorEastAsia" w:cstheme="minorEastAsia"/>
          <w:b w:val="0"/>
          <w:bCs w:val="0"/>
          <w:sz w:val="24"/>
          <w:szCs w:val="24"/>
        </w:rPr>
        <w:t>万元</w:t>
      </w:r>
      <w:r>
        <w:rPr>
          <w:rFonts w:hint="eastAsia" w:asciiTheme="minorEastAsia" w:hAnsiTheme="minorEastAsia" w:eastAsiaTheme="minorEastAsia" w:cstheme="minorEastAsia"/>
          <w:b w:val="0"/>
          <w:bCs w:val="0"/>
          <w:sz w:val="24"/>
          <w:szCs w:val="24"/>
          <w:lang w:eastAsia="zh-CN"/>
        </w:rPr>
        <w:t>。中标人</w:t>
      </w:r>
      <w:r>
        <w:rPr>
          <w:rFonts w:hint="eastAsia" w:asciiTheme="minorEastAsia" w:hAnsiTheme="minorEastAsia" w:eastAsiaTheme="minorEastAsia" w:cstheme="minorEastAsia"/>
          <w:b w:val="0"/>
          <w:bCs w:val="0"/>
          <w:sz w:val="24"/>
          <w:szCs w:val="24"/>
        </w:rPr>
        <w:t>针对本项目所有内容报总价，总价包含完成本项目所有</w:t>
      </w:r>
      <w:r>
        <w:rPr>
          <w:rFonts w:hint="eastAsia" w:asciiTheme="minorEastAsia" w:hAnsiTheme="minorEastAsia" w:eastAsiaTheme="minorEastAsia" w:cstheme="minorEastAsia"/>
          <w:b w:val="0"/>
          <w:bCs w:val="0"/>
          <w:sz w:val="24"/>
          <w:szCs w:val="24"/>
          <w:highlight w:val="none"/>
        </w:rPr>
        <w:t>运输、</w:t>
      </w:r>
      <w:r>
        <w:rPr>
          <w:rFonts w:hint="eastAsia" w:asciiTheme="minorEastAsia" w:hAnsiTheme="minorEastAsia" w:eastAsiaTheme="minorEastAsia" w:cstheme="minorEastAsia"/>
          <w:b w:val="0"/>
          <w:bCs w:val="0"/>
          <w:sz w:val="24"/>
          <w:szCs w:val="24"/>
          <w:highlight w:val="none"/>
          <w:lang w:val="en-US" w:eastAsia="zh-CN"/>
        </w:rPr>
        <w:t>吊装、</w:t>
      </w:r>
      <w:r>
        <w:rPr>
          <w:rFonts w:hint="eastAsia" w:asciiTheme="minorEastAsia" w:hAnsiTheme="minorEastAsia" w:eastAsiaTheme="minorEastAsia" w:cstheme="minorEastAsia"/>
          <w:b w:val="0"/>
          <w:bCs w:val="0"/>
          <w:sz w:val="24"/>
          <w:szCs w:val="24"/>
          <w:highlight w:val="none"/>
        </w:rPr>
        <w:t>保险、税金</w:t>
      </w:r>
      <w:r>
        <w:rPr>
          <w:rFonts w:hint="eastAsia" w:asciiTheme="minorEastAsia" w:hAnsiTheme="minorEastAsia" w:eastAsiaTheme="minorEastAsia" w:cstheme="minorEastAsia"/>
          <w:b w:val="0"/>
          <w:bCs w:val="0"/>
          <w:sz w:val="24"/>
          <w:szCs w:val="24"/>
        </w:rPr>
        <w:t>等所发生的一切费用，总价不得高于本次预算，否则响应无效</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总价同时作为本项目评审定标的依据。</w:t>
      </w:r>
    </w:p>
    <w:p>
      <w:pPr>
        <w:tabs>
          <w:tab w:val="center" w:pos="4470"/>
        </w:tabs>
        <w:spacing w:before="100" w:beforeAutospacing="1" w:line="360" w:lineRule="auto"/>
        <w:ind w:firstLine="480" w:firstLineChars="200"/>
        <w:contextualSpacing/>
        <w:jc w:val="left"/>
        <w:rPr>
          <w:rFonts w:hint="eastAsia" w:asciiTheme="minorEastAsia" w:hAnsiTheme="minorEastAsia" w:eastAsiaTheme="minorEastAsia" w:cstheme="minorEastAsia"/>
          <w:b/>
          <w:snapToGrid w:val="0"/>
          <w:sz w:val="24"/>
          <w:szCs w:val="24"/>
          <w:highlight w:val="none"/>
        </w:rPr>
      </w:pPr>
      <w:r>
        <w:rPr>
          <w:rFonts w:hint="eastAsia" w:asciiTheme="minorEastAsia" w:hAnsiTheme="minorEastAsia" w:eastAsiaTheme="minorEastAsia" w:cstheme="minorEastAsia"/>
          <w:bCs/>
          <w:snapToGrid w:val="0"/>
          <w:sz w:val="24"/>
          <w:szCs w:val="24"/>
          <w:highlight w:val="none"/>
        </w:rPr>
        <w:t>中标人履行合同期间，按照甲方支付金额开具增值税专用发票。</w:t>
      </w:r>
    </w:p>
    <w:p>
      <w:pPr>
        <w:spacing w:line="360" w:lineRule="auto"/>
        <w:ind w:firstLine="480" w:firstLineChars="200"/>
        <w:rPr>
          <w:rFonts w:hint="eastAsia" w:ascii="宋体" w:hAnsi="宋体" w:eastAsia="宋体"/>
          <w:b w:val="0"/>
          <w:bCs w:val="0"/>
          <w:sz w:val="24"/>
          <w:szCs w:val="18"/>
        </w:rPr>
      </w:pPr>
    </w:p>
    <w:p>
      <w:pPr>
        <w:pStyle w:val="19"/>
        <w:ind w:left="0" w:leftChars="0" w:firstLine="0" w:firstLineChars="0"/>
        <w:rPr>
          <w:rFonts w:hint="eastAsia"/>
          <w:lang w:val="en-US" w:eastAsia="zh-CN"/>
        </w:rPr>
      </w:pPr>
    </w:p>
    <w:p>
      <w:pPr>
        <w:pStyle w:val="19"/>
        <w:ind w:left="0" w:leftChars="0" w:firstLine="0" w:firstLineChars="0"/>
        <w:rPr>
          <w:rFonts w:hint="eastAsia"/>
          <w:lang w:val="en-US"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FCA87"/>
    <w:multiLevelType w:val="singleLevel"/>
    <w:tmpl w:val="117FCA87"/>
    <w:lvl w:ilvl="0" w:tentative="0">
      <w:start w:val="3"/>
      <w:numFmt w:val="decimal"/>
      <w:lvlText w:val="%1."/>
      <w:lvlJc w:val="left"/>
      <w:pPr>
        <w:tabs>
          <w:tab w:val="left" w:pos="312"/>
        </w:tabs>
      </w:pPr>
    </w:lvl>
  </w:abstractNum>
  <w:abstractNum w:abstractNumId="1">
    <w:nsid w:val="1664F4E7"/>
    <w:multiLevelType w:val="singleLevel"/>
    <w:tmpl w:val="1664F4E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74453F"/>
    <w:rsid w:val="147A6B5F"/>
    <w:rsid w:val="174F3E72"/>
    <w:rsid w:val="17B43F59"/>
    <w:rsid w:val="19371A3D"/>
    <w:rsid w:val="1B562B38"/>
    <w:rsid w:val="1BBE6F12"/>
    <w:rsid w:val="1BE340FE"/>
    <w:rsid w:val="1CD51C99"/>
    <w:rsid w:val="1DB440B4"/>
    <w:rsid w:val="1EA9518B"/>
    <w:rsid w:val="1EF02DBA"/>
    <w:rsid w:val="2091596D"/>
    <w:rsid w:val="21BC67D1"/>
    <w:rsid w:val="229D0F23"/>
    <w:rsid w:val="23A23896"/>
    <w:rsid w:val="250338C6"/>
    <w:rsid w:val="2560638D"/>
    <w:rsid w:val="2888575B"/>
    <w:rsid w:val="296C096E"/>
    <w:rsid w:val="2A2100B3"/>
    <w:rsid w:val="2B0A1393"/>
    <w:rsid w:val="2DC35BE2"/>
    <w:rsid w:val="2DFD6DA8"/>
    <w:rsid w:val="2F5C3B54"/>
    <w:rsid w:val="321D028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0E4506"/>
    <w:rsid w:val="4BF20535"/>
    <w:rsid w:val="4D5C1604"/>
    <w:rsid w:val="4D752558"/>
    <w:rsid w:val="4D841426"/>
    <w:rsid w:val="4D926C66"/>
    <w:rsid w:val="4E235B10"/>
    <w:rsid w:val="4E4A0A8E"/>
    <w:rsid w:val="4EFF657E"/>
    <w:rsid w:val="50116703"/>
    <w:rsid w:val="51C0097A"/>
    <w:rsid w:val="51EB53DF"/>
    <w:rsid w:val="53603F65"/>
    <w:rsid w:val="536966EB"/>
    <w:rsid w:val="54E33363"/>
    <w:rsid w:val="551C3A0B"/>
    <w:rsid w:val="555C59B4"/>
    <w:rsid w:val="5839386D"/>
    <w:rsid w:val="58B2099D"/>
    <w:rsid w:val="59F6057D"/>
    <w:rsid w:val="5A8121BA"/>
    <w:rsid w:val="5ABF0539"/>
    <w:rsid w:val="5B4434DF"/>
    <w:rsid w:val="5C071983"/>
    <w:rsid w:val="5DAF1758"/>
    <w:rsid w:val="6359495D"/>
    <w:rsid w:val="65374BCA"/>
    <w:rsid w:val="6562740E"/>
    <w:rsid w:val="65CA16B3"/>
    <w:rsid w:val="65FC1861"/>
    <w:rsid w:val="662E5966"/>
    <w:rsid w:val="6747066A"/>
    <w:rsid w:val="699F737A"/>
    <w:rsid w:val="6A463B57"/>
    <w:rsid w:val="6BDB5C18"/>
    <w:rsid w:val="6D892812"/>
    <w:rsid w:val="6DB12CE1"/>
    <w:rsid w:val="6EAC5D22"/>
    <w:rsid w:val="6F1E00AA"/>
    <w:rsid w:val="6F9E3EA7"/>
    <w:rsid w:val="6FA50623"/>
    <w:rsid w:val="6FE07D2F"/>
    <w:rsid w:val="70E71E73"/>
    <w:rsid w:val="710038B0"/>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9"/>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30"/>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annotation reference"/>
    <w:basedOn w:val="22"/>
    <w:autoRedefine/>
    <w:semiHidden/>
    <w:unhideWhenUsed/>
    <w:qFormat/>
    <w:uiPriority w:val="99"/>
    <w:rPr>
      <w:sz w:val="21"/>
      <w:szCs w:val="21"/>
    </w:rPr>
  </w:style>
  <w:style w:type="paragraph" w:customStyle="1" w:styleId="25">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6">
    <w:name w:val="页眉 Char"/>
    <w:basedOn w:val="22"/>
    <w:link w:val="12"/>
    <w:autoRedefine/>
    <w:qFormat/>
    <w:uiPriority w:val="99"/>
    <w:rPr>
      <w:sz w:val="18"/>
      <w:szCs w:val="18"/>
    </w:rPr>
  </w:style>
  <w:style w:type="character" w:customStyle="1" w:styleId="27">
    <w:name w:val="页脚 Char"/>
    <w:basedOn w:val="22"/>
    <w:link w:val="10"/>
    <w:autoRedefine/>
    <w:qFormat/>
    <w:uiPriority w:val="99"/>
    <w:rPr>
      <w:sz w:val="18"/>
      <w:szCs w:val="18"/>
    </w:rPr>
  </w:style>
  <w:style w:type="paragraph" w:customStyle="1" w:styleId="28">
    <w:name w:val="Char Char Char Char Char Char Char Char Char Char"/>
    <w:basedOn w:val="1"/>
    <w:autoRedefine/>
    <w:qFormat/>
    <w:uiPriority w:val="0"/>
    <w:rPr>
      <w:rFonts w:ascii="Tahoma" w:hAnsi="Tahoma" w:eastAsia="宋体" w:cs="仿宋_GB2312"/>
      <w:sz w:val="24"/>
      <w:szCs w:val="20"/>
    </w:rPr>
  </w:style>
  <w:style w:type="character" w:customStyle="1" w:styleId="29">
    <w:name w:val="批注文字 Char"/>
    <w:basedOn w:val="22"/>
    <w:link w:val="5"/>
    <w:autoRedefine/>
    <w:semiHidden/>
    <w:qFormat/>
    <w:uiPriority w:val="99"/>
  </w:style>
  <w:style w:type="character" w:customStyle="1" w:styleId="30">
    <w:name w:val="批注主题 Char"/>
    <w:basedOn w:val="29"/>
    <w:link w:val="17"/>
    <w:autoRedefine/>
    <w:semiHidden/>
    <w:qFormat/>
    <w:uiPriority w:val="99"/>
    <w:rPr>
      <w:b/>
      <w:bCs/>
    </w:rPr>
  </w:style>
  <w:style w:type="character" w:customStyle="1" w:styleId="31">
    <w:name w:val="批注框文本 Char"/>
    <w:basedOn w:val="22"/>
    <w:link w:val="9"/>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paragraph" w:customStyle="1" w:styleId="33">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4">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font21"/>
    <w:basedOn w:val="22"/>
    <w:autoRedefine/>
    <w:qFormat/>
    <w:uiPriority w:val="0"/>
    <w:rPr>
      <w:rFonts w:hint="eastAsia" w:ascii="宋体" w:hAnsi="宋体" w:eastAsia="宋体" w:cs="宋体"/>
      <w:b/>
      <w:bCs/>
      <w:color w:val="000000"/>
      <w:sz w:val="40"/>
      <w:szCs w:val="40"/>
      <w:u w:val="none"/>
    </w:rPr>
  </w:style>
  <w:style w:type="character" w:customStyle="1" w:styleId="37">
    <w:name w:val="font71"/>
    <w:basedOn w:val="22"/>
    <w:autoRedefine/>
    <w:qFormat/>
    <w:uiPriority w:val="0"/>
    <w:rPr>
      <w:rFonts w:hint="eastAsia" w:ascii="宋体" w:hAnsi="宋体" w:eastAsia="宋体" w:cs="宋体"/>
      <w:b/>
      <w:bCs/>
      <w:color w:val="000000"/>
      <w:sz w:val="40"/>
      <w:szCs w:val="40"/>
      <w:u w:val="single"/>
    </w:rPr>
  </w:style>
  <w:style w:type="character" w:customStyle="1" w:styleId="38">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9">
    <w:name w:val="font111"/>
    <w:basedOn w:val="22"/>
    <w:autoRedefine/>
    <w:qFormat/>
    <w:uiPriority w:val="0"/>
    <w:rPr>
      <w:rFonts w:hint="eastAsia" w:ascii="宋体" w:hAnsi="宋体" w:eastAsia="宋体" w:cs="宋体"/>
      <w:color w:val="000000"/>
      <w:sz w:val="40"/>
      <w:szCs w:val="40"/>
      <w:u w:val="single"/>
    </w:rPr>
  </w:style>
  <w:style w:type="character" w:customStyle="1" w:styleId="40">
    <w:name w:val="font141"/>
    <w:basedOn w:val="22"/>
    <w:autoRedefine/>
    <w:qFormat/>
    <w:uiPriority w:val="0"/>
    <w:rPr>
      <w:rFonts w:hint="eastAsia" w:ascii="宋体" w:hAnsi="宋体" w:eastAsia="宋体" w:cs="宋体"/>
      <w:color w:val="000000"/>
      <w:sz w:val="20"/>
      <w:szCs w:val="20"/>
      <w:u w:val="single"/>
    </w:rPr>
  </w:style>
  <w:style w:type="character" w:customStyle="1" w:styleId="41">
    <w:name w:val="font151"/>
    <w:basedOn w:val="22"/>
    <w:autoRedefine/>
    <w:qFormat/>
    <w:uiPriority w:val="0"/>
    <w:rPr>
      <w:rFonts w:hint="eastAsia" w:ascii="宋体" w:hAnsi="宋体" w:eastAsia="宋体" w:cs="宋体"/>
      <w:color w:val="000000"/>
      <w:sz w:val="20"/>
      <w:szCs w:val="20"/>
      <w:u w:val="single"/>
    </w:rPr>
  </w:style>
  <w:style w:type="paragraph" w:customStyle="1" w:styleId="42">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3">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4">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5">
    <w:name w:val="Table Paragraph"/>
    <w:basedOn w:val="1"/>
    <w:autoRedefine/>
    <w:qFormat/>
    <w:uiPriority w:val="1"/>
    <w:pPr>
      <w:jc w:val="left"/>
    </w:pPr>
    <w:rPr>
      <w:rFonts w:ascii="Calibri" w:hAnsi="Calibri"/>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2025-11-13T04:22:00Z</cp:lastPrinted>
  <dcterms:modified xsi:type="dcterms:W3CDTF">2025-12-24T07:11:22Z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