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8"/>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eastAsiaTheme="minorEastAsia"/>
                <w:bCs/>
                <w:color w:val="000000"/>
                <w:u w:val="single"/>
                <w:lang w:val="en-US" w:eastAsia="zh-CN"/>
              </w:rPr>
            </w:pPr>
            <w:r>
              <w:rPr>
                <w:rFonts w:hint="eastAsia" w:hAnsi="宋体"/>
                <w:bCs/>
                <w:color w:val="000000"/>
                <w:lang w:val="en-US" w:eastAsia="zh-CN"/>
              </w:rPr>
              <w:t>费率</w:t>
            </w:r>
            <w:r>
              <w:rPr>
                <w:rFonts w:hint="eastAsia" w:hAnsi="宋体"/>
                <w:bCs/>
                <w:color w:val="000000"/>
              </w:rPr>
              <w:t>：</w:t>
            </w:r>
            <w:r>
              <w:rPr>
                <w:rFonts w:hint="eastAsia" w:hAnsi="宋体"/>
                <w:bCs/>
                <w:color w:val="000000"/>
                <w:u w:val="single"/>
              </w:rPr>
              <w:t xml:space="preserve">         </w:t>
            </w:r>
            <w:r>
              <w:rPr>
                <w:rFonts w:hint="eastAsia" w:hAnsi="宋体"/>
                <w:bCs/>
                <w:color w:val="000000"/>
                <w:u w:val="single"/>
                <w:lang w:val="en-US" w:eastAsia="zh-CN"/>
              </w:rPr>
              <w:t>%</w:t>
            </w:r>
          </w:p>
          <w:p>
            <w:pPr>
              <w:snapToGrid w:val="0"/>
              <w:spacing w:line="360" w:lineRule="auto"/>
              <w:rPr>
                <w:rFonts w:hint="default" w:hAnsi="宋体" w:eastAsiaTheme="minorEastAsia"/>
                <w:b/>
                <w:color w:val="00000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int="eastAsia" w:hAnsi="宋体"/>
                <w:b/>
                <w:color w:val="000000"/>
              </w:rPr>
            </w:pPr>
            <w:r>
              <w:rPr>
                <w:rFonts w:hint="eastAsia" w:hAnsi="宋体"/>
                <w:b/>
                <w:color w:val="000000"/>
              </w:rPr>
              <w:t>所报</w:t>
            </w:r>
            <w:r>
              <w:rPr>
                <w:rFonts w:hint="eastAsia" w:hAnsi="宋体"/>
                <w:b/>
                <w:color w:val="000000"/>
                <w:lang w:val="en-US" w:eastAsia="zh-CN"/>
              </w:rPr>
              <w:t>费率</w:t>
            </w:r>
            <w:r>
              <w:rPr>
                <w:rFonts w:hint="eastAsia" w:hAnsi="宋体"/>
                <w:b/>
                <w:color w:val="000000"/>
              </w:rPr>
              <w:t>最多保留小数点后两位。</w:t>
            </w:r>
          </w:p>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9"/>
        <w:ind w:left="0" w:leftChars="0" w:firstLine="0" w:firstLineChars="0"/>
        <w:rPr>
          <w:rFonts w:hAnsi="宋体"/>
          <w:b/>
          <w:bCs/>
          <w:color w:val="000000"/>
          <w:szCs w:val="28"/>
        </w:rPr>
      </w:pPr>
    </w:p>
    <w:p>
      <w:pPr>
        <w:pStyle w:val="19"/>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345" w:type="dxa"/>
            <w:gridSpan w:val="3"/>
            <w:tcBorders>
              <w:top w:val="nil"/>
              <w:left w:val="nil"/>
              <w:bottom w:val="single" w:color="auto" w:sz="4" w:space="0"/>
              <w:right w:val="nil"/>
            </w:tcBorders>
            <w:vAlign w:val="center"/>
          </w:tcPr>
          <w:p>
            <w:pPr>
              <w:pStyle w:val="45"/>
              <w:jc w:val="center"/>
            </w:pPr>
            <w:r>
              <w:rPr>
                <w:rFonts w:hint="eastAsia"/>
              </w:rPr>
              <w:t>采购需求表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75" w:type="dxa"/>
            <w:tcBorders>
              <w:top w:val="single" w:color="auto" w:sz="4" w:space="0"/>
            </w:tcBorders>
            <w:vAlign w:val="center"/>
          </w:tcPr>
          <w:p>
            <w:pPr>
              <w:jc w:val="center"/>
              <w:rPr>
                <w:rFonts w:hAnsi="宋体"/>
                <w:b/>
                <w:color w:val="000000"/>
              </w:rPr>
            </w:pPr>
            <w:r>
              <w:rPr>
                <w:rFonts w:hint="eastAsia" w:hAnsi="宋体"/>
                <w:b/>
                <w:color w:val="000000"/>
              </w:rPr>
              <w:t>序号</w:t>
            </w:r>
          </w:p>
        </w:tc>
        <w:tc>
          <w:tcPr>
            <w:tcW w:w="1447" w:type="dxa"/>
            <w:tcBorders>
              <w:top w:val="single" w:color="auto" w:sz="4" w:space="0"/>
            </w:tcBorders>
            <w:vAlign w:val="center"/>
          </w:tcPr>
          <w:p>
            <w:pPr>
              <w:jc w:val="center"/>
              <w:rPr>
                <w:rFonts w:hAnsi="宋体"/>
                <w:b/>
                <w:color w:val="000000"/>
              </w:rPr>
            </w:pPr>
            <w:r>
              <w:rPr>
                <w:rFonts w:hint="eastAsia" w:hAnsi="宋体"/>
                <w:b/>
                <w:color w:val="000000"/>
              </w:rPr>
              <w:t>内容</w:t>
            </w:r>
          </w:p>
        </w:tc>
        <w:tc>
          <w:tcPr>
            <w:tcW w:w="7223" w:type="dxa"/>
            <w:tcBorders>
              <w:top w:val="single" w:color="auto" w:sz="4" w:space="0"/>
            </w:tcBorders>
            <w:vAlign w:val="center"/>
          </w:tcPr>
          <w:p>
            <w:pPr>
              <w:jc w:val="center"/>
              <w:rPr>
                <w:rFonts w:hAnsi="宋体"/>
                <w:b/>
                <w:color w:val="000000"/>
              </w:rPr>
            </w:pPr>
            <w:r>
              <w:rPr>
                <w:rFonts w:hint="eastAsia" w:hAnsi="宋体"/>
                <w:b/>
                <w:color w:val="00000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项目名称</w:t>
            </w:r>
          </w:p>
        </w:tc>
        <w:tc>
          <w:tcPr>
            <w:tcW w:w="7223" w:type="dxa"/>
            <w:vAlign w:val="center"/>
          </w:tcPr>
          <w:p>
            <w:pPr>
              <w:spacing w:line="360" w:lineRule="exact"/>
              <w:jc w:val="left"/>
              <w:rPr>
                <w:color w:val="000000"/>
                <w:szCs w:val="18"/>
              </w:rPr>
            </w:pPr>
            <w:r>
              <w:rPr>
                <w:rFonts w:hint="eastAsia"/>
                <w:color w:val="000000"/>
                <w:szCs w:val="18"/>
              </w:rPr>
              <w:t>2025年公用公司</w:t>
            </w:r>
            <w:r>
              <w:rPr>
                <w:rFonts w:hint="eastAsia"/>
                <w:color w:val="000000"/>
                <w:szCs w:val="18"/>
                <w:lang w:val="en-US" w:eastAsia="zh-CN"/>
              </w:rPr>
              <w:t>高刘排污化粪池清淤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项目概况</w:t>
            </w:r>
          </w:p>
        </w:tc>
        <w:tc>
          <w:tcPr>
            <w:tcW w:w="7223" w:type="dxa"/>
            <w:vAlign w:val="center"/>
          </w:tcPr>
          <w:p>
            <w:pPr>
              <w:pStyle w:val="45"/>
              <w:numPr>
                <w:ilvl w:val="0"/>
                <w:numId w:val="0"/>
              </w:numPr>
              <w:jc w:val="left"/>
              <w:rPr>
                <w:rFonts w:hint="default" w:ascii="宋体" w:hAnsi="Times New Roman" w:eastAsia="宋体" w:cs="Times New Roman"/>
                <w:b w:val="0"/>
                <w:color w:val="000000"/>
                <w:kern w:val="0"/>
                <w:sz w:val="24"/>
                <w:szCs w:val="18"/>
                <w:lang w:val="en-US" w:eastAsia="zh-CN" w:bidi="ar-SA"/>
              </w:rPr>
            </w:pPr>
            <w:r>
              <w:rPr>
                <w:rFonts w:hint="eastAsia" w:ascii="宋体" w:hAnsi="Times New Roman" w:eastAsia="宋体" w:cs="Times New Roman"/>
                <w:b w:val="0"/>
                <w:color w:val="000000"/>
                <w:kern w:val="0"/>
                <w:sz w:val="24"/>
                <w:szCs w:val="18"/>
                <w:lang w:val="en-US" w:eastAsia="zh-CN" w:bidi="ar-SA"/>
              </w:rPr>
              <w:t>确定一家中标人，负责高刘片区7处化粪池的清掏及运输工作，清掏点包括：锦尚公馆、河畔雅苑、红卫北苑、红卫南苑、梧桐苑、8号公厕（轻云商城北侧）、6号公厕（高洪路与瓦东路交口东侧）。化粪池污物需运</w:t>
            </w:r>
            <w:r>
              <w:rPr>
                <w:rFonts w:hint="eastAsia" w:ascii="宋体" w:hAnsi="Times New Roman" w:eastAsia="宋体" w:cs="Times New Roman"/>
                <w:b w:val="0"/>
                <w:color w:val="000000" w:themeColor="text1"/>
                <w:kern w:val="0"/>
                <w:sz w:val="24"/>
                <w:szCs w:val="18"/>
                <w:lang w:val="en-US" w:eastAsia="zh-CN" w:bidi="ar-SA"/>
                <w14:textFill>
                  <w14:solidFill>
                    <w14:schemeClr w14:val="tx1"/>
                  </w14:solidFill>
                </w14:textFill>
              </w:rPr>
              <w:t>送至奔牛路与机场东路交口附近（具体以招标人指定地点为准）</w:t>
            </w:r>
            <w:r>
              <w:rPr>
                <w:rFonts w:hint="eastAsia" w:ascii="宋体" w:hAnsi="Times New Roman" w:eastAsia="宋体" w:cs="Times New Roman"/>
                <w:b w:val="0"/>
                <w:color w:val="000000"/>
                <w:kern w:val="0"/>
                <w:sz w:val="24"/>
                <w:szCs w:val="18"/>
                <w:lang w:val="en-US" w:eastAsia="zh-CN" w:bidi="ar-SA"/>
              </w:rPr>
              <w:t>，运距约15公里，以提升高刘污水处理厂的污水处置能力。经估算项目费用约22.82万元，</w:t>
            </w:r>
            <w:r>
              <w:rPr>
                <w:rFonts w:hint="eastAsia" w:ascii="宋体" w:hAnsi="Times New Roman" w:eastAsia="宋体" w:cs="Times New Roman"/>
                <w:b/>
                <w:bCs/>
                <w:color w:val="000000"/>
                <w:kern w:val="0"/>
                <w:sz w:val="24"/>
                <w:szCs w:val="18"/>
                <w:lang w:val="en-US" w:eastAsia="zh-CN" w:bidi="ar-SA"/>
              </w:rPr>
              <w:t>具体费用由实际发生为准</w:t>
            </w:r>
            <w:r>
              <w:rPr>
                <w:rFonts w:hint="eastAsia" w:ascii="宋体" w:hAnsi="Times New Roman" w:eastAsia="宋体" w:cs="Times New Roman"/>
                <w:b w:val="0"/>
                <w:color w:val="000000"/>
                <w:kern w:val="0"/>
                <w:sz w:val="24"/>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中标人资格</w:t>
            </w:r>
          </w:p>
        </w:tc>
        <w:tc>
          <w:tcPr>
            <w:tcW w:w="7223" w:type="dxa"/>
            <w:vAlign w:val="center"/>
          </w:tcPr>
          <w:p>
            <w:pPr>
              <w:spacing w:line="360" w:lineRule="auto"/>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1.符合《中华人民共和国政府采购法》第二十二条的规定；</w:t>
            </w:r>
          </w:p>
          <w:p>
            <w:pPr>
              <w:spacing w:line="360" w:lineRule="auto"/>
              <w:rPr>
                <w:color w:val="000000"/>
                <w:szCs w:val="18"/>
              </w:rPr>
            </w:pPr>
            <w:r>
              <w:rPr>
                <w:rFonts w:hint="eastAsia" w:ascii="宋体" w:hAnsi="宋体" w:eastAsia="宋体"/>
                <w:b w:val="0"/>
                <w:bCs w:val="0"/>
                <w:sz w:val="24"/>
                <w:szCs w:val="18"/>
                <w:highlight w:val="none"/>
              </w:rPr>
              <w:t>2</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具有本地化(合肥市)服务能力。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45"/>
              <w:jc w:val="both"/>
              <w:rPr>
                <w:rFonts w:ascii="宋体" w:hAnsi="Times New Roman" w:eastAsia="宋体"/>
                <w:b w:val="0"/>
                <w:kern w:val="0"/>
                <w:sz w:val="24"/>
                <w:szCs w:val="18"/>
              </w:rPr>
            </w:pPr>
            <w:r>
              <w:rPr>
                <w:rFonts w:hint="eastAsia" w:ascii="宋体" w:hAnsi="Times New Roman" w:eastAsia="宋体"/>
                <w:b w:val="0"/>
                <w:kern w:val="0"/>
                <w:sz w:val="24"/>
                <w:szCs w:val="18"/>
                <w:lang w:val="en-US" w:eastAsia="zh-CN"/>
              </w:rPr>
              <w:t>服务</w:t>
            </w:r>
            <w:r>
              <w:rPr>
                <w:rFonts w:hint="eastAsia" w:ascii="宋体" w:hAnsi="Times New Roman" w:eastAsia="宋体"/>
                <w:b w:val="0"/>
                <w:kern w:val="0"/>
                <w:sz w:val="24"/>
                <w:szCs w:val="1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45"/>
              <w:rPr>
                <w:bCs/>
              </w:rPr>
            </w:pPr>
            <w:r>
              <w:rPr>
                <w:rFonts w:hint="eastAsia" w:ascii="宋体" w:eastAsia="宋体"/>
                <w:b w:val="0"/>
                <w:color w:val="000000" w:themeColor="text1"/>
                <w:kern w:val="0"/>
                <w:sz w:val="24"/>
                <w:szCs w:val="20"/>
                <w14:textFill>
                  <w14:solidFill>
                    <w14:schemeClr w14:val="tx1"/>
                  </w14:solidFill>
                </w14:textFill>
              </w:rPr>
              <w:t>资金来源</w:t>
            </w:r>
          </w:p>
        </w:tc>
        <w:tc>
          <w:tcPr>
            <w:tcW w:w="7223" w:type="dxa"/>
            <w:vAlign w:val="center"/>
          </w:tcPr>
          <w:p>
            <w:pPr>
              <w:pStyle w:val="45"/>
              <w:jc w:val="both"/>
              <w:rPr>
                <w:rFonts w:ascii="宋体" w:hAnsi="Times New Roman" w:eastAsia="宋体"/>
                <w:b w:val="0"/>
                <w:kern w:val="0"/>
                <w:sz w:val="24"/>
                <w:szCs w:val="18"/>
              </w:rPr>
            </w:pPr>
            <w:r>
              <w:rPr>
                <w:rFonts w:ascii="宋体" w:hAnsi="Times New Roman" w:eastAsia="宋体"/>
                <w:b w:val="0"/>
                <w:kern w:val="0"/>
                <w:sz w:val="24"/>
                <w:szCs w:val="18"/>
              </w:rPr>
              <w:sym w:font="Wingdings" w:char="00FE"/>
            </w:r>
            <w:r>
              <w:rPr>
                <w:rFonts w:hint="eastAsia" w:ascii="宋体" w:hAnsi="Times New Roman" w:eastAsia="宋体"/>
                <w:b w:val="0"/>
                <w:kern w:val="0"/>
                <w:sz w:val="24"/>
                <w:szCs w:val="18"/>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05" w:firstLineChars="50"/>
              <w:rPr>
                <w:rFonts w:hAnsi="宋体"/>
                <w:bCs/>
                <w:color w:val="000000"/>
              </w:rPr>
            </w:pPr>
            <w:r>
              <w:rPr>
                <w:b/>
                <w:bCs/>
                <w:color w:val="000000"/>
              </w:rPr>
              <w:sym w:font="Wingdings" w:char="0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pStyle w:val="14"/>
              <w:spacing w:line="440" w:lineRule="exact"/>
              <w:ind w:firstLine="0"/>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1．服务费由甲方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以转账形式</w:t>
            </w:r>
            <w:r>
              <w:rPr>
                <w:rFonts w:hint="eastAsia" w:asciiTheme="minorEastAsia" w:hAnsiTheme="minorEastAsia" w:eastAsiaTheme="minorEastAsia" w:cstheme="minorEastAsia"/>
                <w:color w:val="000000" w:themeColor="text1"/>
                <w:sz w:val="24"/>
                <w:szCs w:val="24"/>
                <w14:textFill>
                  <w14:solidFill>
                    <w14:schemeClr w14:val="tx1"/>
                  </w14:solidFill>
                </w14:textFill>
              </w:rPr>
              <w:t>支付乙方。</w:t>
            </w:r>
          </w:p>
          <w:p>
            <w:pPr>
              <w:pStyle w:val="38"/>
              <w:spacing w:line="500" w:lineRule="exact"/>
              <w:rPr>
                <w:rFonts w:hAnsi="宋体" w:cs="宋体"/>
                <w:color w:val="000000"/>
                <w:szCs w:val="21"/>
              </w:rPr>
            </w:pPr>
            <w:r>
              <w:rPr>
                <w:rFonts w:hint="eastAsia" w:asciiTheme="minorEastAsia" w:hAnsiTheme="minorEastAsia" w:eastAsiaTheme="minorEastAsia" w:cstheme="minorEastAsia"/>
                <w:color w:val="000000" w:themeColor="text1"/>
                <w:szCs w:val="24"/>
                <w14:textFill>
                  <w14:solidFill>
                    <w14:schemeClr w14:val="tx1"/>
                  </w14:solidFill>
                </w14:textFill>
              </w:rPr>
              <w:t>2．具体支付方式和时间如下：</w:t>
            </w:r>
            <w:r>
              <w:rPr>
                <w:rFonts w:hint="eastAsia" w:ascii="宋体" w:hAnsi="宋体" w:eastAsiaTheme="minorEastAsia"/>
                <w:lang w:val="en-US" w:eastAsia="zh-CN"/>
              </w:rPr>
              <w:t>清掏结束并通过验收后，30个工作日内一次性支付费用。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0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int="eastAsia" w:hAnsi="宋体" w:eastAsia="宋体"/>
                <w:color w:val="000000"/>
                <w:lang w:eastAsia="zh-CN"/>
              </w:rPr>
            </w:pPr>
            <w:r>
              <w:rPr>
                <w:rFonts w:hint="eastAsia" w:hAnsi="宋体"/>
                <w:color w:val="000000"/>
              </w:rPr>
              <w:t>合肥经济技术开发区</w:t>
            </w:r>
            <w:r>
              <w:rPr>
                <w:rFonts w:hint="eastAsia" w:hAnsi="宋体"/>
                <w:color w:val="000000"/>
                <w:lang w:val="en-US" w:eastAsia="zh-CN"/>
              </w:rPr>
              <w:t>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hAnsi="宋体"/>
                <w:color w:val="FF0000"/>
              </w:rPr>
            </w:pPr>
            <w:r>
              <w:rPr>
                <w:rFonts w:hint="eastAsia" w:cs="宋体" w:asciiTheme="minorEastAsia" w:hAnsiTheme="minorEastAsia" w:eastAsiaTheme="minorEastAsia"/>
                <w:color w:val="000000"/>
                <w:szCs w:val="24"/>
              </w:rPr>
              <w:t>当出现以下因素时，</w:t>
            </w:r>
            <w:r>
              <w:rPr>
                <w:rFonts w:hint="eastAsia" w:cs="宋体" w:asciiTheme="minorEastAsia" w:hAnsiTheme="minorEastAsia" w:eastAsiaTheme="minorEastAsia"/>
                <w:color w:val="000000"/>
                <w:szCs w:val="24"/>
                <w:lang w:val="en-US" w:eastAsia="zh-CN"/>
              </w:rPr>
              <w:t>招标</w:t>
            </w:r>
            <w:r>
              <w:rPr>
                <w:rFonts w:hint="eastAsia" w:cs="宋体" w:asciiTheme="minorEastAsia" w:hAnsiTheme="minorEastAsia" w:eastAsiaTheme="minorEastAsia"/>
                <w:color w:val="000000"/>
                <w:szCs w:val="24"/>
              </w:rPr>
              <w:t>人有权随时终止合同，中标人不得以任何理由提出索赔要求：（1）</w:t>
            </w:r>
            <w:r>
              <w:rPr>
                <w:rFonts w:hint="eastAsia" w:cs="宋体" w:asciiTheme="minorEastAsia" w:hAnsiTheme="minorEastAsia" w:eastAsiaTheme="minorEastAsia"/>
                <w:color w:val="000000"/>
                <w:szCs w:val="24"/>
                <w:lang w:val="en-US" w:eastAsia="zh-CN"/>
              </w:rPr>
              <w:t>项目</w:t>
            </w:r>
            <w:r>
              <w:rPr>
                <w:rFonts w:hint="eastAsia" w:cs="宋体" w:asciiTheme="minorEastAsia" w:hAnsiTheme="minorEastAsia" w:eastAsiaTheme="minorEastAsia"/>
                <w:color w:val="000000"/>
                <w:szCs w:val="24"/>
              </w:rPr>
              <w:t>期限内中标人不能</w:t>
            </w:r>
            <w:r>
              <w:rPr>
                <w:rFonts w:hint="eastAsia" w:cs="宋体" w:asciiTheme="minorEastAsia" w:hAnsiTheme="minorEastAsia" w:eastAsiaTheme="minorEastAsia"/>
                <w:color w:val="000000"/>
                <w:szCs w:val="24"/>
                <w:lang w:val="en-US" w:eastAsia="zh-CN"/>
              </w:rPr>
              <w:t>按时</w:t>
            </w:r>
            <w:r>
              <w:rPr>
                <w:rFonts w:hint="eastAsia" w:cs="宋体" w:asciiTheme="minorEastAsia" w:hAnsiTheme="minorEastAsia" w:eastAsiaTheme="minorEastAsia"/>
                <w:color w:val="000000"/>
                <w:szCs w:val="24"/>
              </w:rPr>
              <w:t>完成</w:t>
            </w:r>
            <w:r>
              <w:rPr>
                <w:rFonts w:hint="eastAsia" w:cs="宋体" w:asciiTheme="minorEastAsia" w:hAnsiTheme="minorEastAsia" w:eastAsiaTheme="minorEastAsia"/>
                <w:color w:val="000000"/>
                <w:szCs w:val="24"/>
                <w:lang w:val="en-US" w:eastAsia="zh-CN"/>
              </w:rPr>
              <w:t>其清淤工作</w:t>
            </w:r>
            <w:r>
              <w:rPr>
                <w:rFonts w:hint="eastAsia" w:cs="宋体" w:asciiTheme="minorEastAsia" w:hAnsiTheme="minorEastAsia" w:eastAsiaTheme="minorEastAsia"/>
                <w:color w:val="000000"/>
                <w:szCs w:val="24"/>
              </w:rPr>
              <w:t>；（2）因中标人原因发生安全事故，影响项目进展的。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rFonts w:hint="eastAsia" w:hAnsi="宋体"/>
                <w:color w:val="000000"/>
                <w:lang w:eastAsia="zh-CN"/>
              </w:rPr>
              <w:t>☑</w:t>
            </w:r>
            <w:r>
              <w:rPr>
                <w:rFonts w:hint="eastAsia" w:hAnsi="宋体"/>
                <w:bCs/>
                <w:color w:val="000000"/>
              </w:rPr>
              <w:t>自行踏勘</w:t>
            </w:r>
            <w:r>
              <w:rPr>
                <w:rFonts w:hint="eastAsia" w:hAnsi="宋体"/>
                <w:color w:val="000000"/>
              </w:rPr>
              <w:t xml:space="preserve">  </w:t>
            </w:r>
            <w:r>
              <w:rPr>
                <w:rFonts w:hint="eastAsia" w:hAnsi="宋体"/>
                <w:color w:val="000000"/>
                <w:lang w:eastAsia="zh-CN"/>
              </w:rPr>
              <w:t>□</w:t>
            </w:r>
            <w:r>
              <w:rPr>
                <w:rFonts w:hint="eastAsia" w:hAnsi="宋体"/>
                <w:color w:val="000000"/>
              </w:rPr>
              <w:t>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int="default" w:hAnsi="宋体" w:eastAsia="宋体"/>
                <w:color w:val="000000"/>
                <w:lang w:val="en-US" w:eastAsia="zh-CN"/>
              </w:rPr>
            </w:pPr>
            <w:r>
              <w:rPr>
                <w:rFonts w:hint="eastAsia" w:hAnsi="宋体"/>
                <w:color w:val="000000" w:themeColor="text1"/>
                <w14:textFill>
                  <w14:solidFill>
                    <w14:schemeClr w14:val="tx1"/>
                  </w14:solidFill>
                </w14:textFill>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highlight w:val="yellow"/>
              </w:rPr>
            </w:pPr>
            <w:r>
              <w:rPr>
                <w:rFonts w:hint="eastAsia" w:hAnsi="宋体"/>
                <w:color w:val="000000"/>
                <w:szCs w:val="24"/>
              </w:rPr>
              <w:t>履约保证金</w:t>
            </w:r>
          </w:p>
        </w:tc>
        <w:tc>
          <w:tcPr>
            <w:tcW w:w="7223" w:type="dxa"/>
            <w:vAlign w:val="center"/>
          </w:tcPr>
          <w:p>
            <w:pPr>
              <w:spacing w:line="360" w:lineRule="auto"/>
              <w:rPr>
                <w:rFonts w:hint="default" w:hAnsi="宋体" w:eastAsia="宋体"/>
                <w:snapToGrid w:val="0"/>
                <w:color w:val="FF0000"/>
                <w:szCs w:val="21"/>
                <w:lang w:val="en-US" w:eastAsia="zh-CN"/>
              </w:rPr>
            </w:pPr>
            <w:r>
              <w:rPr>
                <w:rFonts w:hint="eastAsia" w:hAnsi="宋体"/>
                <w:color w:val="000000" w:themeColor="text1"/>
                <w:szCs w:val="24"/>
                <w:highlight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b/>
                <w:bCs/>
                <w:color w:val="000000"/>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rPr>
            </w:pPr>
            <w:r>
              <w:rPr>
                <w:rFonts w:hint="eastAsia" w:hAnsi="宋体"/>
                <w:color w:val="000000"/>
              </w:rPr>
              <w:t>21</w:t>
            </w:r>
          </w:p>
        </w:tc>
        <w:tc>
          <w:tcPr>
            <w:tcW w:w="1447" w:type="dxa"/>
            <w:vAlign w:val="center"/>
          </w:tcPr>
          <w:p>
            <w:pPr>
              <w:ind w:firstLine="210" w:firstLineChars="100"/>
              <w:rPr>
                <w:color w:val="000000"/>
              </w:rPr>
            </w:pPr>
            <w:r>
              <w:rPr>
                <w:rFonts w:hint="eastAsia"/>
                <w:color w:val="000000"/>
              </w:rPr>
              <w:t>业绩</w:t>
            </w:r>
          </w:p>
        </w:tc>
        <w:tc>
          <w:tcPr>
            <w:tcW w:w="7223" w:type="dxa"/>
            <w:vAlign w:val="center"/>
          </w:tcPr>
          <w:p>
            <w:pP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0" w:firstLineChars="100"/>
              <w:rPr>
                <w:color w:val="000000"/>
              </w:rPr>
            </w:pPr>
            <w:r>
              <w:rPr>
                <w:rFonts w:hint="eastAsia"/>
                <w:color w:val="000000"/>
              </w:rPr>
              <w:t>其他</w:t>
            </w:r>
          </w:p>
        </w:tc>
        <w:tc>
          <w:tcPr>
            <w:tcW w:w="7223" w:type="dxa"/>
            <w:vAlign w:val="center"/>
          </w:tcPr>
          <w:p>
            <w:pPr>
              <w:rPr>
                <w:rFonts w:hint="eastAsia" w:eastAsia="宋体"/>
                <w:color w:val="000000"/>
                <w:lang w:eastAsia="zh-CN"/>
              </w:rPr>
            </w:pPr>
            <w:r>
              <w:rPr>
                <w:rFonts w:hint="eastAsia" w:hAnsi="宋体"/>
                <w:b/>
                <w:color w:val="auto"/>
                <w:highlight w:val="none"/>
                <w:lang w:val="en-US" w:eastAsia="zh-CN"/>
              </w:rPr>
              <w:t>特</w:t>
            </w:r>
            <w:r>
              <w:rPr>
                <w:rFonts w:hAnsi="宋体"/>
                <w:b/>
                <w:color w:val="auto"/>
                <w:highlight w:val="none"/>
              </w:rPr>
              <w:t>别提醒</w:t>
            </w:r>
            <w:r>
              <w:rPr>
                <w:rFonts w:hint="eastAsia" w:hAnsi="宋体"/>
                <w:b/>
                <w:color w:val="auto"/>
                <w:highlight w:val="none"/>
              </w:rPr>
              <w:t>：</w:t>
            </w:r>
            <w:r>
              <w:rPr>
                <w:rFonts w:hAnsi="宋体"/>
                <w:b/>
                <w:color w:val="auto"/>
                <w:highlight w:val="none"/>
              </w:rPr>
              <w:t>供应商参与</w:t>
            </w:r>
            <w:r>
              <w:rPr>
                <w:rFonts w:hint="eastAsia" w:hAnsi="宋体"/>
                <w:b/>
                <w:color w:val="auto"/>
                <w:highlight w:val="none"/>
              </w:rPr>
              <w:t>投标</w:t>
            </w:r>
            <w:r>
              <w:rPr>
                <w:rFonts w:hAnsi="宋体"/>
                <w:b/>
                <w:color w:val="auto"/>
                <w:highlight w:val="none"/>
              </w:rPr>
              <w:t>，应当诚信守法、公平竞争。如</w:t>
            </w:r>
            <w:r>
              <w:rPr>
                <w:rFonts w:hint="eastAsia" w:hAnsi="宋体"/>
                <w:b/>
                <w:color w:val="auto"/>
                <w:highlight w:val="none"/>
              </w:rPr>
              <w:t>有</w:t>
            </w:r>
            <w:r>
              <w:rPr>
                <w:rFonts w:hAnsi="宋体"/>
                <w:b/>
                <w:color w:val="auto"/>
                <w:highlight w:val="none"/>
              </w:rPr>
              <w:t>以提供虚假材料</w:t>
            </w:r>
            <w:r>
              <w:rPr>
                <w:rFonts w:hint="eastAsia" w:hAnsi="宋体"/>
                <w:b/>
                <w:color w:val="auto"/>
                <w:highlight w:val="none"/>
              </w:rPr>
              <w:t>（包括但不限于虚假技术参数响应、虚假业绩、虚假证书、虚假检测报告等）</w:t>
            </w:r>
            <w:r>
              <w:rPr>
                <w:rFonts w:hAnsi="宋体"/>
                <w:b/>
                <w:color w:val="auto"/>
                <w:highlight w:val="none"/>
              </w:rPr>
              <w:t>、串通投标、隐瞒失信信息等谋取</w:t>
            </w:r>
            <w:r>
              <w:rPr>
                <w:rFonts w:hint="eastAsia" w:hAnsi="宋体"/>
                <w:b/>
                <w:color w:val="auto"/>
                <w:highlight w:val="none"/>
              </w:rPr>
              <w:t>成交资格</w:t>
            </w:r>
            <w:r>
              <w:rPr>
                <w:rFonts w:hAnsi="宋体"/>
                <w:b/>
                <w:color w:val="auto"/>
                <w:highlight w:val="none"/>
              </w:rPr>
              <w:t>的行为，一经发现，将报</w:t>
            </w:r>
            <w:r>
              <w:rPr>
                <w:rFonts w:hint="eastAsia" w:hAnsi="宋体"/>
                <w:b/>
                <w:color w:val="auto"/>
                <w:highlight w:val="none"/>
              </w:rPr>
              <w:t>监</w:t>
            </w:r>
            <w:r>
              <w:rPr>
                <w:rFonts w:hAnsi="宋体"/>
                <w:b/>
                <w:color w:val="auto"/>
                <w:highlight w:val="none"/>
              </w:rPr>
              <w:t>管</w:t>
            </w:r>
            <w:r>
              <w:rPr>
                <w:rFonts w:hint="eastAsia" w:hAnsi="宋体"/>
                <w:b/>
                <w:color w:val="auto"/>
                <w:highlight w:val="none"/>
              </w:rPr>
              <w:t>部门</w:t>
            </w:r>
            <w:r>
              <w:rPr>
                <w:rFonts w:hAnsi="宋体"/>
                <w:b/>
                <w:color w:val="auto"/>
                <w:highlight w:val="none"/>
              </w:rPr>
              <w:t>严肃查处。</w:t>
            </w:r>
          </w:p>
        </w:tc>
      </w:tr>
    </w:tbl>
    <w:p/>
    <w:p/>
    <w:p>
      <w:pPr>
        <w:pStyle w:val="2"/>
        <w:numPr>
          <w:ilvl w:val="0"/>
          <w:numId w:val="0"/>
        </w:numPr>
        <w:rPr>
          <w:rFonts w:hint="eastAsia" w:asciiTheme="minorEastAsia" w:hAnsiTheme="minorEastAsia" w:eastAsiaTheme="minorEastAsia" w:cstheme="minorEastAsia"/>
          <w:sz w:val="24"/>
          <w:szCs w:val="24"/>
          <w:highlight w:val="yellow"/>
        </w:rPr>
      </w:pPr>
      <w:bookmarkStart w:id="8" w:name="_Toc527131323"/>
      <w:bookmarkStart w:id="9" w:name="_Toc527117258"/>
      <w:r>
        <w:rPr>
          <w:rFonts w:hint="eastAsia" w:asciiTheme="minorEastAsia" w:hAnsiTheme="minorEastAsia" w:eastAsiaTheme="minorEastAsia" w:cstheme="minorEastAsia"/>
          <w:sz w:val="24"/>
          <w:szCs w:val="24"/>
          <w:highlight w:val="lightGray"/>
        </w:rPr>
        <w:t>二、</w:t>
      </w:r>
      <w:r>
        <w:rPr>
          <w:rFonts w:hint="eastAsia" w:asciiTheme="minorEastAsia" w:hAnsiTheme="minorEastAsia" w:eastAsiaTheme="minorEastAsia" w:cstheme="minorEastAsia"/>
          <w:sz w:val="24"/>
          <w:szCs w:val="24"/>
        </w:rPr>
        <w:t>采购需求</w:t>
      </w:r>
      <w:bookmarkEnd w:id="8"/>
      <w:bookmarkEnd w:id="9"/>
      <w:bookmarkStart w:id="10" w:name="_GoBack"/>
      <w:bookmarkEnd w:id="10"/>
    </w:p>
    <w:p>
      <w:pPr>
        <w:numPr>
          <w:ilvl w:val="0"/>
          <w:numId w:val="1"/>
        </w:numPr>
        <w:spacing w:before="240"/>
        <w:ind w:left="720" w:leftChars="0" w:firstLineChars="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项目概况</w:t>
      </w:r>
    </w:p>
    <w:p>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合肥经济技术开发区公用事业发展有限公司高刘排污化粪池清淤</w:t>
      </w:r>
      <w:r>
        <w:rPr>
          <w:rFonts w:hint="eastAsia" w:asciiTheme="minorEastAsia" w:hAnsiTheme="minorEastAsia" w:eastAsiaTheme="minorEastAsia" w:cstheme="minorEastAsia"/>
          <w:sz w:val="24"/>
          <w:szCs w:val="24"/>
        </w:rPr>
        <w:t>目前</w:t>
      </w:r>
      <w:r>
        <w:rPr>
          <w:rFonts w:hint="eastAsia" w:asciiTheme="minorEastAsia" w:hAnsiTheme="minorEastAsia" w:eastAsiaTheme="minorEastAsia" w:cstheme="minorEastAsia"/>
          <w:sz w:val="24"/>
          <w:szCs w:val="24"/>
          <w:lang w:val="en-US" w:eastAsia="zh-CN"/>
        </w:rPr>
        <w:t>共计7处排污地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化粪池容积</w:t>
      </w:r>
      <w:r>
        <w:rPr>
          <w:rFonts w:hint="eastAsia" w:asciiTheme="minorEastAsia" w:hAnsiTheme="minorEastAsia" w:eastAsiaTheme="minorEastAsia" w:cstheme="minorEastAsia"/>
          <w:sz w:val="24"/>
          <w:szCs w:val="24"/>
        </w:rPr>
        <w:t>总计</w:t>
      </w:r>
      <w:r>
        <w:rPr>
          <w:rFonts w:hint="eastAsia" w:asciiTheme="minorEastAsia" w:hAnsiTheme="minorEastAsia" w:eastAsiaTheme="minorEastAsia" w:cstheme="minorEastAsia"/>
          <w:sz w:val="24"/>
          <w:szCs w:val="24"/>
          <w:lang w:val="en-US" w:eastAsia="zh-CN"/>
        </w:rPr>
        <w:t>预估</w:t>
      </w:r>
      <w:r>
        <w:rPr>
          <w:rFonts w:hint="eastAsia" w:asciiTheme="minorEastAsia" w:hAnsiTheme="minorEastAsia" w:eastAsiaTheme="minorEastAsia" w:cstheme="minorEastAsia"/>
          <w:sz w:val="24"/>
          <w:szCs w:val="24"/>
        </w:rPr>
        <w:t>约</w:t>
      </w:r>
      <w:r>
        <w:rPr>
          <w:rFonts w:hint="eastAsia" w:asciiTheme="minorEastAsia" w:hAnsiTheme="minorEastAsia" w:eastAsiaTheme="minorEastAsia" w:cstheme="minorEastAsia"/>
          <w:sz w:val="24"/>
          <w:szCs w:val="24"/>
          <w:lang w:val="en-US" w:eastAsia="zh-CN"/>
        </w:rPr>
        <w:t>3260立</w:t>
      </w:r>
      <w:r>
        <w:rPr>
          <w:rFonts w:hint="eastAsia" w:asciiTheme="minorEastAsia" w:hAnsiTheme="minorEastAsia" w:eastAsiaTheme="minorEastAsia" w:cstheme="minorEastAsia"/>
          <w:sz w:val="24"/>
          <w:szCs w:val="24"/>
        </w:rPr>
        <w:t>方米,本次采购包含</w:t>
      </w:r>
      <w:r>
        <w:rPr>
          <w:rFonts w:hint="eastAsia" w:asciiTheme="minorEastAsia" w:hAnsiTheme="minorEastAsia" w:eastAsiaTheme="minorEastAsia" w:cstheme="minorEastAsia"/>
          <w:sz w:val="24"/>
          <w:szCs w:val="24"/>
          <w:lang w:val="en-US" w:eastAsia="zh-CN"/>
        </w:rPr>
        <w:t>化粪池清淤并运输</w:t>
      </w:r>
      <w:r>
        <w:rPr>
          <w:rFonts w:hint="eastAsia" w:asciiTheme="minorEastAsia" w:hAnsiTheme="minorEastAsia" w:eastAsiaTheme="minorEastAsia" w:cstheme="minorEastAsia"/>
          <w:b w:val="0"/>
          <w:color w:val="000000"/>
          <w:kern w:val="0"/>
          <w:sz w:val="24"/>
          <w:szCs w:val="24"/>
          <w:lang w:val="en-US" w:eastAsia="zh-CN" w:bidi="ar-SA"/>
        </w:rPr>
        <w:t>至</w:t>
      </w:r>
      <w:r>
        <w:rPr>
          <w:rFonts w:hint="eastAsia" w:asciiTheme="minorEastAsia" w:hAnsiTheme="minorEastAsia" w:eastAsiaTheme="minorEastAsia" w:cstheme="minorEastAsia"/>
          <w:b w:val="0"/>
          <w:color w:val="000000" w:themeColor="text1"/>
          <w:kern w:val="0"/>
          <w:sz w:val="24"/>
          <w:szCs w:val="24"/>
          <w:lang w:val="en-US" w:eastAsia="zh-CN" w:bidi="ar-SA"/>
          <w14:textFill>
            <w14:solidFill>
              <w14:schemeClr w14:val="tx1"/>
            </w14:solidFill>
          </w14:textFill>
        </w:rPr>
        <w:t>奔牛路与机场东路交口附近（具体以招标人指定地点为准）</w:t>
      </w:r>
      <w:r>
        <w:rPr>
          <w:rFonts w:hint="eastAsia" w:asciiTheme="minorEastAsia" w:hAnsiTheme="minorEastAsia" w:eastAsiaTheme="minorEastAsia" w:cstheme="minorEastAsia"/>
          <w:sz w:val="24"/>
          <w:szCs w:val="24"/>
        </w:rPr>
        <w:t>，合同期内</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人依据清淤中标单价按实际清淤项目和清淤量进行结算。</w:t>
      </w:r>
    </w:p>
    <w:p>
      <w:pPr>
        <w:rPr>
          <w:rFonts w:hint="eastAsia"/>
          <w:lang w:val="en-US" w:eastAsia="zh-CN"/>
        </w:rPr>
      </w:pPr>
    </w:p>
    <w:tbl>
      <w:tblPr>
        <w:tblStyle w:val="20"/>
        <w:tblW w:w="16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20"/>
        <w:gridCol w:w="8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9" w:hRule="atLeast"/>
        </w:trPr>
        <w:tc>
          <w:tcPr>
            <w:tcW w:w="842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化粪池清淤预算表</w:t>
            </w:r>
          </w:p>
          <w:tbl>
            <w:tblPr>
              <w:tblStyle w:val="20"/>
              <w:tblW w:w="8307"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174"/>
              <w:gridCol w:w="950"/>
              <w:gridCol w:w="1216"/>
              <w:gridCol w:w="1284"/>
              <w:gridCol w:w="1104"/>
              <w:gridCol w:w="1007"/>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排污户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化粪池数量</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单个容积（立方</w:t>
                  </w:r>
                  <w:r>
                    <w:rPr>
                      <w:rFonts w:hint="eastAsia" w:asciiTheme="minorEastAsia" w:hAnsiTheme="minorEastAsia" w:cstheme="minorEastAsia"/>
                      <w:b/>
                      <w:bCs/>
                      <w:i w:val="0"/>
                      <w:iCs w:val="0"/>
                      <w:color w:val="000000"/>
                      <w:kern w:val="0"/>
                      <w:sz w:val="24"/>
                      <w:szCs w:val="24"/>
                      <w:u w:val="none"/>
                      <w:lang w:val="en-US" w:eastAsia="zh-CN" w:bidi="ar"/>
                    </w:rPr>
                    <w:t>米</w:t>
                  </w:r>
                  <w:r>
                    <w:rPr>
                      <w:rFonts w:hint="eastAsia" w:asciiTheme="minorEastAsia" w:hAnsiTheme="minorEastAsia" w:eastAsiaTheme="minorEastAsia" w:cstheme="minorEastAsia"/>
                      <w:b/>
                      <w:bCs/>
                      <w:i w:val="0"/>
                      <w:iCs w:val="0"/>
                      <w:color w:val="000000"/>
                      <w:kern w:val="0"/>
                      <w:sz w:val="24"/>
                      <w:szCs w:val="24"/>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合计容积（立方</w:t>
                  </w:r>
                  <w:r>
                    <w:rPr>
                      <w:rFonts w:hint="eastAsia" w:asciiTheme="minorEastAsia" w:hAnsiTheme="minorEastAsia" w:cstheme="minorEastAsia"/>
                      <w:b/>
                      <w:bCs/>
                      <w:i w:val="0"/>
                      <w:iCs w:val="0"/>
                      <w:color w:val="000000"/>
                      <w:kern w:val="0"/>
                      <w:sz w:val="24"/>
                      <w:szCs w:val="24"/>
                      <w:u w:val="none"/>
                      <w:lang w:val="en-US" w:eastAsia="zh-CN" w:bidi="ar"/>
                    </w:rPr>
                    <w:t>米</w:t>
                  </w:r>
                  <w:r>
                    <w:rPr>
                      <w:rFonts w:hint="eastAsia" w:asciiTheme="minorEastAsia" w:hAnsiTheme="minorEastAsia" w:eastAsiaTheme="minorEastAsia" w:cstheme="minorEastAsia"/>
                      <w:b/>
                      <w:bCs/>
                      <w:i w:val="0"/>
                      <w:iCs w:val="0"/>
                      <w:color w:val="000000"/>
                      <w:kern w:val="0"/>
                      <w:sz w:val="24"/>
                      <w:szCs w:val="24"/>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控制单价（元/立方</w:t>
                  </w:r>
                  <w:r>
                    <w:rPr>
                      <w:rFonts w:hint="eastAsia" w:asciiTheme="minorEastAsia" w:hAnsiTheme="minorEastAsia" w:cstheme="minorEastAsia"/>
                      <w:b/>
                      <w:bCs/>
                      <w:i w:val="0"/>
                      <w:iCs w:val="0"/>
                      <w:color w:val="000000"/>
                      <w:kern w:val="0"/>
                      <w:sz w:val="24"/>
                      <w:szCs w:val="24"/>
                      <w:u w:val="none"/>
                      <w:lang w:val="en-US" w:eastAsia="zh-CN" w:bidi="ar"/>
                    </w:rPr>
                    <w:t>米</w:t>
                  </w:r>
                  <w:r>
                    <w:rPr>
                      <w:rFonts w:hint="eastAsia" w:asciiTheme="minorEastAsia" w:hAnsiTheme="minorEastAsia" w:eastAsiaTheme="minorEastAsia" w:cstheme="minorEastAsia"/>
                      <w:b/>
                      <w:bCs/>
                      <w:i w:val="0"/>
                      <w:iCs w:val="0"/>
                      <w:color w:val="000000"/>
                      <w:kern w:val="0"/>
                      <w:sz w:val="24"/>
                      <w:szCs w:val="24"/>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小计（元）</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锦尚公馆</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450</w:t>
                  </w:r>
                </w:p>
              </w:tc>
              <w:tc>
                <w:tcPr>
                  <w:tcW w:w="110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70</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40500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河畔雅苑</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640</w:t>
                  </w:r>
                </w:p>
              </w:tc>
              <w:tc>
                <w:tcPr>
                  <w:tcW w:w="110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57600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红卫北苑</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525</w:t>
                  </w:r>
                </w:p>
              </w:tc>
              <w:tc>
                <w:tcPr>
                  <w:tcW w:w="110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47250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红卫南苑</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525</w:t>
                  </w:r>
                </w:p>
              </w:tc>
              <w:tc>
                <w:tcPr>
                  <w:tcW w:w="110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47250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梧桐苑</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110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90000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8号公厕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（轻云商城北侧）</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10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5400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6号公厕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（高洪路与瓦东路交口东侧）</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10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5400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3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合计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3260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228200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sz w:val="24"/>
                      <w:szCs w:val="24"/>
                      <w:u w:val="none"/>
                      <w:lang w:val="en-US" w:eastAsia="zh-CN"/>
                    </w:rPr>
                    <w:t>注：</w:t>
                  </w:r>
                  <w:r>
                    <w:rPr>
                      <w:rFonts w:hint="eastAsia" w:asciiTheme="minorEastAsia" w:hAnsiTheme="minorEastAsia" w:eastAsiaTheme="minorEastAsia" w:cstheme="minorEastAsia"/>
                      <w:b/>
                      <w:bCs/>
                      <w:color w:val="000000"/>
                      <w:sz w:val="24"/>
                      <w:szCs w:val="24"/>
                      <w:lang w:val="en-US" w:eastAsia="zh-CN"/>
                    </w:rPr>
                    <w:t>以上容积均为预估，具体工作量据实结算。</w:t>
                  </w:r>
                </w:p>
              </w:tc>
            </w:tr>
          </w:tbl>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842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bl>
    <w:p>
      <w:pPr>
        <w:spacing w:before="240" w:line="4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第二条：报价要求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w:t>
      </w:r>
      <w:r>
        <w:rPr>
          <w:rFonts w:hint="eastAsia" w:asciiTheme="minorEastAsia" w:hAnsiTheme="minorEastAsia" w:eastAsiaTheme="minorEastAsia" w:cstheme="minorEastAsia"/>
          <w:sz w:val="24"/>
          <w:szCs w:val="24"/>
        </w:rPr>
        <w:t>本项目采取费率报价</w:t>
      </w:r>
      <w:r>
        <w:rPr>
          <w:rFonts w:hint="eastAsia" w:asciiTheme="minorEastAsia" w:hAnsiTheme="minorEastAsia" w:eastAsiaTheme="minorEastAsia" w:cstheme="minorEastAsia"/>
          <w:sz w:val="24"/>
          <w:szCs w:val="24"/>
          <w:lang w:val="en-US" w:eastAsia="zh-CN"/>
        </w:rPr>
        <w:t>（控制单价）</w:t>
      </w:r>
      <w:r>
        <w:rPr>
          <w:rFonts w:hint="eastAsia" w:asciiTheme="minorEastAsia" w:hAnsiTheme="minorEastAsia" w:eastAsiaTheme="minorEastAsia" w:cstheme="minorEastAsia"/>
          <w:sz w:val="24"/>
          <w:szCs w:val="24"/>
        </w:rPr>
        <w:t>，中标费率最高不得超过100%。结算价计算公式为：结算价 = 控制单价 × 中标费率 × 经双方确认的实际清掏数量（以立方米</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车次计）。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2.服务费</w:t>
      </w:r>
      <w:r>
        <w:rPr>
          <w:rFonts w:hint="eastAsia" w:asciiTheme="minorEastAsia" w:hAnsiTheme="minorEastAsia" w:eastAsiaTheme="minorEastAsia" w:cstheme="minorEastAsia"/>
          <w:sz w:val="24"/>
          <w:szCs w:val="24"/>
        </w:rPr>
        <w:t>包括</w:t>
      </w:r>
      <w:r>
        <w:rPr>
          <w:rFonts w:hint="eastAsia" w:asciiTheme="minorEastAsia" w:hAnsiTheme="minorEastAsia" w:eastAsiaTheme="minorEastAsia" w:cstheme="minorEastAsia"/>
          <w:sz w:val="24"/>
          <w:szCs w:val="24"/>
          <w:lang w:val="en-US" w:eastAsia="zh-CN"/>
        </w:rPr>
        <w:t>清掏7处化粪池以及运输至</w:t>
      </w:r>
      <w:r>
        <w:rPr>
          <w:rFonts w:hint="eastAsia" w:asciiTheme="minorEastAsia" w:hAnsiTheme="minorEastAsia" w:eastAsiaTheme="minorEastAsia" w:cstheme="minorEastAsia"/>
          <w:b w:val="0"/>
          <w:color w:val="000000" w:themeColor="text1"/>
          <w:kern w:val="0"/>
          <w:sz w:val="24"/>
          <w:szCs w:val="24"/>
          <w:lang w:val="en-US" w:eastAsia="zh-CN" w:bidi="ar-SA"/>
          <w14:textFill>
            <w14:solidFill>
              <w14:schemeClr w14:val="tx1"/>
            </w14:solidFill>
          </w14:textFill>
        </w:rPr>
        <w:t>奔牛路与机场东路交口附近</w:t>
      </w:r>
      <w:r>
        <w:rPr>
          <w:rFonts w:hint="eastAsia" w:asciiTheme="minorEastAsia" w:hAnsiTheme="minorEastAsia" w:eastAsiaTheme="minorEastAsia" w:cstheme="minorEastAsia"/>
          <w:sz w:val="24"/>
          <w:szCs w:val="24"/>
          <w:lang w:val="en-US" w:eastAsia="zh-CN"/>
        </w:rPr>
        <w:t>（运输距离约15公里）的所有费用，</w:t>
      </w:r>
      <w:r>
        <w:rPr>
          <w:rFonts w:hint="eastAsia" w:asciiTheme="minorEastAsia" w:hAnsiTheme="minorEastAsia" w:eastAsiaTheme="minorEastAsia" w:cstheme="minorEastAsia"/>
          <w:sz w:val="24"/>
          <w:szCs w:val="24"/>
        </w:rPr>
        <w:t>但不限于旅费、食宿费、税金、利润、合同工期内的风险费用等为完成本项目所发生的一切费用。</w:t>
      </w:r>
      <w:r>
        <w:rPr>
          <w:rFonts w:hint="eastAsia" w:asciiTheme="minorEastAsia" w:hAnsiTheme="minorEastAsia" w:eastAsiaTheme="minorEastAsia" w:cstheme="minorEastAsia"/>
          <w:bCs/>
          <w:color w:val="000000"/>
          <w:sz w:val="24"/>
          <w:szCs w:val="24"/>
          <w:lang w:val="en-US" w:eastAsia="zh-CN"/>
        </w:rPr>
        <w:t>招标</w:t>
      </w:r>
      <w:r>
        <w:rPr>
          <w:rFonts w:hint="eastAsia" w:asciiTheme="minorEastAsia" w:hAnsiTheme="minorEastAsia" w:eastAsiaTheme="minorEastAsia" w:cstheme="minorEastAsia"/>
          <w:bCs/>
          <w:color w:val="000000"/>
          <w:sz w:val="24"/>
          <w:szCs w:val="24"/>
          <w:lang w:eastAsia="zh-CN"/>
        </w:rPr>
        <w:t>人</w:t>
      </w:r>
      <w:r>
        <w:rPr>
          <w:rFonts w:hint="eastAsia" w:asciiTheme="minorEastAsia" w:hAnsiTheme="minorEastAsia" w:eastAsiaTheme="minorEastAsia" w:cstheme="minorEastAsia"/>
          <w:bCs/>
          <w:color w:val="000000"/>
          <w:sz w:val="24"/>
          <w:szCs w:val="24"/>
        </w:rPr>
        <w:t>后期不再增加任何费用，投标人需自行考虑各种风险，谨慎报价。</w:t>
      </w:r>
    </w:p>
    <w:p>
      <w:pPr>
        <w:spacing w:before="240" w:line="440" w:lineRule="exact"/>
        <w:ind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第三条：服务要求</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1.本项目中标人需按招标人项目要求，清</w:t>
      </w:r>
      <w:r>
        <w:rPr>
          <w:rFonts w:hint="eastAsia" w:asciiTheme="minorEastAsia" w:hAnsiTheme="minorEastAsia" w:eastAsiaTheme="minorEastAsia" w:cstheme="minorEastAsia"/>
          <w:bCs/>
          <w:sz w:val="24"/>
          <w:szCs w:val="24"/>
          <w:lang w:val="en-US" w:eastAsia="zh-CN"/>
        </w:rPr>
        <w:t>掏7处化粪池以及运输至</w:t>
      </w:r>
      <w:r>
        <w:rPr>
          <w:rFonts w:hint="eastAsia" w:asciiTheme="minorEastAsia" w:hAnsiTheme="minorEastAsia" w:eastAsiaTheme="minorEastAsia" w:cstheme="minorEastAsia"/>
          <w:b w:val="0"/>
          <w:color w:val="000000" w:themeColor="text1"/>
          <w:kern w:val="0"/>
          <w:sz w:val="24"/>
          <w:szCs w:val="24"/>
          <w:lang w:val="en-US" w:eastAsia="zh-CN" w:bidi="ar-SA"/>
          <w14:textFill>
            <w14:solidFill>
              <w14:schemeClr w14:val="tx1"/>
            </w14:solidFill>
          </w14:textFill>
        </w:rPr>
        <w:t>奔牛路与机场东路交口附近（具体以招标人指定地点为准）</w:t>
      </w:r>
      <w:r>
        <w:rPr>
          <w:rFonts w:hint="eastAsia" w:asciiTheme="minorEastAsia" w:hAnsiTheme="minorEastAsia" w:eastAsiaTheme="minorEastAsia" w:cstheme="minorEastAsia"/>
          <w:b w:val="0"/>
          <w:bCs w:val="0"/>
          <w:sz w:val="24"/>
          <w:szCs w:val="24"/>
          <w:lang w:val="en-US"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2.清掏化粪池要求:  </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①投标人须拥有符合安全、环保要求的吸污（吸粪）车及配套运输车辆，或具有等效清淤与密闭运输功能的一体化专业设备。。</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②清掏过程中需保证化粪池完好性，如过程中发生缺失或损坏，中标人承担由此产生的一切损失。</w:t>
      </w:r>
    </w:p>
    <w:p>
      <w:pPr>
        <w:numPr>
          <w:ilvl w:val="0"/>
          <w:numId w:val="2"/>
        </w:num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中标人</w:t>
      </w:r>
      <w:r>
        <w:rPr>
          <w:rFonts w:hint="eastAsia" w:asciiTheme="minorEastAsia" w:hAnsiTheme="minorEastAsia" w:eastAsiaTheme="minorEastAsia" w:cstheme="minorEastAsia"/>
          <w:color w:val="000000"/>
          <w:sz w:val="24"/>
          <w:szCs w:val="24"/>
        </w:rPr>
        <w:t>负责对作业人员进行思想教育、专业培训、安全生产教育，并要求作业人员做到遵纪守法，驾驶员等特殊岗位须持证上岗。</w:t>
      </w:r>
    </w:p>
    <w:p>
      <w:pPr>
        <w:numPr>
          <w:ilvl w:val="0"/>
          <w:numId w:val="2"/>
        </w:numPr>
        <w:spacing w:line="360" w:lineRule="auto"/>
        <w:ind w:left="0" w:leftChars="0"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中标人对其雇员在履行本合同过程中的行为负责。</w:t>
      </w:r>
      <w:r>
        <w:rPr>
          <w:rStyle w:val="23"/>
          <w:rFonts w:hint="eastAsia" w:asciiTheme="minorEastAsia" w:hAnsiTheme="minorEastAsia" w:eastAsiaTheme="minorEastAsia" w:cstheme="minorEastAsia"/>
          <w:b w:val="0"/>
          <w:bCs w:val="0"/>
          <w:i w:val="0"/>
          <w:iCs w:val="0"/>
          <w:caps w:val="0"/>
          <w:color w:val="0F1115"/>
          <w:spacing w:val="0"/>
          <w:sz w:val="24"/>
          <w:szCs w:val="24"/>
          <w:shd w:val="clear" w:fill="FFFFFF"/>
        </w:rPr>
        <w:t>因中标人或其雇员的故意或重大过失，造成人身损害或财产损失的，由中标人承担相应的法律责任。</w:t>
      </w:r>
    </w:p>
    <w:p>
      <w:pPr>
        <w:numPr>
          <w:ilvl w:val="0"/>
          <w:numId w:val="2"/>
        </w:numPr>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车辆、机械发生故障或人员不足等原因造成无法作业的，须有应急处置方案，并安排其他车辆或机械按时完成清运任务，不得以任何理由拒绝服务。</w:t>
      </w:r>
    </w:p>
    <w:p>
      <w:pPr>
        <w:numPr>
          <w:ilvl w:val="0"/>
          <w:numId w:val="2"/>
        </w:numPr>
        <w:spacing w:line="360" w:lineRule="auto"/>
        <w:ind w:left="0" w:leftChars="0" w:firstLine="480" w:firstLineChars="200"/>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清运</w:t>
      </w:r>
      <w:r>
        <w:rPr>
          <w:rFonts w:hint="eastAsia" w:asciiTheme="minorEastAsia" w:hAnsiTheme="minorEastAsia" w:eastAsiaTheme="minorEastAsia" w:cstheme="minorEastAsia"/>
          <w:color w:val="000000" w:themeColor="text1"/>
          <w:sz w:val="24"/>
          <w:szCs w:val="24"/>
          <w14:textFill>
            <w14:solidFill>
              <w14:schemeClr w14:val="tx1"/>
            </w14:solidFill>
          </w14:textFill>
        </w:rPr>
        <w:t>车辆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必须</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空车进场</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满车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离场</w:t>
      </w:r>
      <w:r>
        <w:rPr>
          <w:rFonts w:hint="eastAsia" w:asciiTheme="minorEastAsia" w:hAnsiTheme="minorEastAsia" w:eastAsiaTheme="minorEastAsia" w:cstheme="minorEastAsia"/>
          <w:color w:val="000000" w:themeColor="text1"/>
          <w:sz w:val="24"/>
          <w:szCs w:val="24"/>
          <w14:textFill>
            <w14:solidFill>
              <w14:schemeClr w14:val="tx1"/>
            </w14:solidFill>
          </w14:textFill>
        </w:rPr>
        <w:t>，经招标方现场人员确认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并拍摄相应影像资料</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numPr>
          <w:ilvl w:val="0"/>
          <w:numId w:val="2"/>
        </w:numPr>
        <w:spacing w:line="360" w:lineRule="auto"/>
        <w:ind w:left="0" w:leftChars="0" w:firstLine="480" w:firstLineChars="200"/>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为规范服务行为，确保服务质量，特制定本考核细则。所有考核扣款将从当期服务费用中直接扣除。</w:t>
      </w:r>
    </w:p>
    <w:tbl>
      <w:tblPr>
        <w:tblStyle w:val="20"/>
        <w:tblW w:w="9435"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20"/>
        <w:gridCol w:w="4650"/>
        <w:gridCol w:w="156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020"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考核类别</w:t>
            </w:r>
          </w:p>
        </w:tc>
        <w:tc>
          <w:tcPr>
            <w:tcW w:w="46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考核项目与具体标准</w:t>
            </w:r>
          </w:p>
        </w:tc>
        <w:tc>
          <w:tcPr>
            <w:tcW w:w="156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扣罚措施</w:t>
            </w:r>
          </w:p>
        </w:tc>
        <w:tc>
          <w:tcPr>
            <w:tcW w:w="220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合同履约影响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20"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Style w:val="23"/>
                <w:rFonts w:hint="eastAsia" w:ascii="仿宋" w:hAnsi="仿宋" w:eastAsia="仿宋" w:cs="仿宋"/>
                <w:b/>
                <w:bCs/>
                <w:kern w:val="0"/>
                <w:sz w:val="21"/>
                <w:szCs w:val="21"/>
                <w:lang w:val="en-US" w:eastAsia="zh-CN" w:bidi="ar"/>
              </w:rPr>
              <w:t>一、服务与纪律</w:t>
            </w:r>
          </w:p>
        </w:tc>
        <w:tc>
          <w:tcPr>
            <w:tcW w:w="46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Style w:val="23"/>
                <w:rFonts w:hint="eastAsia" w:ascii="仿宋" w:hAnsi="仿宋" w:eastAsia="仿宋" w:cs="仿宋"/>
                <w:b/>
                <w:bCs/>
                <w:kern w:val="0"/>
                <w:sz w:val="21"/>
                <w:szCs w:val="21"/>
                <w:lang w:val="en-US" w:eastAsia="zh-CN" w:bidi="ar"/>
              </w:rPr>
              <w:t>1.1 出勤与服从</w:t>
            </w:r>
            <w:r>
              <w:rPr>
                <w:rFonts w:hint="eastAsia" w:ascii="仿宋" w:hAnsi="仿宋" w:eastAsia="仿宋" w:cs="仿宋"/>
                <w:kern w:val="0"/>
                <w:sz w:val="21"/>
                <w:szCs w:val="21"/>
                <w:lang w:val="en-US" w:eastAsia="zh-CN" w:bidi="ar"/>
              </w:rPr>
              <w:t>：未按约定时间到达作业现场，且未提前主动沟通说明的。</w:t>
            </w:r>
            <w:r>
              <w:rPr>
                <w:rFonts w:hint="eastAsia" w:ascii="仿宋" w:hAnsi="仿宋" w:eastAsia="仿宋" w:cs="仿宋"/>
                <w:kern w:val="0"/>
                <w:sz w:val="21"/>
                <w:szCs w:val="21"/>
                <w:lang w:val="en-US" w:eastAsia="zh-CN" w:bidi="ar"/>
              </w:rPr>
              <w:br w:type="textWrapping"/>
            </w:r>
            <w:r>
              <w:rPr>
                <w:rStyle w:val="23"/>
                <w:rFonts w:hint="eastAsia" w:ascii="仿宋" w:hAnsi="仿宋" w:eastAsia="仿宋" w:cs="仿宋"/>
                <w:b/>
                <w:bCs/>
                <w:kern w:val="0"/>
                <w:sz w:val="21"/>
                <w:szCs w:val="21"/>
                <w:lang w:val="en-US" w:eastAsia="zh-CN" w:bidi="ar"/>
              </w:rPr>
              <w:t>1.2 现场纪律</w:t>
            </w:r>
            <w:r>
              <w:rPr>
                <w:rFonts w:hint="eastAsia" w:ascii="仿宋" w:hAnsi="仿宋" w:eastAsia="仿宋" w:cs="仿宋"/>
                <w:kern w:val="0"/>
                <w:sz w:val="21"/>
                <w:szCs w:val="21"/>
                <w:lang w:val="en-US" w:eastAsia="zh-CN" w:bidi="ar"/>
              </w:rPr>
              <w:t>：作业人员不服从招标方现场管理人员合理调度与指挥的。</w:t>
            </w:r>
          </w:p>
        </w:tc>
        <w:tc>
          <w:tcPr>
            <w:tcW w:w="156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每次扣款 </w:t>
            </w:r>
            <w:r>
              <w:rPr>
                <w:rStyle w:val="23"/>
                <w:rFonts w:hint="eastAsia" w:ascii="仿宋" w:hAnsi="仿宋" w:eastAsia="仿宋" w:cs="仿宋"/>
                <w:b/>
                <w:bCs/>
                <w:kern w:val="0"/>
                <w:sz w:val="21"/>
                <w:szCs w:val="21"/>
                <w:lang w:val="en-US" w:eastAsia="zh-CN" w:bidi="ar"/>
              </w:rPr>
              <w:t>200元</w:t>
            </w:r>
            <w:r>
              <w:rPr>
                <w:rFonts w:hint="eastAsia" w:ascii="仿宋" w:hAnsi="仿宋" w:eastAsia="仿宋" w:cs="仿宋"/>
                <w:kern w:val="0"/>
                <w:sz w:val="21"/>
                <w:szCs w:val="21"/>
                <w:lang w:val="en-US" w:eastAsia="zh-CN" w:bidi="ar"/>
              </w:rPr>
              <w:t>。</w:t>
            </w:r>
          </w:p>
        </w:tc>
        <w:tc>
          <w:tcPr>
            <w:tcW w:w="2205"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本项累计发生</w:t>
            </w:r>
            <w:r>
              <w:rPr>
                <w:rStyle w:val="23"/>
                <w:rFonts w:hint="eastAsia" w:ascii="仿宋" w:hAnsi="仿宋" w:eastAsia="仿宋" w:cs="仿宋"/>
                <w:b/>
                <w:bCs/>
                <w:kern w:val="0"/>
                <w:sz w:val="21"/>
                <w:szCs w:val="21"/>
                <w:lang w:val="en-US" w:eastAsia="zh-CN" w:bidi="ar"/>
              </w:rPr>
              <w:t>3次</w:t>
            </w:r>
            <w:r>
              <w:rPr>
                <w:rFonts w:hint="eastAsia" w:ascii="仿宋" w:hAnsi="仿宋" w:eastAsia="仿宋" w:cs="仿宋"/>
                <w:kern w:val="0"/>
                <w:sz w:val="21"/>
                <w:szCs w:val="21"/>
                <w:lang w:val="en-US" w:eastAsia="zh-CN" w:bidi="ar"/>
              </w:rPr>
              <w:t>，招标方有权单方解除合同，且不承担违约责任。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20"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Style w:val="23"/>
                <w:rFonts w:hint="eastAsia" w:ascii="仿宋" w:hAnsi="仿宋" w:eastAsia="仿宋" w:cs="仿宋"/>
                <w:b/>
                <w:bCs/>
                <w:kern w:val="0"/>
                <w:sz w:val="21"/>
                <w:szCs w:val="21"/>
                <w:lang w:val="en-US" w:eastAsia="zh-CN" w:bidi="ar"/>
              </w:rPr>
              <w:t>二、现场作业规范</w:t>
            </w:r>
          </w:p>
        </w:tc>
        <w:tc>
          <w:tcPr>
            <w:tcW w:w="46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Style w:val="23"/>
                <w:rFonts w:hint="eastAsia" w:ascii="仿宋" w:hAnsi="仿宋" w:eastAsia="仿宋" w:cs="仿宋"/>
                <w:b/>
                <w:bCs/>
                <w:kern w:val="0"/>
                <w:sz w:val="21"/>
                <w:szCs w:val="21"/>
                <w:lang w:val="en-US" w:eastAsia="zh-CN" w:bidi="ar"/>
              </w:rPr>
              <w:t>2.1 安全保障</w:t>
            </w:r>
            <w:r>
              <w:rPr>
                <w:rFonts w:hint="eastAsia" w:ascii="仿宋" w:hAnsi="仿宋" w:eastAsia="仿宋" w:cs="仿宋"/>
                <w:kern w:val="0"/>
                <w:sz w:val="21"/>
                <w:szCs w:val="21"/>
                <w:lang w:val="en-US" w:eastAsia="zh-CN" w:bidi="ar"/>
              </w:rPr>
              <w:t>：现场作业未设置必要、有效的安全警示与防护措施。</w:t>
            </w:r>
            <w:r>
              <w:rPr>
                <w:rFonts w:hint="eastAsia" w:ascii="仿宋" w:hAnsi="仿宋" w:eastAsia="仿宋" w:cs="仿宋"/>
                <w:kern w:val="0"/>
                <w:sz w:val="21"/>
                <w:szCs w:val="21"/>
                <w:lang w:val="en-US" w:eastAsia="zh-CN" w:bidi="ar"/>
              </w:rPr>
              <w:br w:type="textWrapping"/>
            </w:r>
            <w:r>
              <w:rPr>
                <w:rStyle w:val="23"/>
                <w:rFonts w:hint="eastAsia" w:ascii="仿宋" w:hAnsi="仿宋" w:eastAsia="仿宋" w:cs="仿宋"/>
                <w:b/>
                <w:bCs/>
                <w:kern w:val="0"/>
                <w:sz w:val="21"/>
                <w:szCs w:val="21"/>
                <w:lang w:val="en-US" w:eastAsia="zh-CN" w:bidi="ar"/>
              </w:rPr>
              <w:t>2.2 文明施工</w:t>
            </w:r>
            <w:r>
              <w:rPr>
                <w:rFonts w:hint="eastAsia" w:ascii="仿宋" w:hAnsi="仿宋" w:eastAsia="仿宋" w:cs="仿宋"/>
                <w:kern w:val="0"/>
                <w:sz w:val="21"/>
                <w:szCs w:val="21"/>
                <w:lang w:val="en-US" w:eastAsia="zh-CN" w:bidi="ar"/>
              </w:rPr>
              <w:t>：因野蛮作业导致招标方或第三方设施、设备损坏的；或因噪音、扬尘、行为不当等引发周边住户/单位有效投诉的。</w:t>
            </w:r>
            <w:r>
              <w:rPr>
                <w:rFonts w:hint="eastAsia" w:ascii="仿宋" w:hAnsi="仿宋" w:eastAsia="仿宋" w:cs="仿宋"/>
                <w:kern w:val="0"/>
                <w:sz w:val="21"/>
                <w:szCs w:val="21"/>
                <w:lang w:val="en-US" w:eastAsia="zh-CN" w:bidi="ar"/>
              </w:rPr>
              <w:br w:type="textWrapping"/>
            </w:r>
            <w:r>
              <w:rPr>
                <w:rStyle w:val="23"/>
                <w:rFonts w:hint="eastAsia" w:ascii="仿宋" w:hAnsi="仿宋" w:eastAsia="仿宋" w:cs="仿宋"/>
                <w:b/>
                <w:bCs/>
                <w:kern w:val="0"/>
                <w:sz w:val="21"/>
                <w:szCs w:val="21"/>
                <w:lang w:val="en-US" w:eastAsia="zh-CN" w:bidi="ar"/>
              </w:rPr>
              <w:t>2.3 场地清洁</w:t>
            </w:r>
            <w:r>
              <w:rPr>
                <w:rFonts w:hint="eastAsia" w:ascii="仿宋" w:hAnsi="仿宋" w:eastAsia="仿宋" w:cs="仿宋"/>
                <w:kern w:val="0"/>
                <w:sz w:val="21"/>
                <w:szCs w:val="21"/>
                <w:lang w:val="en-US" w:eastAsia="zh-CN" w:bidi="ar"/>
              </w:rPr>
              <w:t>：作业完成后，未将现场垃圾、杂物、污水清理彻底，存在滴漏、遗撒的。</w:t>
            </w:r>
          </w:p>
        </w:tc>
        <w:tc>
          <w:tcPr>
            <w:tcW w:w="156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每次扣款 </w:t>
            </w:r>
            <w:r>
              <w:rPr>
                <w:rStyle w:val="23"/>
                <w:rFonts w:hint="eastAsia" w:ascii="仿宋" w:hAnsi="仿宋" w:eastAsia="仿宋" w:cs="仿宋"/>
                <w:b/>
                <w:bCs/>
                <w:kern w:val="0"/>
                <w:sz w:val="21"/>
                <w:szCs w:val="21"/>
                <w:lang w:val="en-US" w:eastAsia="zh-CN" w:bidi="ar"/>
              </w:rPr>
              <w:t>200元</w:t>
            </w:r>
            <w:r>
              <w:rPr>
                <w:rFonts w:hint="eastAsia" w:ascii="仿宋" w:hAnsi="仿宋" w:eastAsia="仿宋" w:cs="仿宋"/>
                <w:kern w:val="0"/>
                <w:sz w:val="21"/>
                <w:szCs w:val="21"/>
                <w:lang w:val="en-US" w:eastAsia="zh-CN" w:bidi="ar"/>
              </w:rPr>
              <w:t>，可累计计算。</w:t>
            </w:r>
          </w:p>
        </w:tc>
        <w:tc>
          <w:tcPr>
            <w:tcW w:w="2205"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造成财物损失的，须照价赔偿；引发投诉或处罚的，须自行承担全部责任及后果。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20"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Style w:val="23"/>
                <w:rFonts w:hint="eastAsia" w:ascii="仿宋" w:hAnsi="仿宋" w:eastAsia="仿宋" w:cs="仿宋"/>
                <w:b/>
                <w:bCs/>
                <w:kern w:val="0"/>
                <w:sz w:val="21"/>
                <w:szCs w:val="21"/>
                <w:lang w:val="en-US" w:eastAsia="zh-CN" w:bidi="ar"/>
              </w:rPr>
              <w:t>三、车辆管理</w:t>
            </w:r>
          </w:p>
        </w:tc>
        <w:tc>
          <w:tcPr>
            <w:tcW w:w="46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Style w:val="23"/>
                <w:rFonts w:hint="eastAsia" w:ascii="仿宋" w:hAnsi="仿宋" w:eastAsia="仿宋" w:cs="仿宋"/>
                <w:b/>
                <w:bCs/>
                <w:kern w:val="0"/>
                <w:sz w:val="21"/>
                <w:szCs w:val="21"/>
                <w:lang w:val="en-US" w:eastAsia="zh-CN" w:bidi="ar"/>
              </w:rPr>
              <w:t>3.1 装载标准</w:t>
            </w:r>
            <w:r>
              <w:rPr>
                <w:rFonts w:hint="eastAsia" w:ascii="仿宋" w:hAnsi="仿宋" w:eastAsia="仿宋" w:cs="仿宋"/>
                <w:kern w:val="0"/>
                <w:sz w:val="21"/>
                <w:szCs w:val="21"/>
                <w:lang w:val="en-US" w:eastAsia="zh-CN" w:bidi="ar"/>
              </w:rPr>
              <w:t>：清运车辆未达到合理满载状态即离场，且未经招标方现场负责人签字确认的。</w:t>
            </w:r>
            <w:r>
              <w:rPr>
                <w:rFonts w:hint="eastAsia" w:ascii="仿宋" w:hAnsi="仿宋" w:eastAsia="仿宋" w:cs="仿宋"/>
                <w:kern w:val="0"/>
                <w:sz w:val="21"/>
                <w:szCs w:val="21"/>
                <w:lang w:val="en-US" w:eastAsia="zh-CN" w:bidi="ar"/>
              </w:rPr>
              <w:br w:type="textWrapping"/>
            </w:r>
            <w:r>
              <w:rPr>
                <w:rStyle w:val="23"/>
                <w:rFonts w:hint="eastAsia" w:ascii="仿宋" w:hAnsi="仿宋" w:eastAsia="仿宋" w:cs="仿宋"/>
                <w:b/>
                <w:bCs/>
                <w:kern w:val="0"/>
                <w:sz w:val="21"/>
                <w:szCs w:val="21"/>
                <w:lang w:val="en-US" w:eastAsia="zh-CN" w:bidi="ar"/>
              </w:rPr>
              <w:t>3.2 车容车貌</w:t>
            </w:r>
            <w:r>
              <w:rPr>
                <w:rFonts w:hint="eastAsia" w:ascii="仿宋" w:hAnsi="仿宋" w:eastAsia="仿宋" w:cs="仿宋"/>
                <w:kern w:val="0"/>
                <w:sz w:val="21"/>
                <w:szCs w:val="21"/>
                <w:lang w:val="en-US" w:eastAsia="zh-CN" w:bidi="ar"/>
              </w:rPr>
              <w:t>：车辆外观肮脏、破损严重，存在“跑冒滴漏”隐患，影响市容观瞻的。</w:t>
            </w:r>
          </w:p>
        </w:tc>
        <w:tc>
          <w:tcPr>
            <w:tcW w:w="156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每次扣款 </w:t>
            </w:r>
            <w:r>
              <w:rPr>
                <w:rStyle w:val="23"/>
                <w:rFonts w:hint="eastAsia" w:ascii="仿宋" w:hAnsi="仿宋" w:eastAsia="仿宋" w:cs="仿宋"/>
                <w:b/>
                <w:bCs/>
                <w:kern w:val="0"/>
                <w:sz w:val="21"/>
                <w:szCs w:val="21"/>
                <w:lang w:val="en-US" w:eastAsia="zh-CN" w:bidi="ar"/>
              </w:rPr>
              <w:t>200元</w:t>
            </w:r>
            <w:r>
              <w:rPr>
                <w:rFonts w:hint="eastAsia" w:ascii="仿宋" w:hAnsi="仿宋" w:eastAsia="仿宋" w:cs="仿宋"/>
                <w:kern w:val="0"/>
                <w:sz w:val="21"/>
                <w:szCs w:val="21"/>
                <w:lang w:val="en-US" w:eastAsia="zh-CN" w:bidi="ar"/>
              </w:rPr>
              <w:t>，可累计计算。</w:t>
            </w:r>
          </w:p>
        </w:tc>
        <w:tc>
          <w:tcPr>
            <w:tcW w:w="2205"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本项累计发生</w:t>
            </w:r>
            <w:r>
              <w:rPr>
                <w:rStyle w:val="23"/>
                <w:rFonts w:hint="eastAsia" w:ascii="仿宋" w:hAnsi="仿宋" w:eastAsia="仿宋" w:cs="仿宋"/>
                <w:b/>
                <w:bCs/>
                <w:kern w:val="0"/>
                <w:sz w:val="21"/>
                <w:szCs w:val="21"/>
                <w:lang w:val="en-US" w:eastAsia="zh-CN" w:bidi="ar"/>
              </w:rPr>
              <w:t>3次</w:t>
            </w:r>
            <w:r>
              <w:rPr>
                <w:rFonts w:hint="eastAsia" w:ascii="仿宋" w:hAnsi="仿宋" w:eastAsia="仿宋" w:cs="仿宋"/>
                <w:kern w:val="0"/>
                <w:sz w:val="21"/>
                <w:szCs w:val="21"/>
                <w:lang w:val="en-US" w:eastAsia="zh-CN" w:bidi="ar"/>
              </w:rPr>
              <w:t>，招标方可要求更换车辆或暂停服务。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20"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Style w:val="23"/>
                <w:rFonts w:hint="eastAsia" w:ascii="仿宋" w:hAnsi="仿宋" w:eastAsia="仿宋" w:cs="仿宋"/>
                <w:b/>
                <w:bCs/>
                <w:kern w:val="0"/>
                <w:sz w:val="21"/>
                <w:szCs w:val="21"/>
                <w:lang w:val="en-US" w:eastAsia="zh-CN" w:bidi="ar"/>
              </w:rPr>
              <w:t>四、运营效率</w:t>
            </w:r>
          </w:p>
        </w:tc>
        <w:tc>
          <w:tcPr>
            <w:tcW w:w="46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Style w:val="23"/>
                <w:rFonts w:hint="eastAsia" w:ascii="仿宋" w:hAnsi="仿宋" w:eastAsia="仿宋" w:cs="仿宋"/>
                <w:b/>
                <w:bCs/>
                <w:kern w:val="0"/>
                <w:sz w:val="21"/>
                <w:szCs w:val="21"/>
                <w:lang w:val="en-US" w:eastAsia="zh-CN" w:bidi="ar"/>
              </w:rPr>
              <w:t>4.1 车辆调度</w:t>
            </w:r>
            <w:r>
              <w:rPr>
                <w:rFonts w:hint="eastAsia" w:ascii="仿宋" w:hAnsi="仿宋" w:eastAsia="仿宋" w:cs="仿宋"/>
                <w:kern w:val="0"/>
                <w:sz w:val="21"/>
                <w:szCs w:val="21"/>
                <w:lang w:val="en-US" w:eastAsia="zh-CN" w:bidi="ar"/>
              </w:rPr>
              <w:t>：未按约定计划调度车辆，且未采取有效措施（如调用备用车）保障作业进度的。</w:t>
            </w:r>
            <w:r>
              <w:rPr>
                <w:rFonts w:hint="eastAsia" w:ascii="仿宋" w:hAnsi="仿宋" w:eastAsia="仿宋" w:cs="仿宋"/>
                <w:kern w:val="0"/>
                <w:sz w:val="21"/>
                <w:szCs w:val="21"/>
                <w:lang w:val="en-US" w:eastAsia="zh-CN" w:bidi="ar"/>
              </w:rPr>
              <w:br w:type="textWrapping"/>
            </w:r>
            <w:r>
              <w:rPr>
                <w:rStyle w:val="23"/>
                <w:rFonts w:hint="eastAsia" w:ascii="仿宋" w:hAnsi="仿宋" w:eastAsia="仿宋" w:cs="仿宋"/>
                <w:b/>
                <w:bCs/>
                <w:kern w:val="0"/>
                <w:sz w:val="21"/>
                <w:szCs w:val="21"/>
                <w:lang w:val="en-US" w:eastAsia="zh-CN" w:bidi="ar"/>
              </w:rPr>
              <w:t>4.2 作业延误</w:t>
            </w:r>
            <w:r>
              <w:rPr>
                <w:rFonts w:hint="eastAsia" w:ascii="仿宋" w:hAnsi="仿宋" w:eastAsia="仿宋" w:cs="仿宋"/>
                <w:kern w:val="0"/>
                <w:sz w:val="21"/>
                <w:szCs w:val="21"/>
                <w:lang w:val="en-US" w:eastAsia="zh-CN" w:bidi="ar"/>
              </w:rPr>
              <w:t>：车辆及人员到达现场后，无正当理由延迟开工或怠工。</w:t>
            </w:r>
          </w:p>
        </w:tc>
        <w:tc>
          <w:tcPr>
            <w:tcW w:w="156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每次扣款 </w:t>
            </w:r>
            <w:r>
              <w:rPr>
                <w:rStyle w:val="23"/>
                <w:rFonts w:hint="eastAsia" w:ascii="仿宋" w:hAnsi="仿宋" w:eastAsia="仿宋" w:cs="仿宋"/>
                <w:b/>
                <w:bCs/>
                <w:kern w:val="0"/>
                <w:sz w:val="21"/>
                <w:szCs w:val="21"/>
                <w:lang w:val="en-US" w:eastAsia="zh-CN" w:bidi="ar"/>
              </w:rPr>
              <w:t>200元</w:t>
            </w:r>
            <w:r>
              <w:rPr>
                <w:rFonts w:hint="eastAsia" w:ascii="仿宋" w:hAnsi="仿宋" w:eastAsia="仿宋" w:cs="仿宋"/>
                <w:kern w:val="0"/>
                <w:sz w:val="21"/>
                <w:szCs w:val="21"/>
                <w:lang w:val="en-US" w:eastAsia="zh-CN" w:bidi="ar"/>
              </w:rPr>
              <w:t>，可累计计算。</w:t>
            </w:r>
          </w:p>
        </w:tc>
        <w:tc>
          <w:tcPr>
            <w:tcW w:w="2205"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本项情节严重或发生超三次，对项目整体进度造成重大影响的，招标方有权单方解除合同，且不承担违约责任。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20"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Style w:val="23"/>
                <w:rFonts w:hint="eastAsia" w:ascii="仿宋" w:hAnsi="仿宋" w:eastAsia="仿宋" w:cs="仿宋"/>
                <w:b/>
                <w:bCs/>
                <w:kern w:val="0"/>
                <w:sz w:val="21"/>
                <w:szCs w:val="21"/>
                <w:lang w:val="en-US" w:eastAsia="zh-CN" w:bidi="ar"/>
              </w:rPr>
              <w:t>五、合规处置</w:t>
            </w:r>
          </w:p>
        </w:tc>
        <w:tc>
          <w:tcPr>
            <w:tcW w:w="46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Style w:val="23"/>
                <w:rFonts w:hint="eastAsia" w:ascii="仿宋" w:hAnsi="仿宋" w:eastAsia="仿宋" w:cs="仿宋"/>
                <w:b/>
                <w:bCs/>
                <w:kern w:val="0"/>
                <w:sz w:val="21"/>
                <w:szCs w:val="21"/>
                <w:lang w:val="en-US" w:eastAsia="zh-CN" w:bidi="ar"/>
              </w:rPr>
              <w:t>5.1 合规清运</w:t>
            </w:r>
            <w:r>
              <w:rPr>
                <w:rFonts w:hint="eastAsia" w:ascii="仿宋" w:hAnsi="仿宋" w:eastAsia="仿宋" w:cs="仿宋"/>
                <w:kern w:val="0"/>
                <w:sz w:val="21"/>
                <w:szCs w:val="21"/>
                <w:lang w:val="en-US" w:eastAsia="zh-CN" w:bidi="ar"/>
              </w:rPr>
              <w:t>：在运输、倾倒处置过程中，因违反环保、城管、交通等政府部门管理规定，遭到有效投诉、警告或行政处罚的。</w:t>
            </w:r>
            <w:r>
              <w:rPr>
                <w:rFonts w:hint="eastAsia" w:ascii="仿宋" w:hAnsi="仿宋" w:eastAsia="仿宋" w:cs="仿宋"/>
                <w:kern w:val="0"/>
                <w:sz w:val="21"/>
                <w:szCs w:val="21"/>
                <w:lang w:val="en-US" w:eastAsia="zh-CN" w:bidi="ar"/>
              </w:rPr>
              <w:br w:type="textWrapping"/>
            </w:r>
            <w:r>
              <w:rPr>
                <w:rStyle w:val="23"/>
                <w:rFonts w:hint="eastAsia" w:ascii="仿宋" w:hAnsi="仿宋" w:eastAsia="仿宋" w:cs="仿宋"/>
                <w:b/>
                <w:bCs/>
                <w:kern w:val="0"/>
                <w:sz w:val="21"/>
                <w:szCs w:val="21"/>
                <w:lang w:val="en-US" w:eastAsia="zh-CN" w:bidi="ar"/>
              </w:rPr>
              <w:t>5.2 证件齐全</w:t>
            </w:r>
            <w:r>
              <w:rPr>
                <w:rFonts w:hint="eastAsia" w:ascii="仿宋" w:hAnsi="仿宋" w:eastAsia="仿宋" w:cs="仿宋"/>
                <w:kern w:val="0"/>
                <w:sz w:val="21"/>
                <w:szCs w:val="21"/>
                <w:lang w:val="en-US" w:eastAsia="zh-CN" w:bidi="ar"/>
              </w:rPr>
              <w:t>：运营车辆、人员相关证件不全或失效。</w:t>
            </w:r>
          </w:p>
        </w:tc>
        <w:tc>
          <w:tcPr>
            <w:tcW w:w="156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每次扣款 </w:t>
            </w:r>
            <w:r>
              <w:rPr>
                <w:rStyle w:val="23"/>
                <w:rFonts w:hint="eastAsia" w:ascii="仿宋" w:hAnsi="仿宋" w:eastAsia="仿宋" w:cs="仿宋"/>
                <w:b/>
                <w:bCs/>
                <w:kern w:val="0"/>
                <w:sz w:val="21"/>
                <w:szCs w:val="21"/>
                <w:lang w:val="en-US" w:eastAsia="zh-CN" w:bidi="ar"/>
              </w:rPr>
              <w:t>200元</w:t>
            </w:r>
            <w:r>
              <w:rPr>
                <w:rFonts w:hint="eastAsia" w:ascii="仿宋" w:hAnsi="仿宋" w:eastAsia="仿宋" w:cs="仿宋"/>
                <w:kern w:val="0"/>
                <w:sz w:val="21"/>
                <w:szCs w:val="21"/>
                <w:lang w:val="en-US" w:eastAsia="zh-CN" w:bidi="ar"/>
              </w:rPr>
              <w:t>，可累计计算。</w:t>
            </w:r>
          </w:p>
        </w:tc>
        <w:tc>
          <w:tcPr>
            <w:tcW w:w="2205"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由此产生的一切罚款、诉讼费用及商誉损失均由服务方承担。若导致招标方受牵连或产生损失，招标方有权进行追偿并解除合同。</w:t>
            </w:r>
          </w:p>
        </w:tc>
      </w:tr>
    </w:tbl>
    <w:p>
      <w:pPr>
        <w:pStyle w:val="19"/>
        <w:numPr>
          <w:ilvl w:val="0"/>
          <w:numId w:val="0"/>
        </w:num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FCA87"/>
    <w:multiLevelType w:val="singleLevel"/>
    <w:tmpl w:val="117FCA87"/>
    <w:lvl w:ilvl="0" w:tentative="0">
      <w:start w:val="3"/>
      <w:numFmt w:val="decimal"/>
      <w:lvlText w:val="%1."/>
      <w:lvlJc w:val="left"/>
      <w:pPr>
        <w:tabs>
          <w:tab w:val="left" w:pos="312"/>
        </w:tabs>
      </w:pPr>
    </w:lvl>
  </w:abstractNum>
  <w:abstractNum w:abstractNumId="1">
    <w:nsid w:val="48F30B5A"/>
    <w:multiLevelType w:val="singleLevel"/>
    <w:tmpl w:val="48F30B5A"/>
    <w:lvl w:ilvl="0" w:tentative="0">
      <w:start w:val="1"/>
      <w:numFmt w:val="chineseCounting"/>
      <w:suff w:val="nothing"/>
      <w:lvlText w:val="第%1条、"/>
      <w:lvlJc w:val="left"/>
      <w:pPr>
        <w:ind w:left="7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1E0373D"/>
    <w:rsid w:val="01F16C6F"/>
    <w:rsid w:val="03164B46"/>
    <w:rsid w:val="03C238C1"/>
    <w:rsid w:val="046D02C9"/>
    <w:rsid w:val="04AC7907"/>
    <w:rsid w:val="04CF21C1"/>
    <w:rsid w:val="07D61CBB"/>
    <w:rsid w:val="08187346"/>
    <w:rsid w:val="08C218CD"/>
    <w:rsid w:val="09357310"/>
    <w:rsid w:val="09431CDD"/>
    <w:rsid w:val="09D85925"/>
    <w:rsid w:val="09E823E8"/>
    <w:rsid w:val="0B16599D"/>
    <w:rsid w:val="0CBD2355"/>
    <w:rsid w:val="0CC51CA1"/>
    <w:rsid w:val="12375F75"/>
    <w:rsid w:val="12E66D1C"/>
    <w:rsid w:val="1465676B"/>
    <w:rsid w:val="1474453F"/>
    <w:rsid w:val="147A6B5F"/>
    <w:rsid w:val="174F3E72"/>
    <w:rsid w:val="19371A3D"/>
    <w:rsid w:val="1B562B38"/>
    <w:rsid w:val="1BBE6F12"/>
    <w:rsid w:val="1BE340FE"/>
    <w:rsid w:val="1CD51C99"/>
    <w:rsid w:val="1DB440B4"/>
    <w:rsid w:val="1EA9518B"/>
    <w:rsid w:val="1EF02DBA"/>
    <w:rsid w:val="2091596D"/>
    <w:rsid w:val="20B56069"/>
    <w:rsid w:val="21BC67D1"/>
    <w:rsid w:val="229D0F23"/>
    <w:rsid w:val="23A23896"/>
    <w:rsid w:val="250338C6"/>
    <w:rsid w:val="2560638D"/>
    <w:rsid w:val="2888575B"/>
    <w:rsid w:val="296C096E"/>
    <w:rsid w:val="2A2100B3"/>
    <w:rsid w:val="2B0A1393"/>
    <w:rsid w:val="2DC35BE2"/>
    <w:rsid w:val="2DFD6DA8"/>
    <w:rsid w:val="2E78204D"/>
    <w:rsid w:val="2F5C3B54"/>
    <w:rsid w:val="310444A3"/>
    <w:rsid w:val="321D0284"/>
    <w:rsid w:val="3401034F"/>
    <w:rsid w:val="35F42D38"/>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6670B6F"/>
    <w:rsid w:val="475C491A"/>
    <w:rsid w:val="49521D16"/>
    <w:rsid w:val="4A180A44"/>
    <w:rsid w:val="4A630034"/>
    <w:rsid w:val="4B0E4506"/>
    <w:rsid w:val="4BF20535"/>
    <w:rsid w:val="4D5C1604"/>
    <w:rsid w:val="4D752558"/>
    <w:rsid w:val="4D841426"/>
    <w:rsid w:val="4D926C66"/>
    <w:rsid w:val="4E235B10"/>
    <w:rsid w:val="4E4A0A8E"/>
    <w:rsid w:val="4EFF657E"/>
    <w:rsid w:val="50116703"/>
    <w:rsid w:val="51C0097A"/>
    <w:rsid w:val="51EB53DF"/>
    <w:rsid w:val="53603F65"/>
    <w:rsid w:val="536966EB"/>
    <w:rsid w:val="548B59BB"/>
    <w:rsid w:val="54E33363"/>
    <w:rsid w:val="551C3A0B"/>
    <w:rsid w:val="555C59B4"/>
    <w:rsid w:val="5839386D"/>
    <w:rsid w:val="58B2099D"/>
    <w:rsid w:val="59F6057D"/>
    <w:rsid w:val="5A8121BA"/>
    <w:rsid w:val="5ABF0539"/>
    <w:rsid w:val="5B4434DF"/>
    <w:rsid w:val="5C071983"/>
    <w:rsid w:val="5DAF1758"/>
    <w:rsid w:val="6359495D"/>
    <w:rsid w:val="65374BCA"/>
    <w:rsid w:val="6562740E"/>
    <w:rsid w:val="65CA16B3"/>
    <w:rsid w:val="65FC1861"/>
    <w:rsid w:val="662E5966"/>
    <w:rsid w:val="6747066A"/>
    <w:rsid w:val="699F737A"/>
    <w:rsid w:val="6A463B57"/>
    <w:rsid w:val="6BDB5C18"/>
    <w:rsid w:val="6D892812"/>
    <w:rsid w:val="6DB12CE1"/>
    <w:rsid w:val="6EAC5D22"/>
    <w:rsid w:val="6F1E00AA"/>
    <w:rsid w:val="6F9E3EA7"/>
    <w:rsid w:val="6FA50623"/>
    <w:rsid w:val="6FE07D2F"/>
    <w:rsid w:val="70E71E73"/>
    <w:rsid w:val="710038B0"/>
    <w:rsid w:val="73136DD6"/>
    <w:rsid w:val="73922BF0"/>
    <w:rsid w:val="73B72B30"/>
    <w:rsid w:val="76271B88"/>
    <w:rsid w:val="76C41664"/>
    <w:rsid w:val="77A37093"/>
    <w:rsid w:val="77AD62C7"/>
    <w:rsid w:val="792768C4"/>
    <w:rsid w:val="7A264116"/>
    <w:rsid w:val="7B2E5971"/>
    <w:rsid w:val="7C2E1DAD"/>
    <w:rsid w:val="7CE168AC"/>
    <w:rsid w:val="7D0D60B2"/>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2"/>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next w:val="8"/>
    <w:autoRedefine/>
    <w:qFormat/>
    <w:uiPriority w:val="0"/>
    <w:pPr>
      <w:ind w:firstLine="645"/>
    </w:pPr>
    <w:rPr>
      <w:rFonts w:ascii="楷体_GB2312" w:eastAsia="楷体_GB2312"/>
      <w:kern w:val="2"/>
      <w:sz w:val="32"/>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rFonts w:hAnsi="Courier New"/>
      <w:kern w:val="2"/>
      <w:sz w:val="21"/>
    </w:rPr>
  </w:style>
  <w:style w:type="paragraph" w:styleId="10">
    <w:name w:val="Balloon Text"/>
    <w:basedOn w:val="1"/>
    <w:link w:val="34"/>
    <w:autoRedefine/>
    <w:semiHidden/>
    <w:unhideWhenUsed/>
    <w:qFormat/>
    <w:uiPriority w:val="99"/>
    <w:rPr>
      <w:sz w:val="18"/>
      <w:szCs w:val="18"/>
    </w:rPr>
  </w:style>
  <w:style w:type="paragraph" w:styleId="11">
    <w:name w:val="footer"/>
    <w:basedOn w:val="1"/>
    <w:link w:val="30"/>
    <w:autoRedefine/>
    <w:unhideWhenUsed/>
    <w:qFormat/>
    <w:uiPriority w:val="99"/>
    <w:pPr>
      <w:tabs>
        <w:tab w:val="center" w:pos="4153"/>
        <w:tab w:val="right" w:pos="8306"/>
      </w:tabs>
      <w:snapToGrid w:val="0"/>
      <w:jc w:val="left"/>
    </w:pPr>
    <w:rPr>
      <w:sz w:val="18"/>
      <w:szCs w:val="18"/>
    </w:rPr>
  </w:style>
  <w:style w:type="paragraph" w:styleId="12">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33"/>
    <w:autoRedefine/>
    <w:semiHidden/>
    <w:unhideWhenUsed/>
    <w:qFormat/>
    <w:uiPriority w:val="99"/>
    <w:rPr>
      <w:b/>
      <w:bCs/>
    </w:rPr>
  </w:style>
  <w:style w:type="paragraph" w:styleId="18">
    <w:name w:val="Body Text First Indent"/>
    <w:basedOn w:val="6"/>
    <w:autoRedefine/>
    <w:unhideWhenUsed/>
    <w:qFormat/>
    <w:uiPriority w:val="99"/>
    <w:pPr>
      <w:ind w:firstLine="420" w:firstLineChars="100"/>
    </w:pPr>
  </w:style>
  <w:style w:type="paragraph" w:styleId="19">
    <w:name w:val="Body Text First Indent 2"/>
    <w:basedOn w:val="7"/>
    <w:next w:val="1"/>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FollowedHyperlink"/>
    <w:basedOn w:val="22"/>
    <w:autoRedefine/>
    <w:semiHidden/>
    <w:unhideWhenUsed/>
    <w:qFormat/>
    <w:uiPriority w:val="99"/>
    <w:rPr>
      <w:color w:val="2490F8"/>
      <w:u w:val="none"/>
    </w:rPr>
  </w:style>
  <w:style w:type="character" w:styleId="25">
    <w:name w:val="Emphasis"/>
    <w:basedOn w:val="22"/>
    <w:autoRedefine/>
    <w:qFormat/>
    <w:uiPriority w:val="20"/>
  </w:style>
  <w:style w:type="character" w:styleId="26">
    <w:name w:val="Hyperlink"/>
    <w:basedOn w:val="22"/>
    <w:autoRedefine/>
    <w:semiHidden/>
    <w:unhideWhenUsed/>
    <w:qFormat/>
    <w:uiPriority w:val="99"/>
    <w:rPr>
      <w:color w:val="2490F8"/>
      <w:u w:val="none"/>
    </w:rPr>
  </w:style>
  <w:style w:type="character" w:styleId="27">
    <w:name w:val="annotation reference"/>
    <w:basedOn w:val="22"/>
    <w:autoRedefine/>
    <w:semiHidden/>
    <w:unhideWhenUsed/>
    <w:qFormat/>
    <w:uiPriority w:val="99"/>
    <w:rPr>
      <w:sz w:val="21"/>
      <w:szCs w:val="21"/>
    </w:rPr>
  </w:style>
  <w:style w:type="paragraph" w:customStyle="1" w:styleId="28">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9">
    <w:name w:val="页眉 Char"/>
    <w:basedOn w:val="22"/>
    <w:link w:val="12"/>
    <w:autoRedefine/>
    <w:qFormat/>
    <w:uiPriority w:val="99"/>
    <w:rPr>
      <w:sz w:val="18"/>
      <w:szCs w:val="18"/>
    </w:rPr>
  </w:style>
  <w:style w:type="character" w:customStyle="1" w:styleId="30">
    <w:name w:val="页脚 Char"/>
    <w:basedOn w:val="22"/>
    <w:link w:val="11"/>
    <w:autoRedefine/>
    <w:qFormat/>
    <w:uiPriority w:val="99"/>
    <w:rPr>
      <w:sz w:val="18"/>
      <w:szCs w:val="18"/>
    </w:rPr>
  </w:style>
  <w:style w:type="paragraph" w:customStyle="1" w:styleId="31">
    <w:name w:val="Char Char Char Char Char Char Char Char Char Char"/>
    <w:basedOn w:val="1"/>
    <w:autoRedefine/>
    <w:qFormat/>
    <w:uiPriority w:val="0"/>
    <w:rPr>
      <w:rFonts w:ascii="Tahoma" w:hAnsi="Tahoma" w:eastAsia="宋体" w:cs="仿宋_GB2312"/>
      <w:sz w:val="24"/>
      <w:szCs w:val="20"/>
    </w:rPr>
  </w:style>
  <w:style w:type="character" w:customStyle="1" w:styleId="32">
    <w:name w:val="批注文字 Char"/>
    <w:basedOn w:val="22"/>
    <w:link w:val="5"/>
    <w:autoRedefine/>
    <w:semiHidden/>
    <w:qFormat/>
    <w:uiPriority w:val="99"/>
  </w:style>
  <w:style w:type="character" w:customStyle="1" w:styleId="33">
    <w:name w:val="批注主题 Char"/>
    <w:basedOn w:val="32"/>
    <w:link w:val="17"/>
    <w:autoRedefine/>
    <w:semiHidden/>
    <w:qFormat/>
    <w:uiPriority w:val="99"/>
    <w:rPr>
      <w:b/>
      <w:bCs/>
    </w:rPr>
  </w:style>
  <w:style w:type="character" w:customStyle="1" w:styleId="34">
    <w:name w:val="批注框文本 Char"/>
    <w:basedOn w:val="22"/>
    <w:link w:val="10"/>
    <w:autoRedefine/>
    <w:semiHidden/>
    <w:qFormat/>
    <w:uiPriority w:val="99"/>
    <w:rPr>
      <w:sz w:val="18"/>
      <w:szCs w:val="18"/>
    </w:rPr>
  </w:style>
  <w:style w:type="paragraph" w:styleId="35">
    <w:name w:val="List Paragraph"/>
    <w:basedOn w:val="1"/>
    <w:autoRedefine/>
    <w:unhideWhenUsed/>
    <w:qFormat/>
    <w:uiPriority w:val="99"/>
    <w:pPr>
      <w:ind w:firstLine="420" w:firstLineChars="200"/>
    </w:pPr>
  </w:style>
  <w:style w:type="paragraph" w:customStyle="1" w:styleId="36">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7">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8">
    <w:name w:val="Char Char Char Char Char Char Char1 Char"/>
    <w:basedOn w:val="1"/>
    <w:autoRedefine/>
    <w:qFormat/>
    <w:uiPriority w:val="0"/>
    <w:rPr>
      <w:rFonts w:ascii="Tahoma" w:hAnsi="Tahoma"/>
      <w:sz w:val="24"/>
    </w:rPr>
  </w:style>
  <w:style w:type="character" w:customStyle="1" w:styleId="39">
    <w:name w:val="font21"/>
    <w:basedOn w:val="22"/>
    <w:autoRedefine/>
    <w:qFormat/>
    <w:uiPriority w:val="0"/>
    <w:rPr>
      <w:rFonts w:hint="eastAsia" w:ascii="宋体" w:hAnsi="宋体" w:eastAsia="宋体" w:cs="宋体"/>
      <w:b/>
      <w:bCs/>
      <w:color w:val="000000"/>
      <w:sz w:val="40"/>
      <w:szCs w:val="40"/>
      <w:u w:val="none"/>
    </w:rPr>
  </w:style>
  <w:style w:type="character" w:customStyle="1" w:styleId="40">
    <w:name w:val="font71"/>
    <w:basedOn w:val="22"/>
    <w:autoRedefine/>
    <w:qFormat/>
    <w:uiPriority w:val="0"/>
    <w:rPr>
      <w:rFonts w:hint="eastAsia" w:ascii="宋体" w:hAnsi="宋体" w:eastAsia="宋体" w:cs="宋体"/>
      <w:b/>
      <w:bCs/>
      <w:color w:val="000000"/>
      <w:sz w:val="40"/>
      <w:szCs w:val="40"/>
      <w:u w:val="single"/>
    </w:rPr>
  </w:style>
  <w:style w:type="character" w:customStyle="1" w:styleId="41">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42">
    <w:name w:val="font111"/>
    <w:basedOn w:val="22"/>
    <w:autoRedefine/>
    <w:qFormat/>
    <w:uiPriority w:val="0"/>
    <w:rPr>
      <w:rFonts w:hint="eastAsia" w:ascii="宋体" w:hAnsi="宋体" w:eastAsia="宋体" w:cs="宋体"/>
      <w:color w:val="000000"/>
      <w:sz w:val="40"/>
      <w:szCs w:val="40"/>
      <w:u w:val="single"/>
    </w:rPr>
  </w:style>
  <w:style w:type="character" w:customStyle="1" w:styleId="43">
    <w:name w:val="font141"/>
    <w:basedOn w:val="22"/>
    <w:autoRedefine/>
    <w:qFormat/>
    <w:uiPriority w:val="0"/>
    <w:rPr>
      <w:rFonts w:hint="eastAsia" w:ascii="宋体" w:hAnsi="宋体" w:eastAsia="宋体" w:cs="宋体"/>
      <w:color w:val="000000"/>
      <w:sz w:val="20"/>
      <w:szCs w:val="20"/>
      <w:u w:val="single"/>
    </w:rPr>
  </w:style>
  <w:style w:type="character" w:customStyle="1" w:styleId="44">
    <w:name w:val="font151"/>
    <w:basedOn w:val="22"/>
    <w:autoRedefine/>
    <w:qFormat/>
    <w:uiPriority w:val="0"/>
    <w:rPr>
      <w:rFonts w:hint="eastAsia" w:ascii="宋体" w:hAnsi="宋体" w:eastAsia="宋体" w:cs="宋体"/>
      <w:color w:val="000000"/>
      <w:sz w:val="20"/>
      <w:szCs w:val="20"/>
      <w:u w:val="single"/>
    </w:rPr>
  </w:style>
  <w:style w:type="paragraph" w:customStyle="1" w:styleId="4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6">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7">
    <w:name w:val="00-表格正文"/>
    <w:basedOn w:val="1"/>
    <w:autoRedefine/>
    <w:qFormat/>
    <w:uiPriority w:val="0"/>
    <w:pPr>
      <w:widowControl/>
      <w:spacing w:line="360" w:lineRule="auto"/>
      <w:jc w:val="left"/>
    </w:pPr>
    <w:rPr>
      <w:rFonts w:ascii="黑体" w:hAnsi="黑体" w:eastAsia="仿宋" w:cs="宋体"/>
      <w:bCs/>
      <w:color w:val="000000"/>
      <w:szCs w:val="24"/>
    </w:rPr>
  </w:style>
  <w:style w:type="paragraph" w:customStyle="1" w:styleId="48">
    <w:name w:val="Table Paragraph"/>
    <w:basedOn w:val="1"/>
    <w:autoRedefine/>
    <w:qFormat/>
    <w:uiPriority w:val="1"/>
    <w:pPr>
      <w:jc w:val="left"/>
    </w:pPr>
    <w:rPr>
      <w:rFonts w:ascii="Calibri" w:hAnsi="Calibri"/>
      <w:sz w:val="22"/>
      <w:lang w:eastAsia="en-US"/>
    </w:rPr>
  </w:style>
  <w:style w:type="character" w:customStyle="1" w:styleId="49">
    <w:name w:val="drapbtn"/>
    <w:basedOn w:val="22"/>
    <w:autoRedefine/>
    <w:qFormat/>
    <w:uiPriority w:val="0"/>
  </w:style>
  <w:style w:type="character" w:customStyle="1" w:styleId="50">
    <w:name w:val="cdropright"/>
    <w:basedOn w:val="22"/>
    <w:autoRedefine/>
    <w:qFormat/>
    <w:uiPriority w:val="0"/>
  </w:style>
  <w:style w:type="character" w:customStyle="1" w:styleId="51">
    <w:name w:val="icontext2"/>
    <w:basedOn w:val="22"/>
    <w:autoRedefine/>
    <w:qFormat/>
    <w:uiPriority w:val="0"/>
  </w:style>
  <w:style w:type="character" w:customStyle="1" w:styleId="52">
    <w:name w:val="first-child"/>
    <w:basedOn w:val="22"/>
    <w:autoRedefine/>
    <w:qFormat/>
    <w:uiPriority w:val="0"/>
  </w:style>
  <w:style w:type="character" w:customStyle="1" w:styleId="53">
    <w:name w:val="icontext1"/>
    <w:basedOn w:val="22"/>
    <w:autoRedefine/>
    <w:qFormat/>
    <w:uiPriority w:val="0"/>
  </w:style>
  <w:style w:type="character" w:customStyle="1" w:styleId="54">
    <w:name w:val="icontext11"/>
    <w:basedOn w:val="22"/>
    <w:autoRedefine/>
    <w:qFormat/>
    <w:uiPriority w:val="0"/>
  </w:style>
  <w:style w:type="character" w:customStyle="1" w:styleId="55">
    <w:name w:val="icontext12"/>
    <w:basedOn w:val="22"/>
    <w:autoRedefine/>
    <w:qFormat/>
    <w:uiPriority w:val="0"/>
  </w:style>
  <w:style w:type="character" w:customStyle="1" w:styleId="56">
    <w:name w:val="layui-layer-tabnow"/>
    <w:basedOn w:val="22"/>
    <w:autoRedefine/>
    <w:qFormat/>
    <w:uiPriority w:val="0"/>
    <w:rPr>
      <w:bdr w:val="single" w:color="CCCCCC" w:sz="6" w:space="0"/>
      <w:shd w:val="clear" w:fill="FFFFFF"/>
    </w:rPr>
  </w:style>
  <w:style w:type="character" w:customStyle="1" w:styleId="57">
    <w:name w:val="active26"/>
    <w:basedOn w:val="22"/>
    <w:autoRedefine/>
    <w:qFormat/>
    <w:uiPriority w:val="0"/>
    <w:rPr>
      <w:color w:val="00FF00"/>
      <w:shd w:val="clear" w:fill="111111"/>
    </w:rPr>
  </w:style>
  <w:style w:type="character" w:customStyle="1" w:styleId="58">
    <w:name w:val="button"/>
    <w:basedOn w:val="22"/>
    <w:autoRedefine/>
    <w:qFormat/>
    <w:uiPriority w:val="0"/>
  </w:style>
  <w:style w:type="character" w:customStyle="1" w:styleId="59">
    <w:name w:val="associateddata"/>
    <w:basedOn w:val="22"/>
    <w:autoRedefine/>
    <w:qFormat/>
    <w:uiPriority w:val="0"/>
    <w:rPr>
      <w:shd w:val="clear" w:fill="50A6F9"/>
    </w:rPr>
  </w:style>
  <w:style w:type="character" w:customStyle="1" w:styleId="60">
    <w:name w:val="cdropleft"/>
    <w:basedOn w:val="22"/>
    <w:autoRedefine/>
    <w:qFormat/>
    <w:uiPriority w:val="0"/>
  </w:style>
  <w:style w:type="character" w:customStyle="1" w:styleId="61">
    <w:name w:val="iconline2"/>
    <w:basedOn w:val="22"/>
    <w:autoRedefine/>
    <w:qFormat/>
    <w:uiPriority w:val="0"/>
  </w:style>
  <w:style w:type="character" w:customStyle="1" w:styleId="62">
    <w:name w:val="iconline21"/>
    <w:basedOn w:val="22"/>
    <w:autoRedefine/>
    <w:qFormat/>
    <w:uiPriority w:val="0"/>
  </w:style>
  <w:style w:type="character" w:customStyle="1" w:styleId="63">
    <w:name w:val="icontext3"/>
    <w:basedOn w:val="22"/>
    <w:autoRedefine/>
    <w:qFormat/>
    <w:uiPriority w:val="0"/>
  </w:style>
  <w:style w:type="character" w:customStyle="1" w:styleId="64">
    <w:name w:val="hilite"/>
    <w:basedOn w:val="22"/>
    <w:autoRedefine/>
    <w:qFormat/>
    <w:uiPriority w:val="0"/>
    <w:rPr>
      <w:color w:val="FFFFFF"/>
      <w:shd w:val="clear" w:fill="666666"/>
    </w:rPr>
  </w:style>
  <w:style w:type="character" w:customStyle="1" w:styleId="65">
    <w:name w:val="cy"/>
    <w:basedOn w:val="22"/>
    <w:autoRedefine/>
    <w:qFormat/>
    <w:uiPriority w:val="0"/>
  </w:style>
  <w:style w:type="character" w:customStyle="1" w:styleId="66">
    <w:name w:val="choose-status"/>
    <w:basedOn w:val="22"/>
    <w:autoRedefine/>
    <w:qFormat/>
    <w:uiPriority w:val="0"/>
    <w:rPr>
      <w:color w:val="1F85EC"/>
      <w:shd w:val="clear" w:fill="FFFFFF"/>
    </w:rPr>
  </w:style>
  <w:style w:type="character" w:customStyle="1" w:styleId="67">
    <w:name w:val="after"/>
    <w:basedOn w:val="22"/>
    <w:autoRedefine/>
    <w:qFormat/>
    <w:uiPriority w:val="0"/>
    <w:rPr>
      <w:sz w:val="0"/>
      <w:szCs w:val="0"/>
    </w:rPr>
  </w:style>
  <w:style w:type="character" w:customStyle="1" w:styleId="68">
    <w:name w:val="tmpztreemove_arrow"/>
    <w:basedOn w:val="22"/>
    <w:autoRedefine/>
    <w:qFormat/>
    <w:uiPriority w:val="0"/>
  </w:style>
  <w:style w:type="character" w:customStyle="1" w:styleId="69">
    <w:name w:val="pagechatarealistclose_box"/>
    <w:basedOn w:val="22"/>
    <w:autoRedefine/>
    <w:qFormat/>
    <w:uiPriority w:val="0"/>
  </w:style>
  <w:style w:type="character" w:customStyle="1" w:styleId="70">
    <w:name w:val="pagechatarealistclose_box1"/>
    <w:basedOn w:val="22"/>
    <w:autoRedefine/>
    <w:qFormat/>
    <w:uiPriority w:val="0"/>
  </w:style>
  <w:style w:type="character" w:customStyle="1" w:styleId="71">
    <w:name w:val="ico1654"/>
    <w:basedOn w:val="22"/>
    <w:autoRedefine/>
    <w:qFormat/>
    <w:uiPriority w:val="0"/>
  </w:style>
  <w:style w:type="character" w:customStyle="1" w:styleId="72">
    <w:name w:val="ico1655"/>
    <w:basedOn w:val="22"/>
    <w:autoRedefine/>
    <w:qFormat/>
    <w:uiPriority w:val="0"/>
  </w:style>
  <w:style w:type="character" w:customStyle="1" w:styleId="73">
    <w:name w:val="w32"/>
    <w:basedOn w:val="22"/>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14</Pages>
  <Words>2278</Words>
  <Characters>2300</Characters>
  <Lines>5</Lines>
  <Paragraphs>1</Paragraphs>
  <TotalTime>196</TotalTime>
  <ScaleCrop>false</ScaleCrop>
  <LinksUpToDate>false</LinksUpToDate>
  <CharactersWithSpaces>2514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2025-11-13T04:22:00Z</cp:lastPrinted>
  <dcterms:modified xsi:type="dcterms:W3CDTF">2025-12-02T07:05:13Z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F223C164B6FF4C72B7ADFD8244D0A682_13</vt:lpwstr>
  </property>
  <property fmtid="{D5CDD505-2E9C-101B-9397-08002B2CF9AE}" pid="4" name="KSOTemplateDocerSaveRecord">
    <vt:lpwstr>eyJoZGlkIjoiZmZiMzJmZGMxZmE2NGRlNTFkZTczZGJiNTNhNGU0OTUiLCJ1c2VySWQiOiIzOTY1Nzc5ODgifQ==</vt:lpwstr>
  </property>
</Properties>
</file>