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5"/>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461053086"/>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eastAsia" w:hAnsi="宋体" w:eastAsiaTheme="minorEastAsia"/>
                <w:bCs/>
                <w:color w:val="000000"/>
                <w:u w:val="single"/>
                <w:lang w:val="en-US" w:eastAsia="zh-CN"/>
              </w:rPr>
            </w:pPr>
            <w:r>
              <w:rPr>
                <w:rFonts w:hint="eastAsia" w:hAnsi="宋体"/>
                <w:bCs/>
                <w:color w:val="000000"/>
                <w:lang w:val="en-US" w:eastAsia="zh-CN"/>
              </w:rPr>
              <w:t>金额</w:t>
            </w:r>
            <w:r>
              <w:rPr>
                <w:rFonts w:hint="eastAsia" w:hAnsi="宋体"/>
                <w:bCs/>
                <w:color w:val="000000"/>
              </w:rPr>
              <w:t>：</w:t>
            </w:r>
            <w:r>
              <w:rPr>
                <w:rFonts w:hint="eastAsia" w:hAnsi="宋体"/>
                <w:bCs/>
                <w:color w:val="000000"/>
                <w:u w:val="single"/>
              </w:rPr>
              <w:t xml:space="preserve">         </w:t>
            </w:r>
            <w:r>
              <w:rPr>
                <w:rFonts w:hint="eastAsia" w:hAnsi="宋体"/>
                <w:bCs/>
                <w:color w:val="000000"/>
                <w:u w:val="single"/>
                <w:lang w:val="en-US" w:eastAsia="zh-CN"/>
              </w:rPr>
              <w:t>元</w:t>
            </w:r>
          </w:p>
          <w:p>
            <w:pPr>
              <w:snapToGrid w:val="0"/>
              <w:spacing w:line="360" w:lineRule="auto"/>
              <w:rPr>
                <w:rFonts w:hint="default" w:hAnsi="宋体" w:eastAsiaTheme="minorEastAsia"/>
                <w:b/>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0" w:leftChars="0" w:firstLine="0" w:firstLineChars="0"/>
        <w:rPr>
          <w:rFonts w:hAnsi="宋体"/>
          <w:b/>
          <w:bCs/>
          <w:color w:val="000000"/>
          <w:szCs w:val="28"/>
        </w:rPr>
      </w:pPr>
    </w:p>
    <w:p>
      <w:pPr>
        <w:pStyle w:val="19"/>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bookmarkStart w:id="9" w:name="_GoBack"/>
      <w:bookmarkEnd w:id="9"/>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p>
      <w:pPr>
        <w:spacing w:line="360" w:lineRule="auto"/>
        <w:ind w:firstLine="437"/>
        <w:rPr>
          <w:rFonts w:ascii="宋体" w:hAnsi="宋体" w:eastAsia="宋体" w:cs="@仿宋_GB2312"/>
          <w:b/>
          <w:sz w:val="24"/>
          <w:szCs w:val="18"/>
        </w:rPr>
      </w:pPr>
      <w:r>
        <w:rPr>
          <w:rFonts w:hint="eastAsia" w:ascii="宋体" w:hAnsi="宋体" w:eastAsia="宋体" w:cs="@仿宋_GB2312"/>
          <w:b/>
          <w:sz w:val="24"/>
          <w:szCs w:val="18"/>
          <w:lang w:val="en-US" w:eastAsia="zh-CN"/>
        </w:rPr>
        <w:t>一</w:t>
      </w:r>
      <w:r>
        <w:rPr>
          <w:rFonts w:hint="eastAsia" w:ascii="宋体" w:hAnsi="宋体" w:eastAsia="宋体" w:cs="@仿宋_GB2312"/>
          <w:b/>
          <w:sz w:val="24"/>
          <w:szCs w:val="18"/>
        </w:rPr>
        <w:t>、项目概况</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1.培训内容：</w:t>
      </w:r>
      <w:r>
        <w:rPr>
          <w:rFonts w:hint="eastAsia"/>
          <w:b w:val="0"/>
          <w:bCs w:val="0"/>
          <w:sz w:val="24"/>
          <w:szCs w:val="24"/>
        </w:rPr>
        <w:t>以</w:t>
      </w:r>
      <w:r>
        <w:rPr>
          <w:rFonts w:hint="eastAsia"/>
          <w:b w:val="0"/>
          <w:bCs w:val="0"/>
          <w:sz w:val="24"/>
          <w:szCs w:val="24"/>
          <w:lang w:eastAsia="zh-CN"/>
        </w:rPr>
        <w:t>“</w:t>
      </w:r>
      <w:r>
        <w:rPr>
          <w:rFonts w:hint="eastAsia"/>
          <w:b w:val="0"/>
          <w:bCs w:val="0"/>
          <w:sz w:val="24"/>
          <w:szCs w:val="24"/>
        </w:rPr>
        <w:t>红色引领 匠心服务 赋能成长</w:t>
      </w:r>
      <w:r>
        <w:rPr>
          <w:rFonts w:hint="eastAsia"/>
          <w:b w:val="0"/>
          <w:bCs w:val="0"/>
          <w:sz w:val="24"/>
          <w:szCs w:val="24"/>
          <w:lang w:eastAsia="zh-CN"/>
        </w:rPr>
        <w:t>”</w:t>
      </w:r>
      <w:r>
        <w:rPr>
          <w:rFonts w:hint="eastAsia"/>
          <w:b w:val="0"/>
          <w:bCs w:val="0"/>
          <w:sz w:val="24"/>
          <w:szCs w:val="24"/>
        </w:rPr>
        <w:t>综合素养提升为主题的管理类培训课程</w:t>
      </w:r>
      <w:r>
        <w:rPr>
          <w:rFonts w:hint="eastAsia"/>
          <w:sz w:val="24"/>
          <w:szCs w:val="24"/>
        </w:rPr>
        <w:t>，提升参训人员的综合素质能力</w:t>
      </w:r>
      <w:r>
        <w:rPr>
          <w:rFonts w:hint="eastAsia"/>
          <w:sz w:val="24"/>
          <w:szCs w:val="24"/>
          <w:lang w:eastAsia="zh-CN"/>
        </w:rPr>
        <w:t>，</w:t>
      </w:r>
      <w:r>
        <w:rPr>
          <w:rFonts w:hint="eastAsia"/>
          <w:sz w:val="24"/>
          <w:szCs w:val="24"/>
        </w:rPr>
        <w:t>并安排半天时间在廉政教育基地或红色教育基地现场教学。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sz w:val="24"/>
          <w:szCs w:val="24"/>
        </w:rPr>
        <w:t>2.就餐及</w:t>
      </w:r>
      <w:r>
        <w:rPr>
          <w:rFonts w:hint="eastAsia" w:asciiTheme="minorEastAsia" w:hAnsiTheme="minorEastAsia" w:eastAsiaTheme="minorEastAsia"/>
          <w:sz w:val="24"/>
          <w:szCs w:val="24"/>
        </w:rPr>
        <w:t>住宿要求：提供参训人员3天7餐（2早5正），参考正餐标准70元/餐/人；参考标准住宿标准160元/晚/人，不低于三星级及以上标准。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3.提供标准会议、培训场地，培训基地至公司往返接送服务。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4.为参训人员购买参训期间的人身意外伤害险。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5.如采购人因需要调整培训方案，成交供应商应予以配合，价格不因培训内容的调整发生变化，供应商应结合自身综合实力及本项目的特点和技术要求，合理报价。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color w:val="000000"/>
          <w:sz w:val="32"/>
          <w:szCs w:val="32"/>
          <w:lang w:val="en-US" w:eastAsia="zh-CN"/>
        </w:rPr>
      </w:pPr>
      <w:r>
        <w:rPr>
          <w:rFonts w:hint="eastAsia"/>
          <w:sz w:val="24"/>
          <w:szCs w:val="24"/>
          <w:lang w:val="en-US" w:eastAsia="zh-CN"/>
        </w:rPr>
        <w:t>6、活动期限：3天</w:t>
      </w:r>
    </w:p>
    <w:bookmarkEnd w:id="8"/>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42"/>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1</w:t>
            </w:r>
          </w:p>
        </w:tc>
        <w:tc>
          <w:tcPr>
            <w:tcW w:w="1447" w:type="dxa"/>
            <w:vAlign w:val="center"/>
          </w:tcPr>
          <w:p>
            <w:pPr>
              <w:jc w:val="center"/>
              <w:rPr>
                <w:rFonts w:hAnsi="宋体"/>
                <w:bCs/>
                <w:color w:val="000000"/>
                <w:sz w:val="24"/>
                <w:szCs w:val="24"/>
              </w:rPr>
            </w:pPr>
            <w:r>
              <w:rPr>
                <w:rFonts w:hint="eastAsia" w:hAnsi="宋体"/>
                <w:bCs/>
                <w:color w:val="000000"/>
                <w:sz w:val="24"/>
                <w:szCs w:val="24"/>
              </w:rPr>
              <w:t>项目名称</w:t>
            </w:r>
          </w:p>
        </w:tc>
        <w:tc>
          <w:tcPr>
            <w:tcW w:w="7223" w:type="dxa"/>
            <w:vAlign w:val="center"/>
          </w:tcPr>
          <w:p>
            <w:pPr>
              <w:spacing w:line="360" w:lineRule="exact"/>
              <w:jc w:val="left"/>
              <w:rPr>
                <w:color w:val="000000"/>
                <w:sz w:val="24"/>
                <w:szCs w:val="24"/>
              </w:rPr>
            </w:pPr>
            <w:r>
              <w:rPr>
                <w:color w:val="000000"/>
                <w:sz w:val="24"/>
                <w:szCs w:val="24"/>
              </w:rPr>
              <w:t>合肥经济技术开区公用事业发展有限公司</w:t>
            </w:r>
            <w:r>
              <w:rPr>
                <w:sz w:val="24"/>
                <w:szCs w:val="24"/>
              </w:rPr>
              <w:t>中层</w:t>
            </w:r>
            <w:r>
              <w:rPr>
                <w:rFonts w:hint="eastAsia"/>
                <w:sz w:val="24"/>
                <w:szCs w:val="24"/>
              </w:rPr>
              <w:t>及骨干员工</w:t>
            </w:r>
            <w:r>
              <w:rPr>
                <w:rFonts w:hint="eastAsia"/>
                <w:sz w:val="24"/>
                <w:szCs w:val="24"/>
                <w:lang w:val="en-US" w:eastAsia="zh-CN"/>
              </w:rPr>
              <w:t>专项</w:t>
            </w:r>
            <w:r>
              <w:rPr>
                <w:rFonts w:hint="eastAsia"/>
                <w:sz w:val="24"/>
                <w:szCs w:val="24"/>
              </w:rPr>
              <w:t>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2</w:t>
            </w:r>
          </w:p>
        </w:tc>
        <w:tc>
          <w:tcPr>
            <w:tcW w:w="1447" w:type="dxa"/>
            <w:vAlign w:val="center"/>
          </w:tcPr>
          <w:p>
            <w:pPr>
              <w:jc w:val="center"/>
              <w:rPr>
                <w:rFonts w:hAnsi="宋体"/>
                <w:color w:val="000000"/>
                <w:sz w:val="24"/>
                <w:szCs w:val="24"/>
              </w:rPr>
            </w:pPr>
            <w:r>
              <w:rPr>
                <w:rFonts w:hint="eastAsia" w:hAnsi="宋体"/>
                <w:color w:val="000000"/>
                <w:sz w:val="24"/>
                <w:szCs w:val="24"/>
              </w:rPr>
              <w:t>项目概况</w:t>
            </w:r>
          </w:p>
        </w:tc>
        <w:tc>
          <w:tcPr>
            <w:tcW w:w="7223" w:type="dxa"/>
            <w:vAlign w:val="center"/>
          </w:tcPr>
          <w:p>
            <w:pPr>
              <w:pStyle w:val="42"/>
              <w:jc w:val="left"/>
              <w:rPr>
                <w:b w:val="0"/>
                <w:bCs w:val="0"/>
                <w:color w:val="000000"/>
                <w:sz w:val="24"/>
                <w:szCs w:val="24"/>
              </w:rPr>
            </w:pPr>
            <w:r>
              <w:rPr>
                <w:rFonts w:hint="eastAsia"/>
                <w:b w:val="0"/>
                <w:bCs w:val="0"/>
                <w:sz w:val="24"/>
                <w:szCs w:val="24"/>
              </w:rPr>
              <w:t>1.培训内容：以</w:t>
            </w:r>
            <w:r>
              <w:rPr>
                <w:rFonts w:hint="eastAsia"/>
                <w:b w:val="0"/>
                <w:bCs w:val="0"/>
                <w:sz w:val="24"/>
                <w:szCs w:val="24"/>
                <w:lang w:eastAsia="zh-CN"/>
              </w:rPr>
              <w:t>“</w:t>
            </w:r>
            <w:r>
              <w:rPr>
                <w:rFonts w:hint="eastAsia"/>
                <w:b w:val="0"/>
                <w:bCs w:val="0"/>
                <w:sz w:val="24"/>
                <w:szCs w:val="24"/>
              </w:rPr>
              <w:t>红色引领 匠心服务 赋能成长</w:t>
            </w:r>
            <w:r>
              <w:rPr>
                <w:rFonts w:hint="eastAsia"/>
                <w:b w:val="0"/>
                <w:bCs w:val="0"/>
                <w:sz w:val="24"/>
                <w:szCs w:val="24"/>
                <w:lang w:eastAsia="zh-CN"/>
              </w:rPr>
              <w:t>”</w:t>
            </w:r>
            <w:r>
              <w:rPr>
                <w:rFonts w:hint="eastAsia"/>
                <w:b w:val="0"/>
                <w:bCs w:val="0"/>
                <w:sz w:val="24"/>
                <w:szCs w:val="24"/>
              </w:rPr>
              <w:t>综合素养提升为主题的管理类培训课程</w:t>
            </w:r>
            <w:r>
              <w:rPr>
                <w:rFonts w:hint="eastAsia"/>
                <w:b w:val="0"/>
                <w:bCs w:val="0"/>
                <w:color w:val="000000"/>
                <w:sz w:val="24"/>
                <w:szCs w:val="24"/>
              </w:rPr>
              <w:t>；2.培训时间：</w:t>
            </w:r>
            <w:r>
              <w:rPr>
                <w:rFonts w:hint="eastAsia"/>
                <w:b w:val="0"/>
                <w:bCs w:val="0"/>
                <w:color w:val="000000"/>
                <w:sz w:val="24"/>
                <w:szCs w:val="24"/>
                <w:lang w:val="en-US" w:eastAsia="zh-CN"/>
              </w:rPr>
              <w:t>3</w:t>
            </w:r>
            <w:r>
              <w:rPr>
                <w:rFonts w:hint="eastAsia"/>
                <w:b w:val="0"/>
                <w:bCs w:val="0"/>
                <w:color w:val="000000"/>
                <w:sz w:val="24"/>
                <w:szCs w:val="24"/>
              </w:rPr>
              <w:t xml:space="preserve">天；3.培训方式：封闭集中培训；4.培训人数： </w:t>
            </w:r>
            <w:r>
              <w:rPr>
                <w:rFonts w:hint="eastAsia"/>
                <w:b w:val="0"/>
                <w:bCs w:val="0"/>
                <w:color w:val="000000"/>
                <w:sz w:val="24"/>
                <w:szCs w:val="24"/>
                <w:lang w:val="en-US" w:eastAsia="zh-CN"/>
              </w:rPr>
              <w:t>60</w:t>
            </w:r>
            <w:r>
              <w:rPr>
                <w:rFonts w:hint="eastAsia"/>
                <w:b w:val="0"/>
                <w:bCs w:val="0"/>
                <w:color w:val="000000"/>
                <w:sz w:val="24"/>
                <w:szCs w:val="24"/>
              </w:rPr>
              <w:t xml:space="preserve"> 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3</w:t>
            </w:r>
          </w:p>
        </w:tc>
        <w:tc>
          <w:tcPr>
            <w:tcW w:w="1447" w:type="dxa"/>
            <w:vAlign w:val="center"/>
          </w:tcPr>
          <w:p>
            <w:pPr>
              <w:jc w:val="center"/>
              <w:rPr>
                <w:rFonts w:hAnsi="宋体"/>
                <w:color w:val="000000"/>
                <w:sz w:val="24"/>
                <w:szCs w:val="24"/>
              </w:rPr>
            </w:pPr>
            <w:r>
              <w:rPr>
                <w:rFonts w:hint="eastAsia" w:hAnsi="宋体"/>
                <w:color w:val="000000"/>
                <w:sz w:val="24"/>
                <w:szCs w:val="24"/>
              </w:rPr>
              <w:t>供应商资格</w:t>
            </w:r>
          </w:p>
        </w:tc>
        <w:tc>
          <w:tcPr>
            <w:tcW w:w="7223" w:type="dxa"/>
            <w:vAlign w:val="center"/>
          </w:tcPr>
          <w:p>
            <w:pPr>
              <w:widowControl/>
              <w:rPr>
                <w:rFonts w:hint="eastAsia"/>
                <w:bCs/>
                <w:color w:val="000000"/>
                <w:sz w:val="24"/>
                <w:szCs w:val="24"/>
              </w:rPr>
            </w:pPr>
            <w:r>
              <w:rPr>
                <w:rFonts w:hint="eastAsia"/>
                <w:bCs/>
                <w:color w:val="000000"/>
                <w:sz w:val="24"/>
                <w:szCs w:val="24"/>
              </w:rPr>
              <w:t>2.投标人须具有独立法人资格且为中华人民共和国境内注册的企业法人、社会组织机构；营业执照营业范围含有培训等字样；</w:t>
            </w:r>
          </w:p>
          <w:p>
            <w:pPr>
              <w:widowControl/>
              <w:rPr>
                <w:rFonts w:hint="eastAsia"/>
                <w:bCs/>
                <w:color w:val="000000"/>
                <w:sz w:val="24"/>
                <w:szCs w:val="24"/>
              </w:rPr>
            </w:pPr>
            <w:r>
              <w:rPr>
                <w:rFonts w:hint="eastAsia"/>
                <w:bCs/>
                <w:color w:val="000000"/>
                <w:sz w:val="24"/>
                <w:szCs w:val="24"/>
              </w:rPr>
              <w:t>3.投标人须具有人力资源服务许可证；</w:t>
            </w:r>
          </w:p>
          <w:p>
            <w:pPr>
              <w:widowControl/>
              <w:rPr>
                <w:rFonts w:hint="eastAsia"/>
                <w:bCs/>
                <w:color w:val="000000"/>
                <w:sz w:val="24"/>
                <w:szCs w:val="24"/>
              </w:rPr>
            </w:pPr>
            <w:r>
              <w:rPr>
                <w:rFonts w:hint="eastAsia"/>
                <w:bCs/>
                <w:color w:val="000000"/>
                <w:sz w:val="24"/>
                <w:szCs w:val="24"/>
              </w:rPr>
              <w:t>4.投标人存在以下不良信用记录情形之一的，不得推荐为中标候选投标人，不得确定为中标投标人：</w:t>
            </w:r>
          </w:p>
          <w:p>
            <w:pPr>
              <w:widowControl/>
              <w:rPr>
                <w:rFonts w:hint="eastAsia"/>
                <w:bCs/>
                <w:color w:val="000000"/>
                <w:sz w:val="24"/>
                <w:szCs w:val="24"/>
              </w:rPr>
            </w:pPr>
            <w:r>
              <w:rPr>
                <w:rFonts w:hint="eastAsia"/>
                <w:bCs/>
                <w:color w:val="000000"/>
                <w:sz w:val="24"/>
                <w:szCs w:val="24"/>
              </w:rPr>
              <w:t>①被人民法院列入失信被执行人的；</w:t>
            </w:r>
          </w:p>
          <w:p>
            <w:pPr>
              <w:widowControl/>
              <w:rPr>
                <w:rFonts w:hint="eastAsia"/>
                <w:bCs/>
                <w:color w:val="000000"/>
                <w:sz w:val="24"/>
                <w:szCs w:val="24"/>
              </w:rPr>
            </w:pPr>
            <w:r>
              <w:rPr>
                <w:rFonts w:hint="eastAsia"/>
                <w:bCs/>
                <w:color w:val="000000"/>
                <w:sz w:val="24"/>
                <w:szCs w:val="24"/>
              </w:rPr>
              <w:t>②被市场监督管理部门列入企业经营异常名录的；</w:t>
            </w:r>
          </w:p>
          <w:p>
            <w:pPr>
              <w:widowControl/>
              <w:rPr>
                <w:rFonts w:hint="eastAsia"/>
                <w:bCs/>
                <w:color w:val="000000"/>
                <w:sz w:val="24"/>
                <w:szCs w:val="24"/>
              </w:rPr>
            </w:pPr>
            <w:r>
              <w:rPr>
                <w:rFonts w:hint="eastAsia"/>
                <w:bCs/>
                <w:color w:val="000000"/>
                <w:sz w:val="24"/>
                <w:szCs w:val="24"/>
              </w:rPr>
              <w:t>③被税务部门列入重大税收违法案件当事人名单的；</w:t>
            </w:r>
          </w:p>
          <w:p>
            <w:pPr>
              <w:widowControl/>
              <w:rPr>
                <w:bCs/>
                <w:color w:val="000000"/>
                <w:sz w:val="24"/>
                <w:szCs w:val="24"/>
              </w:rPr>
            </w:pPr>
            <w:r>
              <w:rPr>
                <w:rFonts w:hint="eastAsia"/>
                <w:bCs/>
                <w:color w:val="000000"/>
                <w:sz w:val="24"/>
                <w:szCs w:val="24"/>
              </w:rPr>
              <w:t>④被政府采购监管部门列入政府采购严重违法失信行为记录名单的。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4</w:t>
            </w:r>
          </w:p>
        </w:tc>
        <w:tc>
          <w:tcPr>
            <w:tcW w:w="1447" w:type="dxa"/>
            <w:vAlign w:val="center"/>
          </w:tcPr>
          <w:p>
            <w:pPr>
              <w:jc w:val="center"/>
              <w:rPr>
                <w:rFonts w:hAnsi="宋体"/>
                <w:color w:val="000000"/>
                <w:sz w:val="24"/>
                <w:szCs w:val="24"/>
              </w:rPr>
            </w:pPr>
            <w:r>
              <w:rPr>
                <w:rFonts w:hint="eastAsia" w:hAnsi="宋体"/>
                <w:color w:val="000000"/>
                <w:sz w:val="24"/>
                <w:szCs w:val="24"/>
              </w:rPr>
              <w:t>项目性质</w:t>
            </w:r>
          </w:p>
        </w:tc>
        <w:tc>
          <w:tcPr>
            <w:tcW w:w="7223" w:type="dxa"/>
            <w:vAlign w:val="center"/>
          </w:tcPr>
          <w:p>
            <w:pPr>
              <w:pStyle w:val="42"/>
              <w:widowControl w:val="0"/>
              <w:spacing w:before="0" w:beforeAutospacing="0" w:after="0" w:afterAutospacing="0"/>
              <w:jc w:val="both"/>
              <w:rPr>
                <w:b w:val="0"/>
                <w:bCs w:val="0"/>
                <w:color w:val="000000"/>
                <w:sz w:val="24"/>
                <w:szCs w:val="24"/>
              </w:rPr>
            </w:pPr>
            <w:r>
              <w:rPr>
                <w:rFonts w:hint="eastAsia"/>
                <w:b w:val="0"/>
                <w:bCs w:val="0"/>
                <w:color w:val="000000"/>
                <w:sz w:val="24"/>
                <w:szCs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5</w:t>
            </w:r>
          </w:p>
        </w:tc>
        <w:tc>
          <w:tcPr>
            <w:tcW w:w="1447" w:type="dxa"/>
            <w:vAlign w:val="center"/>
          </w:tcPr>
          <w:p>
            <w:pPr>
              <w:pStyle w:val="42"/>
              <w:widowControl w:val="0"/>
              <w:spacing w:before="0" w:beforeAutospacing="0" w:after="0" w:afterAutospacing="0"/>
              <w:rPr>
                <w:b w:val="0"/>
                <w:bCs w:val="0"/>
                <w:color w:val="000000"/>
                <w:sz w:val="24"/>
                <w:szCs w:val="24"/>
              </w:rPr>
            </w:pPr>
            <w:r>
              <w:rPr>
                <w:rFonts w:hint="eastAsia"/>
                <w:b w:val="0"/>
                <w:bCs w:val="0"/>
                <w:color w:val="000000"/>
                <w:sz w:val="24"/>
                <w:szCs w:val="24"/>
              </w:rPr>
              <w:t>资金来源</w:t>
            </w:r>
          </w:p>
        </w:tc>
        <w:tc>
          <w:tcPr>
            <w:tcW w:w="7223" w:type="dxa"/>
            <w:vAlign w:val="center"/>
          </w:tcPr>
          <w:p>
            <w:pPr>
              <w:pStyle w:val="42"/>
              <w:widowControl w:val="0"/>
              <w:spacing w:before="0" w:beforeAutospacing="0" w:after="0" w:afterAutospacing="0"/>
              <w:jc w:val="both"/>
              <w:rPr>
                <w:b w:val="0"/>
                <w:bCs w:val="0"/>
                <w:color w:val="000000"/>
                <w:sz w:val="24"/>
                <w:szCs w:val="24"/>
              </w:rPr>
            </w:pPr>
            <w:r>
              <w:rPr>
                <w:color w:val="000000"/>
                <w:sz w:val="24"/>
                <w:szCs w:val="24"/>
              </w:rPr>
              <w:sym w:font="Wingdings" w:char="00FE"/>
            </w:r>
            <w:r>
              <w:rPr>
                <w:rFonts w:hint="eastAsia"/>
                <w:b w:val="0"/>
                <w:bCs w:val="0"/>
                <w:color w:val="000000"/>
                <w:sz w:val="24"/>
                <w:szCs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6</w:t>
            </w:r>
          </w:p>
        </w:tc>
        <w:tc>
          <w:tcPr>
            <w:tcW w:w="1447" w:type="dxa"/>
          </w:tcPr>
          <w:p>
            <w:pPr>
              <w:spacing w:line="500" w:lineRule="exact"/>
              <w:jc w:val="center"/>
              <w:rPr>
                <w:rFonts w:hAnsi="宋体"/>
                <w:color w:val="000000"/>
                <w:sz w:val="24"/>
                <w:szCs w:val="24"/>
                <w:lang w:val="zh-CN"/>
              </w:rPr>
            </w:pPr>
            <w:r>
              <w:rPr>
                <w:rFonts w:hint="eastAsia" w:hAnsi="宋体"/>
                <w:color w:val="000000"/>
                <w:sz w:val="24"/>
                <w:szCs w:val="24"/>
              </w:rPr>
              <w:t>标段划分</w:t>
            </w:r>
          </w:p>
        </w:tc>
        <w:tc>
          <w:tcPr>
            <w:tcW w:w="7223" w:type="dxa"/>
            <w:vAlign w:val="center"/>
          </w:tcPr>
          <w:p>
            <w:pPr>
              <w:spacing w:line="500" w:lineRule="exact"/>
              <w:ind w:firstLine="120" w:firstLineChars="50"/>
              <w:rPr>
                <w:rFonts w:hAnsi="宋体"/>
                <w:bCs/>
                <w:color w:val="000000"/>
                <w:sz w:val="24"/>
                <w:szCs w:val="24"/>
              </w:rPr>
            </w:pPr>
            <w:r>
              <w:rPr>
                <w:b/>
                <w:color w:val="000000"/>
                <w:sz w:val="24"/>
                <w:szCs w:val="24"/>
              </w:rPr>
              <w:sym w:font="Wingdings" w:char="00FE"/>
            </w:r>
            <w:r>
              <w:rPr>
                <w:rFonts w:hint="eastAsia" w:hAnsi="宋体"/>
                <w:color w:val="000000"/>
                <w:sz w:val="24"/>
                <w:szCs w:val="24"/>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5"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7</w:t>
            </w:r>
          </w:p>
        </w:tc>
        <w:tc>
          <w:tcPr>
            <w:tcW w:w="1447" w:type="dxa"/>
            <w:vAlign w:val="center"/>
          </w:tcPr>
          <w:p>
            <w:pPr>
              <w:spacing w:line="500" w:lineRule="exact"/>
              <w:jc w:val="center"/>
              <w:rPr>
                <w:rFonts w:hAnsi="宋体"/>
                <w:color w:val="000000"/>
                <w:sz w:val="24"/>
                <w:szCs w:val="24"/>
              </w:rPr>
            </w:pPr>
            <w:r>
              <w:rPr>
                <w:rFonts w:hint="eastAsia" w:hAnsi="宋体"/>
                <w:color w:val="000000"/>
                <w:sz w:val="24"/>
                <w:szCs w:val="24"/>
                <w:lang w:val="zh-CN"/>
              </w:rPr>
              <w:t>付款方式</w:t>
            </w:r>
          </w:p>
        </w:tc>
        <w:tc>
          <w:tcPr>
            <w:tcW w:w="7223" w:type="dxa"/>
          </w:tcPr>
          <w:p>
            <w:pPr>
              <w:pStyle w:val="35"/>
              <w:spacing w:line="500" w:lineRule="exact"/>
              <w:rPr>
                <w:rFonts w:hint="eastAsia" w:hAnsi="宋体" w:cs="宋体" w:eastAsiaTheme="minorEastAsia"/>
                <w:color w:val="000000"/>
                <w:sz w:val="24"/>
                <w:szCs w:val="24"/>
                <w:lang w:val="en-US" w:eastAsia="zh-CN"/>
              </w:rPr>
            </w:pPr>
            <w:r>
              <w:rPr>
                <w:rFonts w:hAnsi="宋体" w:cs="宋体"/>
                <w:color w:val="000000"/>
                <w:sz w:val="24"/>
                <w:szCs w:val="24"/>
              </w:rPr>
              <w:t>在合同执行完成后</w:t>
            </w:r>
            <w:r>
              <w:rPr>
                <w:rFonts w:hint="eastAsia" w:hAnsi="宋体" w:cs="宋体"/>
                <w:color w:val="000000"/>
                <w:sz w:val="24"/>
                <w:szCs w:val="24"/>
              </w:rPr>
              <w:t>两</w:t>
            </w:r>
            <w:r>
              <w:rPr>
                <w:rFonts w:hAnsi="宋体" w:cs="宋体"/>
                <w:color w:val="000000"/>
                <w:sz w:val="24"/>
                <w:szCs w:val="24"/>
              </w:rPr>
              <w:t>个月内通过转账支付</w:t>
            </w:r>
            <w:r>
              <w:rPr>
                <w:rFonts w:hint="eastAsia" w:hAnsi="宋体" w:cs="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8</w:t>
            </w:r>
          </w:p>
        </w:tc>
        <w:tc>
          <w:tcPr>
            <w:tcW w:w="1447" w:type="dxa"/>
            <w:vAlign w:val="center"/>
          </w:tcPr>
          <w:p>
            <w:pPr>
              <w:spacing w:line="500" w:lineRule="exact"/>
              <w:jc w:val="center"/>
              <w:rPr>
                <w:rFonts w:hAnsi="宋体"/>
                <w:color w:val="000000"/>
                <w:sz w:val="24"/>
                <w:szCs w:val="24"/>
              </w:rPr>
            </w:pPr>
            <w:r>
              <w:rPr>
                <w:rFonts w:hint="eastAsia" w:hAnsi="宋体"/>
                <w:color w:val="000000"/>
                <w:sz w:val="24"/>
                <w:szCs w:val="24"/>
              </w:rPr>
              <w:t>联合体投标</w:t>
            </w:r>
          </w:p>
        </w:tc>
        <w:tc>
          <w:tcPr>
            <w:tcW w:w="7223" w:type="dxa"/>
            <w:vAlign w:val="center"/>
          </w:tcPr>
          <w:p>
            <w:pPr>
              <w:spacing w:line="500" w:lineRule="exact"/>
              <w:rPr>
                <w:rFonts w:hAnsi="宋体"/>
                <w:color w:val="000000"/>
                <w:sz w:val="24"/>
                <w:szCs w:val="24"/>
              </w:rPr>
            </w:pPr>
            <w:r>
              <w:rPr>
                <w:rFonts w:hint="eastAsia" w:hAnsi="宋体"/>
                <w:color w:val="000000"/>
                <w:sz w:val="24"/>
                <w:szCs w:val="24"/>
              </w:rPr>
              <w:t>□</w:t>
            </w:r>
            <w:r>
              <w:rPr>
                <w:rFonts w:hint="eastAsia" w:hAnsi="宋体"/>
                <w:color w:val="000000"/>
                <w:sz w:val="24"/>
                <w:szCs w:val="24"/>
                <w:lang w:val="zh-CN"/>
              </w:rPr>
              <w:t xml:space="preserve">接受  </w:t>
            </w:r>
            <w:r>
              <w:rPr>
                <w:b/>
                <w:color w:val="000000"/>
                <w:sz w:val="24"/>
                <w:szCs w:val="24"/>
              </w:rPr>
              <w:sym w:font="Wingdings" w:char="00FE"/>
            </w:r>
            <w:r>
              <w:rPr>
                <w:rFonts w:hint="eastAsia" w:hAnsi="宋体"/>
                <w:color w:val="000000"/>
                <w:sz w:val="24"/>
                <w:szCs w:val="24"/>
              </w:rPr>
              <w:t>不</w:t>
            </w:r>
            <w:r>
              <w:rPr>
                <w:rFonts w:hint="eastAsia" w:hAnsi="宋体"/>
                <w:color w:val="000000"/>
                <w:sz w:val="24"/>
                <w:szCs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9</w:t>
            </w:r>
          </w:p>
        </w:tc>
        <w:tc>
          <w:tcPr>
            <w:tcW w:w="1447" w:type="dxa"/>
          </w:tcPr>
          <w:p>
            <w:pPr>
              <w:spacing w:line="500" w:lineRule="exact"/>
              <w:rPr>
                <w:rFonts w:hAnsi="宋体"/>
                <w:color w:val="000000"/>
                <w:sz w:val="24"/>
                <w:szCs w:val="24"/>
              </w:rPr>
            </w:pPr>
            <w:r>
              <w:rPr>
                <w:rFonts w:hint="eastAsia" w:hAnsi="宋体"/>
                <w:color w:val="000000"/>
                <w:sz w:val="24"/>
                <w:szCs w:val="24"/>
              </w:rPr>
              <w:t>服务地点</w:t>
            </w:r>
          </w:p>
        </w:tc>
        <w:tc>
          <w:tcPr>
            <w:tcW w:w="7223" w:type="dxa"/>
          </w:tcPr>
          <w:p>
            <w:pPr>
              <w:spacing w:line="500" w:lineRule="exact"/>
              <w:rPr>
                <w:rFonts w:hAnsi="宋体"/>
                <w:color w:val="000000"/>
                <w:sz w:val="24"/>
                <w:szCs w:val="24"/>
              </w:rPr>
            </w:pPr>
            <w:r>
              <w:rPr>
                <w:rFonts w:hint="eastAsia" w:hAnsi="宋体"/>
                <w:color w:val="000000"/>
                <w:sz w:val="24"/>
                <w:szCs w:val="24"/>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10</w:t>
            </w:r>
          </w:p>
        </w:tc>
        <w:tc>
          <w:tcPr>
            <w:tcW w:w="1447" w:type="dxa"/>
            <w:vAlign w:val="center"/>
          </w:tcPr>
          <w:p>
            <w:pPr>
              <w:spacing w:line="500" w:lineRule="exact"/>
              <w:jc w:val="center"/>
              <w:rPr>
                <w:rFonts w:hAnsi="宋体"/>
                <w:color w:val="000000"/>
                <w:sz w:val="24"/>
                <w:szCs w:val="24"/>
              </w:rPr>
            </w:pPr>
            <w:r>
              <w:rPr>
                <w:rFonts w:hint="eastAsia" w:hAnsi="宋体"/>
                <w:color w:val="000000"/>
                <w:sz w:val="24"/>
                <w:szCs w:val="24"/>
              </w:rPr>
              <w:t>服务期限</w:t>
            </w:r>
          </w:p>
        </w:tc>
        <w:tc>
          <w:tcPr>
            <w:tcW w:w="7223" w:type="dxa"/>
            <w:vAlign w:val="center"/>
          </w:tcPr>
          <w:p>
            <w:pPr>
              <w:rPr>
                <w:rFonts w:hAnsi="宋体"/>
                <w:color w:val="FF0000"/>
                <w:sz w:val="24"/>
                <w:szCs w:val="24"/>
              </w:rPr>
            </w:pPr>
            <w:r>
              <w:rPr>
                <w:rFonts w:hint="eastAsia" w:cs="宋体" w:asciiTheme="minorEastAsia" w:hAnsiTheme="minorEastAsia" w:eastAsiaTheme="minorEastAsia"/>
                <w:color w:val="000000"/>
                <w:sz w:val="24"/>
                <w:szCs w:val="24"/>
              </w:rPr>
              <w:t>在</w:t>
            </w:r>
            <w:r>
              <w:rPr>
                <w:rFonts w:hint="eastAsia" w:cs="宋体" w:asciiTheme="minorEastAsia" w:hAnsiTheme="minorEastAsia"/>
                <w:color w:val="000000"/>
                <w:sz w:val="24"/>
                <w:szCs w:val="24"/>
                <w:lang w:val="en-US" w:eastAsia="zh-CN"/>
              </w:rPr>
              <w:t>采购人</w:t>
            </w:r>
            <w:r>
              <w:rPr>
                <w:rFonts w:hint="eastAsia" w:cs="宋体" w:asciiTheme="minorEastAsia" w:hAnsiTheme="minorEastAsia" w:eastAsiaTheme="minorEastAsia"/>
                <w:color w:val="000000"/>
                <w:sz w:val="24"/>
                <w:szCs w:val="24"/>
              </w:rPr>
              <w:t>指定的日期内完成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int="default" w:hAnsi="宋体" w:eastAsiaTheme="minorEastAsia"/>
                <w:color w:val="000000"/>
                <w:sz w:val="24"/>
                <w:szCs w:val="24"/>
                <w:lang w:val="en-US" w:eastAsia="zh-CN"/>
              </w:rPr>
            </w:pPr>
            <w:r>
              <w:rPr>
                <w:rFonts w:hint="eastAsia" w:hAnsi="宋体"/>
                <w:color w:val="000000"/>
                <w:sz w:val="24"/>
                <w:szCs w:val="24"/>
                <w:lang w:val="en-US" w:eastAsia="zh-CN"/>
              </w:rPr>
              <w:t>11</w:t>
            </w:r>
          </w:p>
        </w:tc>
        <w:tc>
          <w:tcPr>
            <w:tcW w:w="1447" w:type="dxa"/>
            <w:vAlign w:val="center"/>
          </w:tcPr>
          <w:p>
            <w:pPr>
              <w:spacing w:line="500" w:lineRule="exact"/>
              <w:jc w:val="center"/>
              <w:rPr>
                <w:rFonts w:hAnsi="宋体"/>
                <w:color w:val="000000"/>
                <w:sz w:val="24"/>
                <w:szCs w:val="24"/>
              </w:rPr>
            </w:pPr>
            <w:r>
              <w:rPr>
                <w:rFonts w:hint="eastAsia" w:hAnsi="宋体"/>
                <w:color w:val="000000"/>
                <w:sz w:val="24"/>
                <w:szCs w:val="24"/>
              </w:rPr>
              <w:t>本地化服务</w:t>
            </w:r>
          </w:p>
        </w:tc>
        <w:tc>
          <w:tcPr>
            <w:tcW w:w="7223" w:type="dxa"/>
            <w:vAlign w:val="center"/>
          </w:tcPr>
          <w:p>
            <w:pPr>
              <w:rPr>
                <w:rFonts w:hAnsi="宋体"/>
                <w:color w:val="000000"/>
                <w:sz w:val="24"/>
                <w:szCs w:val="24"/>
              </w:rPr>
            </w:pPr>
            <w:r>
              <w:rPr>
                <w:rFonts w:hint="eastAsia" w:hAnsi="宋体"/>
                <w:color w:val="000000"/>
                <w:sz w:val="24"/>
                <w:szCs w:val="24"/>
              </w:rPr>
              <w:t>本项目是否要求本地化服务能力：</w:t>
            </w:r>
            <w:r>
              <w:rPr>
                <w:rFonts w:hAnsi="宋体"/>
                <w:color w:val="000000"/>
                <w:sz w:val="24"/>
                <w:szCs w:val="24"/>
              </w:rPr>
              <w:t></w:t>
            </w:r>
            <w:r>
              <w:rPr>
                <w:b/>
                <w:color w:val="000000"/>
                <w:sz w:val="24"/>
                <w:szCs w:val="24"/>
              </w:rPr>
              <w:sym w:font="Wingdings" w:char="00FE"/>
            </w:r>
            <w:r>
              <w:rPr>
                <w:rFonts w:hint="eastAsia" w:hAnsi="宋体"/>
                <w:color w:val="000000"/>
                <w:sz w:val="24"/>
                <w:szCs w:val="24"/>
              </w:rPr>
              <w:t>要求□不要求</w:t>
            </w:r>
          </w:p>
          <w:p>
            <w:pPr>
              <w:rPr>
                <w:rFonts w:hAnsi="宋体"/>
                <w:color w:val="000000"/>
                <w:sz w:val="24"/>
                <w:szCs w:val="24"/>
              </w:rPr>
            </w:pPr>
            <w:r>
              <w:rPr>
                <w:rFonts w:hint="eastAsia" w:hAnsi="宋体"/>
                <w:color w:val="000000"/>
                <w:sz w:val="24"/>
                <w:szCs w:val="24"/>
              </w:rPr>
              <w:t>本地化服务的能力是指具有以下条件之一：</w:t>
            </w:r>
          </w:p>
          <w:p>
            <w:pPr>
              <w:rPr>
                <w:rFonts w:hAnsi="宋体"/>
                <w:color w:val="000000"/>
                <w:sz w:val="24"/>
                <w:szCs w:val="24"/>
              </w:rPr>
            </w:pPr>
            <w:r>
              <w:rPr>
                <w:rFonts w:hint="eastAsia" w:hAnsi="宋体"/>
                <w:color w:val="000000"/>
                <w:sz w:val="24"/>
                <w:szCs w:val="24"/>
              </w:rPr>
              <w:t>1）在本地具有固定的办公场所及人员；</w:t>
            </w:r>
          </w:p>
          <w:p>
            <w:pPr>
              <w:rPr>
                <w:rFonts w:hAnsi="宋体"/>
                <w:color w:val="000000"/>
                <w:sz w:val="24"/>
                <w:szCs w:val="24"/>
              </w:rPr>
            </w:pPr>
            <w:r>
              <w:rPr>
                <w:rFonts w:hint="eastAsia" w:hAnsi="宋体"/>
                <w:color w:val="000000"/>
                <w:sz w:val="24"/>
                <w:szCs w:val="24"/>
              </w:rPr>
              <w:t>2）在本地注册成立的；</w:t>
            </w:r>
          </w:p>
          <w:p>
            <w:pPr>
              <w:rPr>
                <w:rFonts w:hAnsi="宋体"/>
                <w:color w:val="000000"/>
                <w:sz w:val="24"/>
                <w:szCs w:val="24"/>
              </w:rPr>
            </w:pPr>
            <w:r>
              <w:rPr>
                <w:rFonts w:hint="eastAsia" w:hAnsi="宋体"/>
                <w:color w:val="000000"/>
                <w:sz w:val="24"/>
                <w:szCs w:val="24"/>
              </w:rPr>
              <w:t>3）承诺成交即设立本地化服务机构。</w:t>
            </w:r>
          </w:p>
          <w:p>
            <w:pPr>
              <w:rPr>
                <w:rFonts w:hAnsi="宋体"/>
                <w:b/>
                <w:color w:val="000000"/>
                <w:sz w:val="24"/>
                <w:szCs w:val="24"/>
              </w:rPr>
            </w:pPr>
            <w:r>
              <w:rPr>
                <w:rFonts w:hint="eastAsia" w:hAnsi="宋体"/>
                <w:color w:val="000000"/>
                <w:sz w:val="24"/>
                <w:szCs w:val="24"/>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adjustRightInd w:val="0"/>
              <w:snapToGrid w:val="0"/>
              <w:spacing w:before="48" w:beforeLines="20" w:after="48" w:afterLines="20" w:line="400" w:lineRule="exact"/>
              <w:jc w:val="center"/>
              <w:rPr>
                <w:rFonts w:hint="eastAsia" w:hAnsi="宋体" w:eastAsiaTheme="minorEastAsia"/>
                <w:color w:val="000000"/>
                <w:sz w:val="24"/>
                <w:szCs w:val="24"/>
                <w:lang w:eastAsia="zh-CN"/>
              </w:rPr>
            </w:pPr>
            <w:r>
              <w:rPr>
                <w:rFonts w:hint="eastAsia" w:ascii="宋体" w:hAnsi="宋体" w:cs="宋体"/>
                <w:bCs/>
                <w:sz w:val="24"/>
                <w:szCs w:val="24"/>
              </w:rPr>
              <w:t>1</w:t>
            </w:r>
            <w:r>
              <w:rPr>
                <w:rFonts w:hint="eastAsia" w:ascii="宋体" w:hAnsi="宋体" w:cs="宋体"/>
                <w:bCs/>
                <w:sz w:val="24"/>
                <w:szCs w:val="24"/>
                <w:lang w:val="en-US" w:eastAsia="zh-CN"/>
              </w:rPr>
              <w:t>2</w:t>
            </w:r>
          </w:p>
        </w:tc>
        <w:tc>
          <w:tcPr>
            <w:tcW w:w="1447" w:type="dxa"/>
            <w:vAlign w:val="center"/>
          </w:tcPr>
          <w:p>
            <w:pPr>
              <w:adjustRightInd w:val="0"/>
              <w:snapToGrid w:val="0"/>
              <w:spacing w:before="48" w:beforeLines="20" w:after="48" w:afterLines="20" w:line="400" w:lineRule="exact"/>
              <w:jc w:val="center"/>
              <w:rPr>
                <w:color w:val="000000"/>
                <w:sz w:val="24"/>
                <w:szCs w:val="24"/>
              </w:rPr>
            </w:pPr>
            <w:r>
              <w:rPr>
                <w:rFonts w:hint="eastAsia" w:ascii="宋体" w:hAnsi="宋体" w:cs="宋体"/>
                <w:sz w:val="24"/>
                <w:szCs w:val="24"/>
              </w:rPr>
              <w:t>报价要求</w:t>
            </w:r>
          </w:p>
        </w:tc>
        <w:tc>
          <w:tcPr>
            <w:tcW w:w="7223" w:type="dxa"/>
            <w:vAlign w:val="center"/>
          </w:tcPr>
          <w:p>
            <w:pPr>
              <w:adjustRightInd w:val="0"/>
              <w:snapToGrid w:val="0"/>
              <w:spacing w:before="48" w:beforeLines="20" w:after="48" w:afterLines="20" w:line="400" w:lineRule="exact"/>
              <w:rPr>
                <w:rFonts w:hint="eastAsia" w:ascii="宋体" w:hAnsi="宋体" w:cs="宋体"/>
                <w:sz w:val="24"/>
                <w:szCs w:val="24"/>
              </w:rPr>
            </w:pPr>
            <w:r>
              <w:rPr>
                <w:rFonts w:hint="eastAsia" w:ascii="宋体" w:hAnsi="宋体" w:cs="宋体"/>
                <w:sz w:val="24"/>
                <w:szCs w:val="24"/>
              </w:rPr>
              <w:t>1、供应商报价包含为完成本</w:t>
            </w:r>
            <w:r>
              <w:rPr>
                <w:rFonts w:hint="eastAsia" w:ascii="宋体" w:hAnsi="宋体" w:cs="宋体"/>
                <w:sz w:val="24"/>
                <w:szCs w:val="24"/>
                <w:lang w:val="en-US" w:eastAsia="zh-CN"/>
              </w:rPr>
              <w:t>项目所有内容的</w:t>
            </w:r>
            <w:r>
              <w:rPr>
                <w:rFonts w:hint="eastAsia" w:ascii="宋体" w:hAnsi="宋体" w:cs="宋体"/>
                <w:sz w:val="24"/>
                <w:szCs w:val="24"/>
              </w:rPr>
              <w:t>管理费、利润、税金等其它一切费用，并考虑了应承担的风险。</w:t>
            </w:r>
          </w:p>
          <w:p>
            <w:pPr>
              <w:adjustRightInd w:val="0"/>
              <w:snapToGrid w:val="0"/>
              <w:spacing w:before="48" w:beforeLines="20" w:after="48" w:afterLines="20" w:line="400" w:lineRule="exact"/>
              <w:rPr>
                <w:rFonts w:hint="eastAsia" w:ascii="宋体" w:hAnsi="宋体" w:cs="宋体"/>
                <w:sz w:val="24"/>
                <w:szCs w:val="24"/>
              </w:rPr>
            </w:pPr>
            <w:r>
              <w:rPr>
                <w:rFonts w:hint="eastAsia" w:ascii="宋体" w:hAnsi="宋体" w:cs="宋体"/>
                <w:sz w:val="24"/>
                <w:szCs w:val="24"/>
              </w:rPr>
              <w:t>2、供应商报价为全费用综合报价，包括利润、税金和履行合同义务的人员报酬</w:t>
            </w:r>
            <w:r>
              <w:rPr>
                <w:rFonts w:hint="eastAsia" w:ascii="宋体" w:hAnsi="宋体" w:cs="宋体"/>
                <w:color w:val="auto"/>
                <w:sz w:val="24"/>
                <w:szCs w:val="24"/>
                <w:highlight w:val="none"/>
              </w:rPr>
              <w:t>以及执行</w:t>
            </w:r>
            <w:r>
              <w:rPr>
                <w:rFonts w:hint="eastAsia" w:ascii="宋体" w:hAnsi="宋体" w:cs="宋体"/>
                <w:color w:val="auto"/>
                <w:sz w:val="24"/>
                <w:szCs w:val="24"/>
                <w:highlight w:val="none"/>
                <w:lang w:eastAsia="zh-CN"/>
              </w:rPr>
              <w:t>培训</w:t>
            </w:r>
            <w:r>
              <w:rPr>
                <w:rFonts w:hint="eastAsia" w:ascii="宋体" w:hAnsi="宋体" w:cs="宋体"/>
                <w:color w:val="auto"/>
                <w:sz w:val="24"/>
                <w:szCs w:val="24"/>
                <w:highlight w:val="none"/>
              </w:rPr>
              <w:t>任务所</w:t>
            </w:r>
            <w:r>
              <w:rPr>
                <w:rFonts w:hint="eastAsia" w:ascii="宋体" w:hAnsi="宋体" w:cs="宋体"/>
                <w:sz w:val="24"/>
                <w:szCs w:val="24"/>
              </w:rPr>
              <w:t>必需的生活、交通、通讯等一切费用。</w:t>
            </w:r>
          </w:p>
          <w:p>
            <w:pPr>
              <w:pStyle w:val="19"/>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w:t>
            </w:r>
            <w:r>
              <w:rPr>
                <w:rFonts w:hint="eastAsia" w:ascii="宋体" w:hAnsi="宋体" w:eastAsia="宋体" w:cs="宋体"/>
                <w:sz w:val="24"/>
                <w:szCs w:val="24"/>
                <w:lang w:val="en-US" w:eastAsia="zh-CN"/>
              </w:rPr>
              <w:t>需</w:t>
            </w:r>
            <w:r>
              <w:rPr>
                <w:rFonts w:hint="eastAsia" w:ascii="宋体" w:hAnsi="宋体" w:eastAsia="宋体" w:cs="宋体"/>
                <w:sz w:val="24"/>
                <w:szCs w:val="24"/>
              </w:rPr>
              <w:t>为参训人员购买参训期间的人身意外伤害险</w:t>
            </w:r>
            <w:r>
              <w:rPr>
                <w:rFonts w:hint="eastAsia" w:ascii="宋体" w:hAnsi="宋体" w:eastAsia="宋体" w:cs="宋体"/>
                <w:sz w:val="24"/>
                <w:szCs w:val="24"/>
                <w:lang w:eastAsia="zh-CN"/>
              </w:rPr>
              <w:t>。</w:t>
            </w:r>
          </w:p>
          <w:p>
            <w:pPr>
              <w:adjustRightInd w:val="0"/>
              <w:snapToGrid w:val="0"/>
              <w:spacing w:before="48" w:beforeLines="20" w:after="48" w:afterLines="20" w:line="400" w:lineRule="exact"/>
              <w:rPr>
                <w:color w:val="000000"/>
                <w:sz w:val="24"/>
                <w:szCs w:val="24"/>
              </w:rPr>
            </w:pPr>
            <w:r>
              <w:rPr>
                <w:rFonts w:hint="eastAsia" w:ascii="宋体" w:hAnsi="宋体" w:cs="宋体"/>
                <w:sz w:val="24"/>
                <w:szCs w:val="24"/>
                <w:lang w:val="en-US" w:eastAsia="zh-CN"/>
              </w:rPr>
              <w:t>4、</w:t>
            </w:r>
            <w:r>
              <w:rPr>
                <w:rFonts w:hint="eastAsia" w:ascii="宋体" w:hAnsi="宋体" w:cs="宋体"/>
                <w:kern w:val="1"/>
                <w:sz w:val="24"/>
                <w:szCs w:val="24"/>
              </w:rPr>
              <w:t>增值税</w:t>
            </w:r>
            <w:r>
              <w:rPr>
                <w:rFonts w:hint="eastAsia" w:ascii="宋体" w:hAnsi="宋体" w:cs="宋体"/>
                <w:kern w:val="1"/>
                <w:sz w:val="24"/>
                <w:szCs w:val="24"/>
                <w:lang w:val="en-US" w:eastAsia="zh-CN"/>
              </w:rPr>
              <w:t>专用</w:t>
            </w:r>
            <w:r>
              <w:rPr>
                <w:rFonts w:hint="eastAsia" w:ascii="宋体" w:hAnsi="宋体" w:cs="宋体"/>
                <w:kern w:val="1"/>
                <w:sz w:val="24"/>
                <w:szCs w:val="24"/>
              </w:rPr>
              <w:t>发票（经采购人认可）</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int="default" w:hAnsi="宋体" w:eastAsiaTheme="minorEastAsia"/>
                <w:color w:val="000000"/>
                <w:sz w:val="24"/>
                <w:szCs w:val="24"/>
                <w:lang w:val="en-US" w:eastAsia="zh-CN"/>
              </w:rPr>
            </w:pPr>
            <w:r>
              <w:rPr>
                <w:rFonts w:hint="eastAsia" w:hAnsi="宋体"/>
                <w:color w:val="000000"/>
                <w:sz w:val="24"/>
                <w:szCs w:val="24"/>
                <w:lang w:val="en-US" w:eastAsia="zh-CN"/>
              </w:rPr>
              <w:t>13</w:t>
            </w:r>
          </w:p>
        </w:tc>
        <w:tc>
          <w:tcPr>
            <w:tcW w:w="1447" w:type="dxa"/>
            <w:vAlign w:val="center"/>
          </w:tcPr>
          <w:p>
            <w:pPr>
              <w:jc w:val="center"/>
              <w:rPr>
                <w:rFonts w:hAnsi="宋体"/>
                <w:color w:val="000000"/>
                <w:sz w:val="24"/>
                <w:szCs w:val="24"/>
              </w:rPr>
            </w:pPr>
            <w:r>
              <w:rPr>
                <w:rFonts w:hint="eastAsia" w:hAnsi="宋体"/>
                <w:color w:val="000000"/>
                <w:sz w:val="24"/>
                <w:szCs w:val="24"/>
              </w:rPr>
              <w:t>备注</w:t>
            </w:r>
          </w:p>
        </w:tc>
        <w:tc>
          <w:tcPr>
            <w:tcW w:w="7223" w:type="dxa"/>
            <w:vAlign w:val="center"/>
          </w:tcPr>
          <w:p>
            <w:pPr>
              <w:rPr>
                <w:rFonts w:hAnsi="宋体" w:cs="宋体"/>
                <w:b/>
                <w:color w:val="000000"/>
                <w:sz w:val="24"/>
                <w:szCs w:val="24"/>
              </w:rPr>
            </w:pPr>
            <w:r>
              <w:rPr>
                <w:rFonts w:hAnsi="宋体"/>
                <w:b/>
                <w:color w:val="000000"/>
                <w:sz w:val="24"/>
                <w:szCs w:val="24"/>
              </w:rPr>
              <w:t>特别提醒</w:t>
            </w:r>
            <w:r>
              <w:rPr>
                <w:rFonts w:hint="eastAsia" w:hAnsi="宋体"/>
                <w:b/>
                <w:color w:val="000000"/>
                <w:sz w:val="24"/>
                <w:szCs w:val="24"/>
              </w:rPr>
              <w:t>：</w:t>
            </w:r>
            <w:r>
              <w:rPr>
                <w:rFonts w:hAnsi="宋体"/>
                <w:b/>
                <w:color w:val="000000"/>
                <w:sz w:val="24"/>
                <w:szCs w:val="24"/>
              </w:rPr>
              <w:t>供应商参与</w:t>
            </w:r>
            <w:r>
              <w:rPr>
                <w:rFonts w:hint="eastAsia" w:hAnsi="宋体"/>
                <w:b/>
                <w:color w:val="000000"/>
                <w:sz w:val="24"/>
                <w:szCs w:val="24"/>
              </w:rPr>
              <w:t>投标</w:t>
            </w:r>
            <w:r>
              <w:rPr>
                <w:rFonts w:hAnsi="宋体"/>
                <w:b/>
                <w:color w:val="000000"/>
                <w:sz w:val="24"/>
                <w:szCs w:val="24"/>
              </w:rPr>
              <w:t>，应当诚信守法、公平竞争。如</w:t>
            </w:r>
            <w:r>
              <w:rPr>
                <w:rFonts w:hint="eastAsia" w:hAnsi="宋体"/>
                <w:b/>
                <w:color w:val="000000"/>
                <w:sz w:val="24"/>
                <w:szCs w:val="24"/>
              </w:rPr>
              <w:t>有</w:t>
            </w:r>
            <w:r>
              <w:rPr>
                <w:rFonts w:hAnsi="宋体"/>
                <w:b/>
                <w:color w:val="000000"/>
                <w:sz w:val="24"/>
                <w:szCs w:val="24"/>
              </w:rPr>
              <w:t>以提供虚假材料</w:t>
            </w:r>
            <w:r>
              <w:rPr>
                <w:rFonts w:hint="eastAsia" w:hAnsi="宋体"/>
                <w:b/>
                <w:color w:val="000000"/>
                <w:sz w:val="24"/>
                <w:szCs w:val="24"/>
              </w:rPr>
              <w:t>（包括但不限于虚假技术参数响应、虚假业绩、虚假证书、虚假检测报告等）</w:t>
            </w:r>
            <w:r>
              <w:rPr>
                <w:rFonts w:hAnsi="宋体"/>
                <w:b/>
                <w:color w:val="000000"/>
                <w:sz w:val="24"/>
                <w:szCs w:val="24"/>
              </w:rPr>
              <w:t>、串通投标、隐瞒失信信息等谋取</w:t>
            </w:r>
            <w:r>
              <w:rPr>
                <w:rFonts w:hint="eastAsia" w:hAnsi="宋体"/>
                <w:b/>
                <w:color w:val="000000"/>
                <w:sz w:val="24"/>
                <w:szCs w:val="24"/>
              </w:rPr>
              <w:t>成交资格</w:t>
            </w:r>
            <w:r>
              <w:rPr>
                <w:rFonts w:hAnsi="宋体"/>
                <w:b/>
                <w:color w:val="000000"/>
                <w:sz w:val="24"/>
                <w:szCs w:val="24"/>
              </w:rPr>
              <w:t>的行为，一经发现，将报</w:t>
            </w:r>
            <w:r>
              <w:rPr>
                <w:rFonts w:hint="eastAsia" w:hAnsi="宋体"/>
                <w:b/>
                <w:color w:val="000000"/>
                <w:sz w:val="24"/>
                <w:szCs w:val="24"/>
              </w:rPr>
              <w:t>监</w:t>
            </w:r>
            <w:r>
              <w:rPr>
                <w:rFonts w:hAnsi="宋体"/>
                <w:b/>
                <w:color w:val="000000"/>
                <w:sz w:val="24"/>
                <w:szCs w:val="24"/>
              </w:rPr>
              <w:t>管</w:t>
            </w:r>
            <w:r>
              <w:rPr>
                <w:rFonts w:hint="eastAsia" w:hAnsi="宋体"/>
                <w:b/>
                <w:color w:val="000000"/>
                <w:sz w:val="24"/>
                <w:szCs w:val="24"/>
              </w:rPr>
              <w:t>部门</w:t>
            </w:r>
            <w:r>
              <w:rPr>
                <w:rFonts w:hAnsi="宋体"/>
                <w:b/>
                <w:color w:val="000000"/>
                <w:sz w:val="24"/>
                <w:szCs w:val="24"/>
              </w:rPr>
              <w:t xml:space="preserve">严肃查处。 </w:t>
            </w:r>
          </w:p>
        </w:tc>
      </w:tr>
    </w:tbl>
    <w:p>
      <w:pPr>
        <w:rPr>
          <w:sz w:val="24"/>
          <w:szCs w:val="24"/>
        </w:rPr>
      </w:pPr>
    </w:p>
    <w:p>
      <w:pPr>
        <w:pStyle w:val="19"/>
        <w:rPr>
          <w:sz w:val="24"/>
          <w:szCs w:val="24"/>
        </w:rPr>
      </w:pPr>
    </w:p>
    <w:p>
      <w:pPr>
        <w:jc w:val="center"/>
        <w:rPr>
          <w:b/>
          <w:bCs/>
          <w:color w:val="000000"/>
          <w:sz w:val="24"/>
          <w:szCs w:val="24"/>
        </w:rPr>
      </w:pPr>
      <w:r>
        <w:rPr>
          <w:b/>
          <w:bCs/>
          <w:color w:val="000000"/>
          <w:sz w:val="24"/>
          <w:szCs w:val="24"/>
        </w:rPr>
        <w:t>综合评分明细表</w:t>
      </w:r>
    </w:p>
    <w:tbl>
      <w:tblPr>
        <w:tblStyle w:val="20"/>
        <w:tblW w:w="10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6"/>
        <w:gridCol w:w="1581"/>
        <w:gridCol w:w="702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widowControl/>
              <w:spacing w:line="400" w:lineRule="exact"/>
              <w:jc w:val="center"/>
              <w:rPr>
                <w:rFonts w:ascii="宋体" w:hAnsi="宋体" w:cs="宋体"/>
                <w:sz w:val="24"/>
                <w:szCs w:val="24"/>
              </w:rPr>
            </w:pPr>
            <w:r>
              <w:rPr>
                <w:rFonts w:hint="eastAsia" w:ascii="宋体" w:hAnsi="宋体" w:cs="宋体"/>
                <w:b/>
                <w:bCs/>
                <w:spacing w:val="13"/>
                <w:sz w:val="24"/>
                <w:szCs w:val="24"/>
              </w:rPr>
              <w:t>类别</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widowControl/>
              <w:spacing w:line="400" w:lineRule="exact"/>
              <w:jc w:val="center"/>
              <w:rPr>
                <w:rFonts w:ascii="宋体" w:hAnsi="宋体" w:cs="宋体"/>
                <w:sz w:val="24"/>
                <w:szCs w:val="24"/>
              </w:rPr>
            </w:pPr>
            <w:r>
              <w:rPr>
                <w:rFonts w:hint="eastAsia" w:ascii="宋体" w:hAnsi="宋体" w:cs="宋体"/>
                <w:b/>
                <w:bCs/>
                <w:spacing w:val="13"/>
                <w:sz w:val="24"/>
                <w:szCs w:val="24"/>
              </w:rPr>
              <w:t>评分内容</w:t>
            </w:r>
          </w:p>
        </w:tc>
        <w:tc>
          <w:tcPr>
            <w:tcW w:w="70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widowControl/>
              <w:spacing w:line="400" w:lineRule="exact"/>
              <w:jc w:val="center"/>
              <w:rPr>
                <w:rFonts w:ascii="宋体" w:hAnsi="宋体" w:cs="宋体"/>
                <w:sz w:val="24"/>
                <w:szCs w:val="24"/>
              </w:rPr>
            </w:pPr>
            <w:r>
              <w:rPr>
                <w:rFonts w:hint="eastAsia" w:ascii="宋体" w:hAnsi="宋体" w:cs="宋体"/>
                <w:b/>
                <w:bCs/>
                <w:spacing w:val="12"/>
                <w:sz w:val="24"/>
                <w:szCs w:val="24"/>
              </w:rPr>
              <w:t>评分标准</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widowControl/>
              <w:spacing w:line="400" w:lineRule="exact"/>
              <w:jc w:val="center"/>
              <w:rPr>
                <w:rFonts w:ascii="宋体" w:hAnsi="宋体" w:cs="宋体"/>
                <w:sz w:val="24"/>
                <w:szCs w:val="24"/>
              </w:rPr>
            </w:pPr>
            <w:r>
              <w:rPr>
                <w:rFonts w:hint="eastAsia" w:ascii="宋体" w:hAnsi="宋体" w:cs="宋体"/>
                <w:b/>
                <w:bCs/>
                <w:spacing w:val="-4"/>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3" w:hRule="atLeast"/>
          <w:jc w:val="center"/>
        </w:trPr>
        <w:tc>
          <w:tcPr>
            <w:tcW w:w="936" w:type="dxa"/>
            <w:vMerge w:val="restart"/>
            <w:tcBorders>
              <w:top w:val="nil"/>
              <w:left w:val="single" w:color="auto" w:sz="4" w:space="0"/>
              <w:right w:val="single" w:color="auto" w:sz="4" w:space="0"/>
            </w:tcBorders>
            <w:shd w:val="clear" w:color="auto" w:fill="auto"/>
            <w:vAlign w:val="center"/>
          </w:tcPr>
          <w:p>
            <w:pPr>
              <w:pStyle w:val="45"/>
              <w:widowControl/>
              <w:spacing w:line="400" w:lineRule="exact"/>
              <w:jc w:val="center"/>
              <w:rPr>
                <w:rFonts w:ascii="宋体" w:hAnsi="宋体" w:cs="宋体"/>
                <w:sz w:val="24"/>
                <w:szCs w:val="24"/>
              </w:rPr>
            </w:pPr>
            <w:r>
              <w:rPr>
                <w:rFonts w:hint="eastAsia" w:ascii="宋体" w:hAnsi="宋体" w:cs="宋体"/>
                <w:sz w:val="24"/>
                <w:szCs w:val="24"/>
              </w:rPr>
              <w:t>技术分</w:t>
            </w:r>
          </w:p>
          <w:p>
            <w:pPr>
              <w:pStyle w:val="45"/>
              <w:widowControl/>
              <w:spacing w:line="400" w:lineRule="exact"/>
              <w:jc w:val="center"/>
              <w:rPr>
                <w:rFonts w:ascii="宋体" w:hAnsi="宋体" w:cs="宋体"/>
                <w:sz w:val="24"/>
                <w:szCs w:val="24"/>
              </w:rPr>
            </w:pPr>
            <w:r>
              <w:rPr>
                <w:rFonts w:hint="eastAsia" w:ascii="宋体" w:hAnsi="宋体" w:cs="宋体"/>
                <w:bCs/>
                <w:sz w:val="24"/>
                <w:szCs w:val="24"/>
              </w:rPr>
              <w:t>（</w:t>
            </w:r>
            <w:r>
              <w:rPr>
                <w:rFonts w:hint="eastAsia" w:ascii="宋体" w:hAnsi="宋体" w:cs="宋体"/>
                <w:bCs/>
                <w:sz w:val="24"/>
                <w:szCs w:val="24"/>
                <w:lang w:eastAsia="zh-CN"/>
              </w:rPr>
              <w:t>70</w:t>
            </w:r>
            <w:r>
              <w:rPr>
                <w:rFonts w:hint="eastAsia" w:ascii="宋体" w:hAnsi="宋体" w:cs="宋体"/>
                <w:bCs/>
                <w:sz w:val="24"/>
                <w:szCs w:val="24"/>
              </w:rPr>
              <w:t>分）</w:t>
            </w:r>
            <w:r>
              <w:rPr>
                <w:rFonts w:hint="eastAsia" w:ascii="宋体" w:hAnsi="宋体" w:cs="宋体"/>
                <w:b/>
                <w:spacing w:val="-128"/>
                <w:sz w:val="24"/>
                <w:szCs w:val="24"/>
              </w:rPr>
              <w:t>）</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kern w:val="2"/>
                <w:sz w:val="24"/>
                <w:szCs w:val="24"/>
              </w:rPr>
            </w:pPr>
            <w:r>
              <w:rPr>
                <w:rFonts w:hint="eastAsia" w:hAnsi="宋体" w:cs="宋体"/>
                <w:kern w:val="2"/>
                <w:sz w:val="24"/>
                <w:szCs w:val="24"/>
                <w:lang w:bidi="ar"/>
              </w:rPr>
              <w:t>培训方案</w:t>
            </w:r>
          </w:p>
        </w:tc>
        <w:tc>
          <w:tcPr>
            <w:tcW w:w="70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Ansi="宋体" w:cs="宋体"/>
                <w:kern w:val="2"/>
                <w:sz w:val="24"/>
                <w:szCs w:val="24"/>
                <w:lang w:bidi="ar"/>
              </w:rPr>
            </w:pPr>
            <w:r>
              <w:rPr>
                <w:rFonts w:hint="eastAsia" w:hAnsi="宋体" w:cs="宋体"/>
                <w:kern w:val="2"/>
                <w:sz w:val="24"/>
                <w:szCs w:val="24"/>
                <w:lang w:bidi="ar"/>
              </w:rPr>
              <w:t>投标人是否依据采购人的需求制定切实可行的培训方案：</w:t>
            </w:r>
          </w:p>
          <w:p>
            <w:pPr>
              <w:spacing w:line="440" w:lineRule="exact"/>
              <w:rPr>
                <w:rFonts w:hAnsi="宋体" w:cs="宋体"/>
                <w:kern w:val="2"/>
                <w:sz w:val="24"/>
                <w:szCs w:val="24"/>
              </w:rPr>
            </w:pPr>
            <w:r>
              <w:rPr>
                <w:rFonts w:hint="eastAsia" w:hAnsi="宋体" w:cs="宋体"/>
                <w:kern w:val="2"/>
                <w:sz w:val="24"/>
                <w:szCs w:val="24"/>
                <w:lang w:bidi="ar"/>
              </w:rPr>
              <w:t>（1）内容覆盖全面、要点突出、针对性强，内容完整详实，表述清晰，与本项目实际需求适应度高，利于项目实施的得15-20分；</w:t>
            </w:r>
          </w:p>
          <w:p>
            <w:pPr>
              <w:spacing w:line="440" w:lineRule="exact"/>
              <w:rPr>
                <w:rFonts w:hAnsi="宋体" w:cs="宋体"/>
                <w:kern w:val="2"/>
                <w:sz w:val="24"/>
                <w:szCs w:val="24"/>
              </w:rPr>
            </w:pPr>
            <w:r>
              <w:rPr>
                <w:rFonts w:hint="eastAsia" w:hAnsi="宋体" w:cs="宋体"/>
                <w:kern w:val="2"/>
                <w:sz w:val="24"/>
                <w:szCs w:val="24"/>
                <w:lang w:bidi="ar"/>
              </w:rPr>
              <w:t>（2）内容覆盖全面、要点较突出、有一定针对性，内容完整详实，表述清晰，与本项目实际需求有较高适应度，符合项目实施要求的得9-14分；</w:t>
            </w:r>
          </w:p>
          <w:p>
            <w:pPr>
              <w:spacing w:line="440" w:lineRule="exact"/>
              <w:rPr>
                <w:rFonts w:hAnsi="宋体" w:cs="宋体"/>
                <w:kern w:val="2"/>
                <w:sz w:val="24"/>
                <w:szCs w:val="24"/>
              </w:rPr>
            </w:pPr>
            <w:r>
              <w:rPr>
                <w:rFonts w:hint="eastAsia" w:hAnsi="宋体" w:cs="宋体"/>
                <w:kern w:val="2"/>
                <w:sz w:val="24"/>
                <w:szCs w:val="24"/>
                <w:lang w:bidi="ar"/>
              </w:rPr>
              <w:t>（3）内容覆盖不全面，要点突出不够明显，针对性不够强，具体细节有待完善的得4-8分；</w:t>
            </w:r>
          </w:p>
          <w:p>
            <w:pPr>
              <w:spacing w:line="440" w:lineRule="exact"/>
              <w:rPr>
                <w:rFonts w:hAnsi="宋体" w:cs="宋体"/>
                <w:kern w:val="2"/>
                <w:sz w:val="24"/>
                <w:szCs w:val="24"/>
              </w:rPr>
            </w:pPr>
            <w:r>
              <w:rPr>
                <w:rFonts w:hint="eastAsia" w:hAnsi="宋体" w:cs="宋体"/>
                <w:kern w:val="2"/>
                <w:sz w:val="24"/>
                <w:szCs w:val="24"/>
                <w:lang w:bidi="ar"/>
              </w:rPr>
              <w:t>（4）内容差或未提供的不得分。</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widowControl/>
              <w:spacing w:line="400" w:lineRule="exact"/>
              <w:jc w:val="center"/>
              <w:rPr>
                <w:rFonts w:ascii="宋体" w:hAnsi="宋体" w:cs="宋体"/>
                <w:b/>
                <w:bCs/>
                <w:sz w:val="24"/>
                <w:szCs w:val="24"/>
              </w:rPr>
            </w:pPr>
            <w:r>
              <w:rPr>
                <w:rFonts w:hint="eastAsia" w:ascii="宋体" w:hAnsi="宋体" w:cs="宋体"/>
                <w:b/>
                <w:bCs/>
                <w:sz w:val="24"/>
                <w:szCs w:val="24"/>
              </w:rPr>
              <w:t>0-</w:t>
            </w:r>
            <w:r>
              <w:rPr>
                <w:rFonts w:hint="eastAsia" w:ascii="宋体" w:hAnsi="宋体" w:cs="宋体"/>
                <w:b/>
                <w:bCs/>
                <w:sz w:val="24"/>
                <w:szCs w:val="24"/>
                <w:lang w:eastAsia="zh-CN"/>
              </w:rPr>
              <w:t>20</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0" w:hRule="atLeast"/>
          <w:jc w:val="center"/>
        </w:trPr>
        <w:tc>
          <w:tcPr>
            <w:tcW w:w="936" w:type="dxa"/>
            <w:vMerge w:val="continue"/>
            <w:tcBorders>
              <w:left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1581" w:type="dxa"/>
            <w:tcBorders>
              <w:top w:val="nil"/>
              <w:left w:val="single" w:color="auto" w:sz="4" w:space="0"/>
              <w:bottom w:val="single" w:color="auto" w:sz="4" w:space="0"/>
              <w:right w:val="single" w:color="auto" w:sz="4" w:space="0"/>
            </w:tcBorders>
            <w:shd w:val="clear" w:color="auto" w:fill="auto"/>
            <w:vAlign w:val="center"/>
          </w:tcPr>
          <w:p>
            <w:pPr>
              <w:jc w:val="center"/>
              <w:rPr>
                <w:rFonts w:hAnsi="宋体" w:cs="宋体"/>
                <w:kern w:val="2"/>
                <w:sz w:val="24"/>
                <w:szCs w:val="24"/>
              </w:rPr>
            </w:pPr>
            <w:r>
              <w:rPr>
                <w:rFonts w:hint="eastAsia" w:hAnsi="宋体" w:cs="宋体"/>
                <w:kern w:val="2"/>
                <w:sz w:val="24"/>
                <w:szCs w:val="24"/>
                <w:lang w:bidi="ar"/>
              </w:rPr>
              <w:t>后勤保障方案</w:t>
            </w:r>
          </w:p>
        </w:tc>
        <w:tc>
          <w:tcPr>
            <w:tcW w:w="7026"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hAnsi="宋体" w:cs="宋体"/>
                <w:kern w:val="2"/>
                <w:sz w:val="24"/>
                <w:szCs w:val="24"/>
              </w:rPr>
            </w:pPr>
            <w:r>
              <w:rPr>
                <w:rFonts w:hint="eastAsia" w:hAnsi="宋体" w:cs="宋体"/>
                <w:kern w:val="2"/>
                <w:sz w:val="24"/>
                <w:szCs w:val="24"/>
                <w:lang w:bidi="ar"/>
              </w:rPr>
              <w:t>项目统筹、项目管理、后勤保障等责任到人，分工明确；培训实施过程中可能出现的问题所提供的各类应急预案及保障措施合理有效：</w:t>
            </w:r>
          </w:p>
          <w:p>
            <w:pPr>
              <w:spacing w:line="440" w:lineRule="exact"/>
              <w:rPr>
                <w:rFonts w:hAnsi="宋体" w:cs="宋体"/>
                <w:kern w:val="2"/>
                <w:sz w:val="24"/>
                <w:szCs w:val="24"/>
              </w:rPr>
            </w:pPr>
            <w:r>
              <w:rPr>
                <w:rFonts w:hint="eastAsia" w:hAnsi="宋体" w:cs="宋体"/>
                <w:kern w:val="2"/>
                <w:sz w:val="24"/>
                <w:szCs w:val="24"/>
                <w:lang w:bidi="ar"/>
              </w:rPr>
              <w:t>（1）安排合理的，内容覆盖全面，针对性强的得</w:t>
            </w:r>
            <w:r>
              <w:rPr>
                <w:rFonts w:hint="eastAsia" w:hAnsi="宋体" w:cs="宋体"/>
                <w:kern w:val="2"/>
                <w:sz w:val="24"/>
                <w:szCs w:val="24"/>
                <w:lang w:val="en-US" w:eastAsia="zh-CN" w:bidi="ar"/>
              </w:rPr>
              <w:t>10</w:t>
            </w:r>
            <w:r>
              <w:rPr>
                <w:rFonts w:hint="eastAsia" w:hAnsi="宋体" w:cs="宋体"/>
                <w:kern w:val="2"/>
                <w:sz w:val="24"/>
                <w:szCs w:val="24"/>
                <w:lang w:bidi="ar"/>
              </w:rPr>
              <w:t>-1</w:t>
            </w:r>
            <w:r>
              <w:rPr>
                <w:rFonts w:hint="eastAsia" w:hAnsi="宋体" w:cs="宋体"/>
                <w:kern w:val="2"/>
                <w:sz w:val="24"/>
                <w:szCs w:val="24"/>
                <w:lang w:val="en-US" w:eastAsia="zh-CN" w:bidi="ar"/>
              </w:rPr>
              <w:t>2</w:t>
            </w:r>
            <w:r>
              <w:rPr>
                <w:rFonts w:hint="eastAsia" w:hAnsi="宋体" w:cs="宋体"/>
                <w:kern w:val="2"/>
                <w:sz w:val="24"/>
                <w:szCs w:val="24"/>
                <w:lang w:bidi="ar"/>
              </w:rPr>
              <w:t>分；</w:t>
            </w:r>
          </w:p>
          <w:p>
            <w:pPr>
              <w:spacing w:line="440" w:lineRule="exact"/>
              <w:rPr>
                <w:rFonts w:hAnsi="宋体" w:cs="宋体"/>
                <w:kern w:val="2"/>
                <w:sz w:val="24"/>
                <w:szCs w:val="24"/>
              </w:rPr>
            </w:pPr>
            <w:r>
              <w:rPr>
                <w:rFonts w:hint="eastAsia" w:hAnsi="宋体" w:cs="宋体"/>
                <w:kern w:val="2"/>
                <w:sz w:val="24"/>
                <w:szCs w:val="24"/>
                <w:lang w:bidi="ar"/>
              </w:rPr>
              <w:t>（2）安排较为合理，内容覆盖较为全面，针对性较强的得</w:t>
            </w:r>
            <w:r>
              <w:rPr>
                <w:rFonts w:hint="eastAsia" w:hAnsi="宋体" w:cs="宋体"/>
                <w:kern w:val="2"/>
                <w:sz w:val="24"/>
                <w:szCs w:val="24"/>
                <w:lang w:val="en-US" w:eastAsia="zh-CN" w:bidi="ar"/>
              </w:rPr>
              <w:t>6</w:t>
            </w:r>
            <w:r>
              <w:rPr>
                <w:rFonts w:hint="eastAsia" w:hAnsi="宋体" w:cs="宋体"/>
                <w:kern w:val="2"/>
                <w:sz w:val="24"/>
                <w:szCs w:val="24"/>
                <w:lang w:bidi="ar"/>
              </w:rPr>
              <w:t>-</w:t>
            </w:r>
            <w:r>
              <w:rPr>
                <w:rFonts w:hint="eastAsia" w:hAnsi="宋体" w:cs="宋体"/>
                <w:kern w:val="2"/>
                <w:sz w:val="24"/>
                <w:szCs w:val="24"/>
                <w:lang w:val="en-US" w:eastAsia="zh-CN" w:bidi="ar"/>
              </w:rPr>
              <w:t>9</w:t>
            </w:r>
            <w:r>
              <w:rPr>
                <w:rFonts w:hint="eastAsia" w:hAnsi="宋体" w:cs="宋体"/>
                <w:kern w:val="2"/>
                <w:sz w:val="24"/>
                <w:szCs w:val="24"/>
                <w:lang w:bidi="ar"/>
              </w:rPr>
              <w:t>分；</w:t>
            </w:r>
          </w:p>
          <w:p>
            <w:pPr>
              <w:spacing w:line="440" w:lineRule="exact"/>
              <w:rPr>
                <w:rFonts w:hAnsi="宋体" w:cs="宋体"/>
                <w:kern w:val="2"/>
                <w:sz w:val="24"/>
                <w:szCs w:val="24"/>
              </w:rPr>
            </w:pPr>
            <w:r>
              <w:rPr>
                <w:rFonts w:hint="eastAsia" w:hAnsi="宋体" w:cs="宋体"/>
                <w:kern w:val="2"/>
                <w:sz w:val="24"/>
                <w:szCs w:val="24"/>
                <w:lang w:bidi="ar"/>
              </w:rPr>
              <w:t>（3）基本能够满足项目需求，细节有待完善的得</w:t>
            </w:r>
            <w:r>
              <w:rPr>
                <w:rFonts w:hint="eastAsia" w:hAnsi="宋体" w:cs="宋体"/>
                <w:kern w:val="2"/>
                <w:sz w:val="24"/>
                <w:szCs w:val="24"/>
                <w:lang w:val="en-US" w:eastAsia="zh-CN" w:bidi="ar"/>
              </w:rPr>
              <w:t>2</w:t>
            </w:r>
            <w:r>
              <w:rPr>
                <w:rFonts w:hint="eastAsia" w:hAnsi="宋体" w:cs="宋体"/>
                <w:kern w:val="2"/>
                <w:sz w:val="24"/>
                <w:szCs w:val="24"/>
                <w:lang w:bidi="ar"/>
              </w:rPr>
              <w:t>-</w:t>
            </w:r>
            <w:r>
              <w:rPr>
                <w:rFonts w:hint="eastAsia" w:hAnsi="宋体" w:cs="宋体"/>
                <w:kern w:val="2"/>
                <w:sz w:val="24"/>
                <w:szCs w:val="24"/>
                <w:lang w:val="en-US" w:eastAsia="zh-CN" w:bidi="ar"/>
              </w:rPr>
              <w:t>5</w:t>
            </w:r>
            <w:r>
              <w:rPr>
                <w:rFonts w:hint="eastAsia" w:hAnsi="宋体" w:cs="宋体"/>
                <w:kern w:val="2"/>
                <w:sz w:val="24"/>
                <w:szCs w:val="24"/>
                <w:lang w:bidi="ar"/>
              </w:rPr>
              <w:t>分；</w:t>
            </w:r>
          </w:p>
          <w:p>
            <w:pPr>
              <w:spacing w:line="440" w:lineRule="exact"/>
              <w:rPr>
                <w:rFonts w:hAnsi="宋体" w:cs="宋体"/>
                <w:kern w:val="2"/>
                <w:sz w:val="24"/>
                <w:szCs w:val="24"/>
              </w:rPr>
            </w:pPr>
            <w:r>
              <w:rPr>
                <w:rFonts w:hint="eastAsia" w:hAnsi="宋体" w:cs="宋体"/>
                <w:kern w:val="2"/>
                <w:sz w:val="24"/>
                <w:szCs w:val="24"/>
                <w:lang w:bidi="ar"/>
              </w:rPr>
              <w:t>（4）差或未提供不得分。</w:t>
            </w:r>
          </w:p>
        </w:tc>
        <w:tc>
          <w:tcPr>
            <w:tcW w:w="1066" w:type="dxa"/>
            <w:tcBorders>
              <w:top w:val="nil"/>
              <w:left w:val="single" w:color="auto" w:sz="4" w:space="0"/>
              <w:bottom w:val="single" w:color="auto" w:sz="4" w:space="0"/>
              <w:right w:val="single" w:color="auto" w:sz="4" w:space="0"/>
            </w:tcBorders>
            <w:shd w:val="clear" w:color="auto" w:fill="auto"/>
            <w:vAlign w:val="center"/>
          </w:tcPr>
          <w:p>
            <w:pPr>
              <w:pStyle w:val="45"/>
              <w:widowControl/>
              <w:spacing w:line="400" w:lineRule="exact"/>
              <w:jc w:val="center"/>
              <w:rPr>
                <w:rFonts w:ascii="宋体" w:hAnsi="宋体" w:cs="宋体"/>
                <w:b/>
                <w:bCs/>
                <w:sz w:val="24"/>
                <w:szCs w:val="24"/>
              </w:rPr>
            </w:pPr>
            <w:r>
              <w:rPr>
                <w:rFonts w:hint="eastAsia" w:ascii="宋体" w:hAnsi="宋体" w:cs="宋体"/>
                <w:b/>
                <w:bCs/>
                <w:sz w:val="24"/>
                <w:szCs w:val="24"/>
              </w:rPr>
              <w:t>0-1</w:t>
            </w:r>
            <w:r>
              <w:rPr>
                <w:rFonts w:hint="eastAsia" w:ascii="宋体" w:hAnsi="宋体" w:cs="宋体"/>
                <w:b/>
                <w:bCs/>
                <w:sz w:val="24"/>
                <w:szCs w:val="24"/>
                <w:lang w:val="en-US" w:eastAsia="zh-CN"/>
              </w:rPr>
              <w:t>2</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936" w:type="dxa"/>
            <w:vMerge w:val="continue"/>
            <w:tcBorders>
              <w:left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1581" w:type="dxa"/>
            <w:tcBorders>
              <w:top w:val="nil"/>
              <w:left w:val="single" w:color="auto" w:sz="4" w:space="0"/>
              <w:bottom w:val="single" w:color="auto" w:sz="4" w:space="0"/>
              <w:right w:val="single" w:color="auto" w:sz="4" w:space="0"/>
            </w:tcBorders>
            <w:shd w:val="clear" w:color="auto" w:fill="auto"/>
            <w:vAlign w:val="center"/>
          </w:tcPr>
          <w:p>
            <w:pPr>
              <w:pStyle w:val="45"/>
              <w:widowControl/>
              <w:spacing w:line="400" w:lineRule="exact"/>
              <w:jc w:val="center"/>
              <w:rPr>
                <w:rFonts w:ascii="宋体" w:hAnsi="宋体" w:cs="宋体"/>
                <w:sz w:val="24"/>
                <w:szCs w:val="24"/>
              </w:rPr>
            </w:pPr>
            <w:r>
              <w:rPr>
                <w:rFonts w:hint="eastAsia" w:ascii="宋体" w:hAnsi="宋体" w:cs="宋体"/>
                <w:sz w:val="24"/>
                <w:szCs w:val="24"/>
              </w:rPr>
              <w:t>供应商业绩</w:t>
            </w:r>
          </w:p>
        </w:tc>
        <w:tc>
          <w:tcPr>
            <w:tcW w:w="70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int="eastAsia" w:hAnsi="宋体" w:cs="宋体"/>
                <w:kern w:val="2"/>
                <w:sz w:val="24"/>
                <w:szCs w:val="24"/>
                <w:lang w:bidi="ar"/>
              </w:rPr>
            </w:pPr>
            <w:r>
              <w:rPr>
                <w:rFonts w:hint="eastAsia" w:hAnsi="宋体" w:cs="宋体"/>
                <w:kern w:val="2"/>
                <w:sz w:val="24"/>
                <w:szCs w:val="24"/>
                <w:lang w:bidi="ar"/>
              </w:rPr>
              <w:t>提供自2023年1月1日起至本项目投标截止日止期间内签订的业绩合同：</w:t>
            </w:r>
          </w:p>
          <w:p>
            <w:pPr>
              <w:spacing w:line="440" w:lineRule="exact"/>
              <w:rPr>
                <w:rFonts w:hAnsi="宋体" w:cs="宋体"/>
                <w:kern w:val="2"/>
                <w:sz w:val="24"/>
                <w:szCs w:val="24"/>
                <w:lang w:bidi="ar"/>
              </w:rPr>
            </w:pPr>
            <w:r>
              <w:rPr>
                <w:rFonts w:ascii="Segoe UI" w:hAnsi="Segoe UI" w:eastAsia="Segoe UI" w:cs="Segoe UI"/>
                <w:i w:val="0"/>
                <w:iCs w:val="0"/>
                <w:caps w:val="0"/>
                <w:color w:val="0F1115"/>
                <w:spacing w:val="0"/>
                <w:sz w:val="24"/>
                <w:szCs w:val="24"/>
                <w:shd w:val="clear" w:fill="FFFFFF"/>
              </w:rPr>
              <w:t>（1）具有</w:t>
            </w:r>
            <w:r>
              <w:rPr>
                <w:rStyle w:val="23"/>
                <w:rFonts w:hint="default" w:ascii="Segoe UI" w:hAnsi="Segoe UI" w:eastAsia="Segoe UI" w:cs="Segoe UI"/>
                <w:b/>
                <w:bCs/>
                <w:i w:val="0"/>
                <w:iCs w:val="0"/>
                <w:caps w:val="0"/>
                <w:color w:val="0F1115"/>
                <w:spacing w:val="0"/>
                <w:sz w:val="24"/>
                <w:szCs w:val="24"/>
                <w:shd w:val="clear" w:fill="FFFFFF"/>
              </w:rPr>
              <w:t>中央或国家级</w:t>
            </w:r>
            <w:r>
              <w:rPr>
                <w:rFonts w:hint="default" w:ascii="Segoe UI" w:hAnsi="Segoe UI" w:eastAsia="Segoe UI" w:cs="Segoe UI"/>
                <w:i w:val="0"/>
                <w:iCs w:val="0"/>
                <w:caps w:val="0"/>
                <w:color w:val="0F1115"/>
                <w:spacing w:val="0"/>
                <w:sz w:val="24"/>
                <w:szCs w:val="24"/>
                <w:shd w:val="clear" w:fill="FFFFFF"/>
              </w:rPr>
              <w:t>国有单位培训业绩的，一个业绩得4分，最多得8分；</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（2）具有</w:t>
            </w:r>
            <w:r>
              <w:rPr>
                <w:rStyle w:val="23"/>
                <w:rFonts w:hint="default" w:ascii="Segoe UI" w:hAnsi="Segoe UI" w:eastAsia="Segoe UI" w:cs="Segoe UI"/>
                <w:b/>
                <w:bCs/>
                <w:i w:val="0"/>
                <w:iCs w:val="0"/>
                <w:caps w:val="0"/>
                <w:color w:val="0F1115"/>
                <w:spacing w:val="0"/>
                <w:sz w:val="24"/>
                <w:szCs w:val="24"/>
                <w:shd w:val="clear" w:fill="FFFFFF"/>
              </w:rPr>
              <w:t>省级</w:t>
            </w:r>
            <w:r>
              <w:rPr>
                <w:rFonts w:hint="default" w:ascii="Segoe UI" w:hAnsi="Segoe UI" w:eastAsia="Segoe UI" w:cs="Segoe UI"/>
                <w:i w:val="0"/>
                <w:iCs w:val="0"/>
                <w:caps w:val="0"/>
                <w:color w:val="0F1115"/>
                <w:spacing w:val="0"/>
                <w:sz w:val="24"/>
                <w:szCs w:val="24"/>
                <w:shd w:val="clear" w:fill="FFFFFF"/>
              </w:rPr>
              <w:t>国有单位培训业绩的，一个业绩得3分，最多得6分；</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（3）具有</w:t>
            </w:r>
            <w:r>
              <w:rPr>
                <w:rStyle w:val="23"/>
                <w:rFonts w:hint="default" w:ascii="Segoe UI" w:hAnsi="Segoe UI" w:eastAsia="Segoe UI" w:cs="Segoe UI"/>
                <w:b/>
                <w:bCs/>
                <w:i w:val="0"/>
                <w:iCs w:val="0"/>
                <w:caps w:val="0"/>
                <w:color w:val="0F1115"/>
                <w:spacing w:val="0"/>
                <w:sz w:val="24"/>
                <w:szCs w:val="24"/>
                <w:shd w:val="clear" w:fill="FFFFFF"/>
              </w:rPr>
              <w:t>市级</w:t>
            </w:r>
            <w:r>
              <w:rPr>
                <w:rFonts w:hint="default" w:ascii="Segoe UI" w:hAnsi="Segoe UI" w:eastAsia="Segoe UI" w:cs="Segoe UI"/>
                <w:i w:val="0"/>
                <w:iCs w:val="0"/>
                <w:caps w:val="0"/>
                <w:color w:val="0F1115"/>
                <w:spacing w:val="0"/>
                <w:sz w:val="24"/>
                <w:szCs w:val="24"/>
                <w:shd w:val="clear" w:fill="FFFFFF"/>
              </w:rPr>
              <w:t>（含副省级城市）国有单位或政府培训业绩的，一个业绩得2分，最多得4分。</w:t>
            </w:r>
          </w:p>
          <w:p>
            <w:pPr>
              <w:spacing w:line="440" w:lineRule="exact"/>
              <w:rPr>
                <w:rFonts w:hAnsi="宋体" w:cs="宋体"/>
                <w:kern w:val="2"/>
                <w:sz w:val="24"/>
                <w:szCs w:val="24"/>
                <w:lang w:bidi="ar"/>
              </w:rPr>
            </w:pPr>
            <w:r>
              <w:rPr>
                <w:rFonts w:hint="eastAsia" w:hAnsi="宋体" w:cs="宋体"/>
                <w:kern w:val="2"/>
                <w:sz w:val="24"/>
                <w:szCs w:val="24"/>
                <w:lang w:bidi="ar"/>
              </w:rPr>
              <w:t>（</w:t>
            </w:r>
            <w:r>
              <w:rPr>
                <w:rFonts w:hint="eastAsia" w:hAnsi="宋体" w:cs="宋体"/>
                <w:kern w:val="2"/>
                <w:sz w:val="24"/>
                <w:szCs w:val="24"/>
                <w:lang w:val="en-US" w:eastAsia="zh-CN" w:bidi="ar"/>
              </w:rPr>
              <w:t>4</w:t>
            </w:r>
            <w:r>
              <w:rPr>
                <w:rFonts w:hint="eastAsia" w:hAnsi="宋体" w:cs="宋体"/>
                <w:kern w:val="2"/>
                <w:sz w:val="24"/>
                <w:szCs w:val="24"/>
                <w:lang w:bidi="ar"/>
              </w:rPr>
              <w:t>）没有不得分。</w:t>
            </w:r>
          </w:p>
          <w:p>
            <w:pPr>
              <w:spacing w:line="440" w:lineRule="exact"/>
              <w:rPr>
                <w:rFonts w:hint="eastAsia" w:ascii="黑体" w:hAnsi="黑体" w:eastAsia="黑体" w:cs="黑体"/>
                <w:kern w:val="2"/>
                <w:sz w:val="24"/>
                <w:szCs w:val="24"/>
              </w:rPr>
            </w:pPr>
            <w:r>
              <w:rPr>
                <w:rFonts w:hint="eastAsia" w:ascii="黑体" w:hAnsi="黑体" w:eastAsia="黑体" w:cs="黑体"/>
                <w:kern w:val="2"/>
                <w:sz w:val="24"/>
                <w:szCs w:val="24"/>
                <w:lang w:bidi="ar"/>
              </w:rPr>
              <w:t>评审依据：</w:t>
            </w:r>
          </w:p>
          <w:p>
            <w:pPr>
              <w:spacing w:line="440" w:lineRule="exact"/>
              <w:rPr>
                <w:rFonts w:hint="eastAsia" w:ascii="黑体" w:hAnsi="黑体" w:eastAsia="黑体" w:cs="黑体"/>
                <w:kern w:val="2"/>
                <w:sz w:val="24"/>
                <w:szCs w:val="24"/>
              </w:rPr>
            </w:pPr>
            <w:r>
              <w:rPr>
                <w:rFonts w:hint="eastAsia" w:ascii="黑体" w:hAnsi="黑体" w:eastAsia="黑体" w:cs="黑体"/>
                <w:kern w:val="2"/>
                <w:sz w:val="24"/>
                <w:szCs w:val="24"/>
                <w:lang w:bidi="ar"/>
              </w:rPr>
              <w:t>1、投标文件中须提供业绩合同（或协议）扫描件或复印件，须体现签订时间、项目内容等关键评审要素，否则该业绩不予认可；</w:t>
            </w:r>
          </w:p>
          <w:p>
            <w:pPr>
              <w:spacing w:line="440" w:lineRule="exact"/>
              <w:rPr>
                <w:rFonts w:hint="eastAsia" w:eastAsia="楷体_GB2312"/>
                <w:lang w:val="en-US" w:eastAsia="zh-CN"/>
              </w:rPr>
            </w:pPr>
            <w:r>
              <w:rPr>
                <w:rFonts w:hint="eastAsia" w:ascii="黑体" w:hAnsi="黑体" w:eastAsia="黑体" w:cs="黑体"/>
                <w:kern w:val="2"/>
                <w:sz w:val="24"/>
                <w:szCs w:val="24"/>
                <w:lang w:bidi="ar"/>
              </w:rPr>
              <w:t>2、以上业绩包含正在履约业绩。</w:t>
            </w:r>
          </w:p>
        </w:tc>
        <w:tc>
          <w:tcPr>
            <w:tcW w:w="1066" w:type="dxa"/>
            <w:tcBorders>
              <w:top w:val="nil"/>
              <w:left w:val="single" w:color="auto" w:sz="4" w:space="0"/>
              <w:bottom w:val="single" w:color="auto" w:sz="4" w:space="0"/>
              <w:right w:val="single" w:color="auto" w:sz="4" w:space="0"/>
            </w:tcBorders>
            <w:shd w:val="clear" w:color="auto" w:fill="auto"/>
            <w:vAlign w:val="center"/>
          </w:tcPr>
          <w:p>
            <w:pPr>
              <w:pStyle w:val="45"/>
              <w:widowControl/>
              <w:spacing w:line="400" w:lineRule="exact"/>
              <w:jc w:val="center"/>
              <w:rPr>
                <w:rFonts w:ascii="宋体" w:hAnsi="宋体" w:cs="宋体"/>
                <w:b/>
                <w:bCs/>
                <w:sz w:val="24"/>
                <w:szCs w:val="24"/>
              </w:rPr>
            </w:pPr>
            <w:r>
              <w:rPr>
                <w:rFonts w:hint="eastAsia" w:ascii="宋体" w:hAnsi="宋体" w:cs="宋体"/>
                <w:b/>
                <w:bCs/>
                <w:sz w:val="24"/>
                <w:szCs w:val="24"/>
              </w:rPr>
              <w:t>0-1</w:t>
            </w:r>
            <w:r>
              <w:rPr>
                <w:rFonts w:hint="eastAsia" w:ascii="宋体" w:hAnsi="宋体" w:cs="宋体"/>
                <w:b/>
                <w:bCs/>
                <w:sz w:val="24"/>
                <w:szCs w:val="24"/>
                <w:lang w:val="en-US" w:eastAsia="zh-CN"/>
              </w:rPr>
              <w:t>8</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7" w:hRule="atLeast"/>
          <w:jc w:val="center"/>
        </w:trPr>
        <w:tc>
          <w:tcPr>
            <w:tcW w:w="936" w:type="dxa"/>
            <w:vMerge w:val="continue"/>
            <w:tcBorders>
              <w:left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atLeast"/>
              <w:rPr>
                <w:rFonts w:hAnsi="宋体" w:cs="宋体"/>
                <w:sz w:val="24"/>
                <w:szCs w:val="24"/>
              </w:rPr>
            </w:pPr>
            <w:r>
              <w:rPr>
                <w:rFonts w:hint="eastAsia" w:hAnsi="宋体" w:cs="宋体"/>
                <w:sz w:val="24"/>
                <w:szCs w:val="24"/>
              </w:rPr>
              <w:t>供应商讲师、项目服务人员配备及综合实力</w:t>
            </w:r>
          </w:p>
        </w:tc>
        <w:tc>
          <w:tcPr>
            <w:tcW w:w="70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int="eastAsia" w:hAnsi="宋体" w:cs="宋体"/>
                <w:color w:val="000000"/>
                <w:sz w:val="24"/>
                <w:szCs w:val="24"/>
                <w:lang w:eastAsia="zh-CN"/>
              </w:rPr>
            </w:pPr>
            <w:r>
              <w:rPr>
                <w:rFonts w:hint="eastAsia" w:hAnsi="宋体" w:cs="宋体"/>
                <w:color w:val="000000"/>
                <w:sz w:val="24"/>
                <w:szCs w:val="24"/>
              </w:rPr>
              <w:t>根据项目需求提供具有丰富培训经验和实践经验的老师进行授课，根据投标单位提供的培训师资配备情况：</w:t>
            </w:r>
          </w:p>
          <w:p>
            <w:pPr>
              <w:spacing w:line="440" w:lineRule="exact"/>
              <w:rPr>
                <w:rFonts w:hint="eastAsia" w:hAnsi="宋体" w:cs="宋体"/>
                <w:color w:val="000000"/>
                <w:sz w:val="24"/>
                <w:szCs w:val="24"/>
                <w:lang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hAnsi="宋体" w:cs="宋体"/>
                <w:color w:val="000000"/>
                <w:sz w:val="24"/>
                <w:szCs w:val="24"/>
                <w:lang w:eastAsia="zh-CN"/>
              </w:rPr>
              <w:t>具备</w:t>
            </w:r>
            <w:r>
              <w:rPr>
                <w:rFonts w:ascii="Segoe UI" w:hAnsi="Segoe UI" w:eastAsia="Segoe UI" w:cs="Segoe UI"/>
                <w:i w:val="0"/>
                <w:iCs w:val="0"/>
                <w:caps w:val="0"/>
                <w:color w:val="0F1115"/>
                <w:spacing w:val="0"/>
                <w:sz w:val="24"/>
                <w:szCs w:val="24"/>
                <w:shd w:val="clear" w:fill="FFFFFF"/>
              </w:rPr>
              <w:t>与此次授课内容相关</w:t>
            </w:r>
            <w:r>
              <w:rPr>
                <w:rFonts w:hint="eastAsia" w:hAnsi="宋体" w:cs="宋体"/>
                <w:color w:val="000000"/>
                <w:sz w:val="24"/>
                <w:szCs w:val="24"/>
                <w:lang w:eastAsia="zh-CN"/>
              </w:rPr>
              <w:t>‘全国知名专家’资格的，每人得5分；</w:t>
            </w:r>
          </w:p>
          <w:p>
            <w:pPr>
              <w:spacing w:line="440" w:lineRule="exact"/>
              <w:rPr>
                <w:rFonts w:hint="eastAsia" w:hAnsi="宋体" w:cs="宋体"/>
                <w:color w:val="000000"/>
                <w:sz w:val="24"/>
                <w:szCs w:val="24"/>
                <w:lang w:eastAsia="zh-CN"/>
              </w:rPr>
            </w:pPr>
            <w:r>
              <w:rPr>
                <w:rFonts w:hint="eastAsia" w:hAnsi="宋体" w:cs="宋体"/>
                <w:color w:val="000000"/>
                <w:sz w:val="24"/>
                <w:szCs w:val="24"/>
                <w:lang w:eastAsia="zh-CN"/>
              </w:rPr>
              <w:t>不具备上述资格，但具备正高级技术职称的，每人得4分；</w:t>
            </w:r>
          </w:p>
          <w:p>
            <w:pPr>
              <w:spacing w:line="440" w:lineRule="exact"/>
              <w:rPr>
                <w:rFonts w:hint="eastAsia" w:hAnsi="宋体" w:cs="宋体"/>
                <w:color w:val="000000"/>
                <w:sz w:val="24"/>
                <w:szCs w:val="24"/>
                <w:lang w:eastAsia="zh-CN"/>
              </w:rPr>
            </w:pPr>
            <w:r>
              <w:rPr>
                <w:rFonts w:hint="eastAsia" w:hAnsi="宋体" w:cs="宋体"/>
                <w:color w:val="000000"/>
                <w:sz w:val="24"/>
                <w:szCs w:val="24"/>
                <w:lang w:eastAsia="zh-CN"/>
              </w:rPr>
              <w:t>不具备上述资格，但具备副高级技术职称的，每人得3分；</w:t>
            </w:r>
          </w:p>
          <w:p>
            <w:pPr>
              <w:spacing w:line="440" w:lineRule="exact"/>
              <w:rPr>
                <w:rFonts w:hint="eastAsia" w:hAnsi="宋体" w:cs="宋体"/>
                <w:color w:val="000000"/>
                <w:sz w:val="24"/>
                <w:szCs w:val="24"/>
                <w:lang w:eastAsia="zh-CN"/>
              </w:rPr>
            </w:pPr>
            <w:r>
              <w:rPr>
                <w:rFonts w:hint="eastAsia" w:hAnsi="宋体" w:cs="宋体"/>
                <w:color w:val="000000"/>
                <w:sz w:val="24"/>
                <w:szCs w:val="24"/>
                <w:lang w:eastAsia="zh-CN"/>
              </w:rPr>
              <w:t>其他专业人员，每人得2分。</w:t>
            </w:r>
            <w:r>
              <w:rPr>
                <w:rFonts w:hint="eastAsia" w:hAnsi="宋体" w:cs="宋体"/>
                <w:color w:val="000000"/>
                <w:sz w:val="24"/>
                <w:szCs w:val="24"/>
                <w:lang w:eastAsia="zh-CN"/>
              </w:rPr>
              <w:br w:type="textWrapping"/>
            </w:r>
            <w:r>
              <w:rPr>
                <w:rFonts w:hint="eastAsia" w:hAnsi="宋体" w:cs="宋体"/>
                <w:color w:val="000000"/>
                <w:sz w:val="24"/>
                <w:szCs w:val="24"/>
                <w:lang w:eastAsia="zh-CN"/>
              </w:rPr>
              <w:t>未提供不得分，本项累计最高得10分。</w:t>
            </w:r>
          </w:p>
          <w:p>
            <w:pPr>
              <w:spacing w:line="440" w:lineRule="exact"/>
              <w:rPr>
                <w:rFonts w:hAnsi="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全国知名专家需为</w:t>
            </w:r>
            <w:r>
              <w:rPr>
                <w:rFonts w:ascii="Segoe UI" w:hAnsi="Segoe UI" w:eastAsia="Segoe UI" w:cs="Segoe UI"/>
                <w:i w:val="0"/>
                <w:iCs w:val="0"/>
                <w:caps w:val="0"/>
                <w:color w:val="0F1115"/>
                <w:spacing w:val="0"/>
                <w:sz w:val="24"/>
                <w:szCs w:val="24"/>
                <w:shd w:val="clear" w:fill="FFFFFF"/>
              </w:rPr>
              <w:t>国家级专家库成员、获国家级荣誉、曾在央视/国家级媒体授课等。</w:t>
            </w:r>
            <w:r>
              <w:rPr>
                <w:rFonts w:hint="eastAsia" w:hAnsi="宋体" w:cs="宋体"/>
                <w:color w:val="000000"/>
                <w:sz w:val="24"/>
                <w:szCs w:val="24"/>
                <w:lang w:eastAsia="zh-CN"/>
              </w:rPr>
              <w:t>）</w:t>
            </w:r>
          </w:p>
          <w:p>
            <w:pPr>
              <w:pStyle w:val="19"/>
              <w:spacing w:line="440" w:lineRule="exact"/>
              <w:ind w:left="0" w:leftChars="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（2）项目服务</w:t>
            </w:r>
            <w:r>
              <w:rPr>
                <w:rFonts w:hint="eastAsia" w:ascii="宋体" w:hAnsi="宋体" w:eastAsia="宋体" w:cs="宋体"/>
                <w:color w:val="000000"/>
                <w:sz w:val="24"/>
                <w:szCs w:val="24"/>
                <w:lang w:val="en-US" w:eastAsia="zh-CN"/>
              </w:rPr>
              <w:t>团队</w:t>
            </w:r>
            <w:r>
              <w:rPr>
                <w:rFonts w:hint="eastAsia" w:ascii="宋体" w:hAnsi="宋体" w:eastAsia="宋体" w:cs="宋体"/>
                <w:color w:val="000000"/>
                <w:sz w:val="24"/>
                <w:szCs w:val="24"/>
              </w:rPr>
              <w:t>人员拥有人力资源管理师一级证书，加</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分，二级证书，加1分，没有证书的不加分，最高加5分（同一人具有的证书不重复加分，均按1项加分 。）</w:t>
            </w:r>
          </w:p>
          <w:p>
            <w:pPr>
              <w:pStyle w:val="19"/>
              <w:spacing w:line="440" w:lineRule="exact"/>
              <w:ind w:left="0" w:leftChars="0" w:firstLine="0" w:firstLineChars="0"/>
              <w:rPr>
                <w:rFonts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lang w:bidi="ar"/>
              </w:rPr>
              <w:t>获得</w:t>
            </w:r>
            <w:r>
              <w:rPr>
                <w:rFonts w:hint="eastAsia" w:ascii="宋体" w:hAnsi="宋体" w:eastAsia="宋体" w:cs="宋体"/>
                <w:sz w:val="24"/>
                <w:szCs w:val="24"/>
                <w:lang w:val="en-US" w:eastAsia="zh-CN" w:bidi="ar"/>
              </w:rPr>
              <w:t>市级及以上</w:t>
            </w:r>
            <w:r>
              <w:rPr>
                <w:rFonts w:hint="eastAsia" w:ascii="宋体" w:hAnsi="宋体" w:eastAsia="宋体" w:cs="宋体"/>
                <w:sz w:val="24"/>
                <w:szCs w:val="24"/>
                <w:lang w:bidi="ar"/>
              </w:rPr>
              <w:t>有关部门颁发的企业人才培训基地称号的，得5分。</w:t>
            </w:r>
          </w:p>
          <w:p>
            <w:pPr>
              <w:spacing w:line="440" w:lineRule="exact"/>
              <w:rPr>
                <w:rFonts w:hint="eastAsia" w:ascii="黑体" w:hAnsi="黑体" w:eastAsia="黑体" w:cs="黑体"/>
                <w:color w:val="000000"/>
                <w:sz w:val="24"/>
                <w:szCs w:val="24"/>
              </w:rPr>
            </w:pPr>
            <w:r>
              <w:rPr>
                <w:rFonts w:hint="eastAsia" w:ascii="黑体" w:hAnsi="黑体" w:eastAsia="黑体" w:cs="黑体"/>
                <w:color w:val="000000"/>
                <w:sz w:val="24"/>
                <w:szCs w:val="24"/>
              </w:rPr>
              <w:t>评审依据：</w:t>
            </w:r>
          </w:p>
          <w:p>
            <w:pPr>
              <w:spacing w:line="440" w:lineRule="exact"/>
              <w:rPr>
                <w:rFonts w:hint="eastAsia" w:ascii="黑体" w:hAnsi="黑体" w:eastAsia="黑体" w:cs="黑体"/>
                <w:color w:val="000000"/>
                <w:sz w:val="24"/>
                <w:szCs w:val="24"/>
              </w:rPr>
            </w:pPr>
            <w:r>
              <w:rPr>
                <w:rFonts w:hint="eastAsia" w:ascii="黑体" w:hAnsi="黑体" w:eastAsia="黑体" w:cs="黑体"/>
                <w:color w:val="000000"/>
                <w:sz w:val="24"/>
                <w:szCs w:val="24"/>
              </w:rPr>
              <w:t>1、</w:t>
            </w:r>
            <w:r>
              <w:rPr>
                <w:rFonts w:hint="eastAsia" w:ascii="黑体" w:hAnsi="黑体" w:eastAsia="黑体" w:cs="黑体"/>
                <w:sz w:val="24"/>
                <w:szCs w:val="24"/>
              </w:rPr>
              <w:t>提供讲师相应</w:t>
            </w:r>
            <w:r>
              <w:rPr>
                <w:rFonts w:hint="eastAsia" w:ascii="黑体" w:hAnsi="黑体" w:eastAsia="黑体" w:cs="黑体"/>
                <w:color w:val="000000"/>
                <w:sz w:val="24"/>
                <w:szCs w:val="24"/>
              </w:rPr>
              <w:t>资格证书扫描件或复印件，未提供的不得分。</w:t>
            </w:r>
          </w:p>
          <w:p>
            <w:pPr>
              <w:spacing w:line="440" w:lineRule="exact"/>
              <w:rPr>
                <w:rFonts w:hint="eastAsia" w:ascii="黑体" w:hAnsi="黑体" w:eastAsia="黑体" w:cs="黑体"/>
                <w:color w:val="000000"/>
                <w:sz w:val="24"/>
                <w:szCs w:val="24"/>
              </w:rPr>
            </w:pPr>
            <w:r>
              <w:rPr>
                <w:rFonts w:hint="eastAsia" w:ascii="黑体" w:hAnsi="黑体" w:eastAsia="黑体" w:cs="黑体"/>
                <w:color w:val="000000"/>
                <w:sz w:val="24"/>
                <w:szCs w:val="24"/>
              </w:rPr>
              <w:t>2、提供培训师资配备人员一致性承诺书，加盖公章。</w:t>
            </w:r>
          </w:p>
          <w:p>
            <w:pPr>
              <w:pStyle w:val="19"/>
              <w:spacing w:line="44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3、提供服务</w:t>
            </w:r>
            <w:r>
              <w:rPr>
                <w:rFonts w:hint="eastAsia" w:ascii="黑体" w:hAnsi="黑体" w:eastAsia="黑体" w:cs="黑体"/>
                <w:sz w:val="24"/>
                <w:szCs w:val="24"/>
                <w:lang w:val="en-US" w:eastAsia="zh-CN"/>
              </w:rPr>
              <w:t>团队</w:t>
            </w:r>
            <w:r>
              <w:rPr>
                <w:rFonts w:hint="eastAsia" w:ascii="黑体" w:hAnsi="黑体" w:eastAsia="黑体" w:cs="黑体"/>
                <w:sz w:val="24"/>
                <w:szCs w:val="24"/>
              </w:rPr>
              <w:t>人员名单（格式自拟）及投标人为服务人员缴纳的近6个月内的社保证明材料；</w:t>
            </w:r>
          </w:p>
          <w:p>
            <w:pPr>
              <w:pStyle w:val="19"/>
              <w:spacing w:line="440" w:lineRule="exact"/>
              <w:ind w:left="0" w:leftChars="0" w:firstLine="0" w:firstLineChars="0"/>
              <w:rPr>
                <w:rFonts w:hint="eastAsia" w:ascii="黑体" w:hAnsi="黑体" w:eastAsia="黑体" w:cs="黑体"/>
                <w:sz w:val="24"/>
                <w:szCs w:val="24"/>
                <w:lang w:bidi="ar"/>
              </w:rPr>
            </w:pPr>
            <w:r>
              <w:rPr>
                <w:rFonts w:hint="eastAsia" w:ascii="黑体" w:hAnsi="黑体" w:eastAsia="黑体" w:cs="黑体"/>
                <w:sz w:val="24"/>
                <w:szCs w:val="24"/>
                <w:lang w:bidi="ar"/>
              </w:rPr>
              <w:t>4、提供供应商获评文件批复、网上公示截图（具有其中之一即可）等证明材料。以上材料提供扫描件，须能体现供应商名称，如无法体现，须另附颁发单位的相关证明材料，未提供或提供不全的不得分。</w:t>
            </w:r>
          </w:p>
          <w:p>
            <w:pPr>
              <w:pStyle w:val="19"/>
              <w:spacing w:line="440" w:lineRule="exact"/>
              <w:ind w:left="0" w:leftChars="0" w:firstLine="0" w:firstLineChars="0"/>
              <w:rPr>
                <w:rFonts w:hint="eastAsia" w:ascii="黑体" w:hAnsi="黑体" w:eastAsia="黑体" w:cs="黑体"/>
                <w:i w:val="0"/>
                <w:iCs w:val="0"/>
                <w:caps w:val="0"/>
                <w:color w:val="0F1115"/>
                <w:spacing w:val="0"/>
                <w:sz w:val="24"/>
                <w:szCs w:val="24"/>
                <w:shd w:val="clear" w:fill="FFFFFF"/>
              </w:rPr>
            </w:pPr>
            <w:r>
              <w:rPr>
                <w:rFonts w:hint="eastAsia" w:ascii="黑体" w:hAnsi="黑体" w:eastAsia="黑体" w:cs="黑体"/>
                <w:sz w:val="24"/>
                <w:szCs w:val="24"/>
                <w:lang w:val="en-US" w:eastAsia="zh-CN" w:bidi="ar"/>
              </w:rPr>
              <w:t>5、</w:t>
            </w:r>
            <w:r>
              <w:rPr>
                <w:rFonts w:hint="eastAsia" w:ascii="黑体" w:hAnsi="黑体" w:eastAsia="黑体" w:cs="黑体"/>
                <w:i w:val="0"/>
                <w:iCs w:val="0"/>
                <w:caps w:val="0"/>
                <w:color w:val="0F1115"/>
                <w:spacing w:val="0"/>
                <w:sz w:val="24"/>
                <w:szCs w:val="24"/>
                <w:shd w:val="clear" w:fill="FFFFFF"/>
              </w:rPr>
              <w:t>同一人在不同子项中可累计加分，但同一子项内不重复</w:t>
            </w:r>
            <w:r>
              <w:rPr>
                <w:rFonts w:hint="eastAsia" w:ascii="黑体" w:hAnsi="黑体" w:eastAsia="黑体" w:cs="黑体"/>
                <w:i w:val="0"/>
                <w:iCs w:val="0"/>
                <w:caps w:val="0"/>
                <w:color w:val="0F1115"/>
                <w:spacing w:val="0"/>
                <w:sz w:val="24"/>
                <w:szCs w:val="24"/>
                <w:shd w:val="clear" w:fill="FFFFFF"/>
                <w:lang w:val="en-US" w:eastAsia="zh-CN"/>
              </w:rPr>
              <w:t>得分</w:t>
            </w:r>
            <w:r>
              <w:rPr>
                <w:rFonts w:hint="eastAsia" w:ascii="黑体" w:hAnsi="黑体" w:eastAsia="黑体" w:cs="黑体"/>
                <w:i w:val="0"/>
                <w:iCs w:val="0"/>
                <w:caps w:val="0"/>
                <w:color w:val="0F1115"/>
                <w:spacing w:val="0"/>
                <w:sz w:val="24"/>
                <w:szCs w:val="24"/>
                <w:shd w:val="clear" w:fill="FFFFFF"/>
              </w:rPr>
              <w:t>。</w:t>
            </w:r>
          </w:p>
          <w:p>
            <w:pPr>
              <w:rPr>
                <w:rFonts w:hint="eastAsia" w:eastAsia="宋体"/>
                <w:sz w:val="24"/>
                <w:szCs w:val="24"/>
                <w:lang w:val="en-US" w:eastAsia="zh-CN"/>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widowControl/>
              <w:spacing w:line="400" w:lineRule="exact"/>
              <w:jc w:val="center"/>
              <w:rPr>
                <w:rFonts w:ascii="宋体" w:hAnsi="宋体" w:cs="宋体"/>
                <w:sz w:val="24"/>
                <w:szCs w:val="24"/>
              </w:rPr>
            </w:pPr>
            <w:r>
              <w:rPr>
                <w:rFonts w:hint="eastAsia" w:ascii="宋体" w:hAnsi="宋体" w:cs="宋体"/>
                <w:b/>
                <w:bCs/>
                <w:sz w:val="24"/>
                <w:szCs w:val="24"/>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4"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sz w:val="24"/>
                <w:szCs w:val="24"/>
              </w:rPr>
            </w:pPr>
            <w:r>
              <w:rPr>
                <w:rFonts w:hint="eastAsia" w:hAnsi="宋体" w:cs="宋体"/>
                <w:sz w:val="24"/>
                <w:szCs w:val="24"/>
              </w:rPr>
              <w:t>价格分</w:t>
            </w:r>
          </w:p>
          <w:p>
            <w:pPr>
              <w:jc w:val="center"/>
              <w:rPr>
                <w:rFonts w:hAnsi="宋体" w:cs="宋体"/>
                <w:sz w:val="24"/>
                <w:szCs w:val="24"/>
              </w:rPr>
            </w:pPr>
            <w:r>
              <w:rPr>
                <w:rFonts w:hint="eastAsia" w:hAnsi="宋体" w:cs="宋体"/>
                <w:sz w:val="24"/>
                <w:szCs w:val="24"/>
              </w:rPr>
              <w:t>（30分）</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kern w:val="2"/>
                <w:sz w:val="24"/>
                <w:szCs w:val="24"/>
                <w:lang w:bidi="ar"/>
              </w:rPr>
            </w:pPr>
            <w:r>
              <w:rPr>
                <w:rFonts w:hint="eastAsia" w:hAnsi="宋体" w:cs="宋体"/>
                <w:kern w:val="2"/>
                <w:sz w:val="24"/>
                <w:szCs w:val="24"/>
                <w:lang w:bidi="ar"/>
              </w:rPr>
              <w:t>价格分</w:t>
            </w:r>
          </w:p>
        </w:tc>
        <w:tc>
          <w:tcPr>
            <w:tcW w:w="70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int="eastAsia" w:hAnsi="宋体" w:cs="宋体"/>
                <w:kern w:val="2"/>
                <w:sz w:val="24"/>
                <w:szCs w:val="24"/>
                <w:lang w:val="en-US" w:eastAsia="zh-CN" w:bidi="ar"/>
              </w:rPr>
            </w:pPr>
            <w:r>
              <w:rPr>
                <w:rFonts w:hint="eastAsia" w:hAnsi="宋体" w:cs="宋体"/>
                <w:kern w:val="2"/>
                <w:sz w:val="24"/>
                <w:szCs w:val="24"/>
                <w:lang w:bidi="ar"/>
              </w:rPr>
              <w:t>价格分统一采用</w:t>
            </w:r>
            <w:r>
              <w:rPr>
                <w:rFonts w:hint="eastAsia" w:hAnsi="宋体" w:cs="宋体"/>
                <w:kern w:val="2"/>
                <w:sz w:val="24"/>
                <w:szCs w:val="24"/>
                <w:lang w:val="en-US" w:eastAsia="zh-CN" w:bidi="ar"/>
              </w:rPr>
              <w:t>综合评估法计算</w:t>
            </w:r>
            <w:r>
              <w:rPr>
                <w:rFonts w:hint="eastAsia" w:hAnsi="宋体" w:cs="宋体"/>
                <w:kern w:val="2"/>
                <w:sz w:val="24"/>
                <w:szCs w:val="24"/>
                <w:lang w:bidi="ar"/>
              </w:rPr>
              <w:t>，即满足招标文件要求且所有参评供应商报价的平均价格为</w:t>
            </w:r>
            <w:r>
              <w:rPr>
                <w:rFonts w:hint="eastAsia" w:hAnsi="宋体" w:cs="宋体"/>
                <w:b/>
                <w:bCs/>
                <w:kern w:val="2"/>
                <w:sz w:val="24"/>
                <w:szCs w:val="24"/>
                <w:lang w:bidi="ar"/>
              </w:rPr>
              <w:t>评审基准价</w:t>
            </w:r>
            <w:r>
              <w:rPr>
                <w:rFonts w:hint="eastAsia" w:hAnsi="宋体" w:cs="宋体"/>
                <w:kern w:val="2"/>
                <w:sz w:val="24"/>
                <w:szCs w:val="24"/>
                <w:lang w:val="en-US" w:eastAsia="zh-CN" w:bidi="ar"/>
              </w:rPr>
              <w:t>:</w:t>
            </w:r>
          </w:p>
          <w:p>
            <w:pPr>
              <w:spacing w:line="440" w:lineRule="exact"/>
              <w:rPr>
                <w:rFonts w:hint="eastAsia" w:hAnsi="宋体" w:cs="宋体"/>
                <w:b/>
                <w:bCs/>
                <w:kern w:val="2"/>
                <w:sz w:val="24"/>
                <w:szCs w:val="24"/>
                <w:lang w:val="en-US" w:eastAsia="zh-CN" w:bidi="ar"/>
              </w:rPr>
            </w:pPr>
            <w:r>
              <w:rPr>
                <w:rFonts w:hint="eastAsia" w:hAnsi="宋体" w:cs="宋体"/>
                <w:b/>
                <w:bCs/>
                <w:kern w:val="2"/>
                <w:sz w:val="24"/>
                <w:szCs w:val="24"/>
                <w:lang w:val="en-US" w:eastAsia="zh-CN" w:bidi="ar"/>
              </w:rPr>
              <w:t>评标价得分计算</w:t>
            </w:r>
          </w:p>
          <w:p>
            <w:pPr>
              <w:spacing w:line="440" w:lineRule="exact"/>
              <w:rPr>
                <w:rFonts w:hint="eastAsia" w:hAnsi="宋体" w:cs="宋体"/>
                <w:kern w:val="2"/>
                <w:sz w:val="24"/>
                <w:szCs w:val="24"/>
                <w:lang w:val="en-US" w:eastAsia="zh-CN" w:bidi="ar"/>
              </w:rPr>
            </w:pPr>
            <w:r>
              <w:rPr>
                <w:rFonts w:hint="eastAsia" w:hAnsi="宋体" w:cs="宋体"/>
                <w:kern w:val="2"/>
                <w:sz w:val="24"/>
                <w:szCs w:val="24"/>
                <w:lang w:val="en-US" w:eastAsia="zh-CN" w:bidi="ar"/>
              </w:rPr>
              <w:t>①当投标人评标价＞评标基准价，评标价得分=F-偏差率*100*E1</w:t>
            </w:r>
          </w:p>
          <w:p>
            <w:pPr>
              <w:spacing w:line="440" w:lineRule="exact"/>
              <w:rPr>
                <w:rFonts w:hint="eastAsia" w:hAnsi="宋体" w:cs="宋体"/>
                <w:kern w:val="2"/>
                <w:sz w:val="24"/>
                <w:szCs w:val="24"/>
                <w:lang w:val="en-US" w:eastAsia="zh-CN" w:bidi="ar"/>
              </w:rPr>
            </w:pPr>
            <w:r>
              <w:rPr>
                <w:rFonts w:hint="eastAsia" w:hAnsi="宋体" w:cs="宋体"/>
                <w:kern w:val="2"/>
                <w:sz w:val="24"/>
                <w:szCs w:val="24"/>
                <w:lang w:val="en-US" w:eastAsia="zh-CN" w:bidi="ar"/>
              </w:rPr>
              <w:t>②当投标人评标价≤评标基准价，评标价得分=F+偏差率*100*E2</w:t>
            </w:r>
          </w:p>
          <w:p>
            <w:pPr>
              <w:spacing w:line="440" w:lineRule="exact"/>
              <w:rPr>
                <w:rFonts w:hint="eastAsia" w:hAnsi="宋体" w:cs="宋体"/>
                <w:kern w:val="2"/>
                <w:sz w:val="24"/>
                <w:szCs w:val="24"/>
                <w:lang w:val="en-US" w:eastAsia="zh-CN" w:bidi="ar"/>
              </w:rPr>
            </w:pPr>
            <w:r>
              <w:rPr>
                <w:rFonts w:hint="eastAsia" w:hAnsi="宋体" w:cs="宋体"/>
                <w:kern w:val="2"/>
                <w:sz w:val="24"/>
                <w:szCs w:val="24"/>
                <w:lang w:val="en-US" w:eastAsia="zh-CN" w:bidi="ar"/>
              </w:rPr>
              <w:t>其中：F=30；E1=0.6；E2=0.4。</w:t>
            </w:r>
          </w:p>
          <w:p>
            <w:pPr>
              <w:spacing w:line="440" w:lineRule="exact"/>
              <w:rPr>
                <w:rFonts w:hint="eastAsia" w:hAnsi="宋体" w:cs="宋体"/>
                <w:kern w:val="2"/>
                <w:sz w:val="24"/>
                <w:szCs w:val="24"/>
                <w:lang w:val="en-US" w:eastAsia="zh-CN" w:bidi="ar"/>
              </w:rPr>
            </w:pPr>
            <w:r>
              <w:rPr>
                <w:rFonts w:hint="eastAsia" w:hAnsi="宋体" w:cs="宋体"/>
                <w:kern w:val="2"/>
                <w:sz w:val="24"/>
                <w:szCs w:val="24"/>
                <w:lang w:val="en-US" w:eastAsia="zh-CN" w:bidi="ar"/>
              </w:rPr>
              <w:t>当评标价得分为负时，均按0分计算。评标价得分保留小数点后两位，小数点后第三位“四舍五入”。</w:t>
            </w:r>
          </w:p>
          <w:p>
            <w:pPr>
              <w:spacing w:line="440" w:lineRule="exact"/>
              <w:rPr>
                <w:rFonts w:hint="eastAsia" w:hAnsi="宋体" w:cs="宋体"/>
                <w:b/>
                <w:bCs/>
                <w:kern w:val="2"/>
                <w:sz w:val="24"/>
                <w:szCs w:val="24"/>
                <w:lang w:val="en-US" w:eastAsia="zh-CN" w:bidi="ar"/>
              </w:rPr>
            </w:pPr>
            <w:r>
              <w:rPr>
                <w:rFonts w:hint="eastAsia" w:hAnsi="宋体" w:cs="宋体"/>
                <w:b/>
                <w:bCs/>
                <w:kern w:val="2"/>
                <w:sz w:val="24"/>
                <w:szCs w:val="24"/>
                <w:lang w:val="en-US" w:eastAsia="zh-CN" w:bidi="ar"/>
              </w:rPr>
              <w:t>评标价的偏差率计算</w:t>
            </w:r>
          </w:p>
          <w:p>
            <w:pPr>
              <w:spacing w:line="440" w:lineRule="exact"/>
              <w:rPr>
                <w:rFonts w:hint="eastAsia" w:hAnsi="宋体" w:cs="宋体"/>
                <w:kern w:val="2"/>
                <w:sz w:val="24"/>
                <w:szCs w:val="24"/>
                <w:lang w:val="en-US" w:eastAsia="zh-CN" w:bidi="ar"/>
              </w:rPr>
            </w:pPr>
            <w:r>
              <w:rPr>
                <w:rFonts w:hint="eastAsia" w:hAnsi="宋体" w:cs="宋体"/>
                <w:kern w:val="2"/>
                <w:sz w:val="24"/>
                <w:szCs w:val="24"/>
                <w:lang w:val="en-US" w:eastAsia="zh-CN" w:bidi="ar"/>
              </w:rPr>
              <w:t>偏差率=100%×（投标人评标价-评标基准价）/评标基准价</w:t>
            </w:r>
          </w:p>
          <w:p>
            <w:pPr>
              <w:spacing w:line="440" w:lineRule="exact"/>
              <w:rPr>
                <w:rFonts w:hint="eastAsia" w:hAnsi="宋体" w:cs="宋体"/>
                <w:kern w:val="2"/>
                <w:sz w:val="24"/>
                <w:szCs w:val="24"/>
                <w:lang w:val="en-US" w:eastAsia="zh-CN" w:bidi="ar"/>
              </w:rPr>
            </w:pPr>
            <w:r>
              <w:rPr>
                <w:rFonts w:hint="eastAsia" w:hAnsi="宋体" w:cs="宋体"/>
                <w:kern w:val="2"/>
                <w:sz w:val="24"/>
                <w:szCs w:val="24"/>
                <w:lang w:val="en-US" w:eastAsia="zh-CN" w:bidi="ar"/>
              </w:rPr>
              <w:t>偏差率保留两位小数（小数点后第三位“四舍五入”），即为*.**%。</w:t>
            </w:r>
          </w:p>
          <w:p>
            <w:pPr>
              <w:pStyle w:val="19"/>
              <w:ind w:left="0" w:leftChars="0" w:firstLine="0" w:firstLineChars="0"/>
              <w:rPr>
                <w:rFonts w:hint="eastAsia"/>
                <w:sz w:val="24"/>
                <w:szCs w:val="24"/>
                <w:lang w:val="en-US" w:eastAsia="zh-CN"/>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kern w:val="2"/>
                <w:sz w:val="24"/>
                <w:szCs w:val="24"/>
              </w:rPr>
            </w:pPr>
            <w:r>
              <w:rPr>
                <w:rFonts w:hint="eastAsia" w:hAnsi="宋体" w:cs="宋体"/>
                <w:b/>
                <w:bCs/>
                <w:kern w:val="2"/>
                <w:sz w:val="24"/>
                <w:szCs w:val="24"/>
                <w:lang w:bidi="ar"/>
              </w:rPr>
              <w:t>0-30分</w:t>
            </w:r>
          </w:p>
        </w:tc>
      </w:tr>
    </w:tbl>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1E0373D"/>
    <w:rsid w:val="03164B46"/>
    <w:rsid w:val="03C238C1"/>
    <w:rsid w:val="046D02C9"/>
    <w:rsid w:val="04AC7907"/>
    <w:rsid w:val="07D61CBB"/>
    <w:rsid w:val="08187346"/>
    <w:rsid w:val="08C218CD"/>
    <w:rsid w:val="09357310"/>
    <w:rsid w:val="09431CDD"/>
    <w:rsid w:val="09D85925"/>
    <w:rsid w:val="09E823E8"/>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091596D"/>
    <w:rsid w:val="21BC67D1"/>
    <w:rsid w:val="229D0F23"/>
    <w:rsid w:val="23A23896"/>
    <w:rsid w:val="250338C6"/>
    <w:rsid w:val="2560638D"/>
    <w:rsid w:val="2888575B"/>
    <w:rsid w:val="296C096E"/>
    <w:rsid w:val="2A2100B3"/>
    <w:rsid w:val="2B0A1393"/>
    <w:rsid w:val="2DC35BE2"/>
    <w:rsid w:val="2DFD6DA8"/>
    <w:rsid w:val="2F5C3B54"/>
    <w:rsid w:val="321D0284"/>
    <w:rsid w:val="3401034F"/>
    <w:rsid w:val="35F42D38"/>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6670B6F"/>
    <w:rsid w:val="475C491A"/>
    <w:rsid w:val="49521D16"/>
    <w:rsid w:val="4A180A44"/>
    <w:rsid w:val="4A630034"/>
    <w:rsid w:val="4B0E4506"/>
    <w:rsid w:val="4BF20535"/>
    <w:rsid w:val="4D5C1604"/>
    <w:rsid w:val="4D752558"/>
    <w:rsid w:val="4D841426"/>
    <w:rsid w:val="4D926C66"/>
    <w:rsid w:val="4E235B10"/>
    <w:rsid w:val="4E4A0A8E"/>
    <w:rsid w:val="4EFF657E"/>
    <w:rsid w:val="50116703"/>
    <w:rsid w:val="51EB53DF"/>
    <w:rsid w:val="53603F65"/>
    <w:rsid w:val="536966EB"/>
    <w:rsid w:val="54E33363"/>
    <w:rsid w:val="551C3A0B"/>
    <w:rsid w:val="555C59B4"/>
    <w:rsid w:val="5839386D"/>
    <w:rsid w:val="58B2099D"/>
    <w:rsid w:val="59F6057D"/>
    <w:rsid w:val="5A8121BA"/>
    <w:rsid w:val="5ABF0539"/>
    <w:rsid w:val="5B4434DF"/>
    <w:rsid w:val="5C071983"/>
    <w:rsid w:val="5DAF1758"/>
    <w:rsid w:val="6359495D"/>
    <w:rsid w:val="65374BCA"/>
    <w:rsid w:val="6562740E"/>
    <w:rsid w:val="65CA16B3"/>
    <w:rsid w:val="65FC1861"/>
    <w:rsid w:val="662E5966"/>
    <w:rsid w:val="6747066A"/>
    <w:rsid w:val="699F737A"/>
    <w:rsid w:val="6BDB5C18"/>
    <w:rsid w:val="6D892812"/>
    <w:rsid w:val="6DB12CE1"/>
    <w:rsid w:val="6EAC5D22"/>
    <w:rsid w:val="6F1E00AA"/>
    <w:rsid w:val="6F9E3EA7"/>
    <w:rsid w:val="6FA50623"/>
    <w:rsid w:val="6FE07D2F"/>
    <w:rsid w:val="70E71E73"/>
    <w:rsid w:val="710038B0"/>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9"/>
    <w:autoRedefine/>
    <w:semiHidden/>
    <w:unhideWhenUsed/>
    <w:qFormat/>
    <w:uiPriority w:val="99"/>
    <w:pPr>
      <w:jc w:val="left"/>
    </w:pPr>
  </w:style>
  <w:style w:type="paragraph" w:styleId="6">
    <w:name w:val="Body Text"/>
    <w:basedOn w:val="1"/>
    <w:next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1"/>
    <w:autoRedefine/>
    <w:semiHidden/>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30"/>
    <w:autoRedefine/>
    <w:semiHidden/>
    <w:unhideWhenUsed/>
    <w:qFormat/>
    <w:uiPriority w:val="99"/>
    <w:rPr>
      <w:b/>
      <w:bCs/>
    </w:rPr>
  </w:style>
  <w:style w:type="paragraph" w:styleId="18">
    <w:name w:val="Body Text First Indent"/>
    <w:basedOn w:val="6"/>
    <w:autoRedefine/>
    <w:unhideWhenUsed/>
    <w:qFormat/>
    <w:uiPriority w:val="99"/>
    <w:pPr>
      <w:ind w:firstLine="420" w:firstLineChars="100"/>
    </w:pPr>
  </w:style>
  <w:style w:type="paragraph" w:styleId="19">
    <w:name w:val="Body Text First Indent 2"/>
    <w:basedOn w:val="7"/>
    <w:next w:val="1"/>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annotation reference"/>
    <w:basedOn w:val="22"/>
    <w:autoRedefine/>
    <w:semiHidden/>
    <w:unhideWhenUsed/>
    <w:qFormat/>
    <w:uiPriority w:val="99"/>
    <w:rPr>
      <w:sz w:val="21"/>
      <w:szCs w:val="21"/>
    </w:rPr>
  </w:style>
  <w:style w:type="paragraph" w:customStyle="1" w:styleId="25">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6">
    <w:name w:val="页眉 Char"/>
    <w:basedOn w:val="22"/>
    <w:link w:val="12"/>
    <w:autoRedefine/>
    <w:qFormat/>
    <w:uiPriority w:val="99"/>
    <w:rPr>
      <w:sz w:val="18"/>
      <w:szCs w:val="18"/>
    </w:rPr>
  </w:style>
  <w:style w:type="character" w:customStyle="1" w:styleId="27">
    <w:name w:val="页脚 Char"/>
    <w:basedOn w:val="22"/>
    <w:link w:val="10"/>
    <w:autoRedefine/>
    <w:qFormat/>
    <w:uiPriority w:val="99"/>
    <w:rPr>
      <w:sz w:val="18"/>
      <w:szCs w:val="18"/>
    </w:rPr>
  </w:style>
  <w:style w:type="paragraph" w:customStyle="1" w:styleId="28">
    <w:name w:val="Char Char Char Char Char Char Char Char Char Char"/>
    <w:basedOn w:val="1"/>
    <w:autoRedefine/>
    <w:qFormat/>
    <w:uiPriority w:val="0"/>
    <w:rPr>
      <w:rFonts w:ascii="Tahoma" w:hAnsi="Tahoma" w:eastAsia="宋体" w:cs="仿宋_GB2312"/>
      <w:sz w:val="24"/>
      <w:szCs w:val="20"/>
    </w:rPr>
  </w:style>
  <w:style w:type="character" w:customStyle="1" w:styleId="29">
    <w:name w:val="批注文字 Char"/>
    <w:basedOn w:val="22"/>
    <w:link w:val="5"/>
    <w:autoRedefine/>
    <w:semiHidden/>
    <w:qFormat/>
    <w:uiPriority w:val="99"/>
  </w:style>
  <w:style w:type="character" w:customStyle="1" w:styleId="30">
    <w:name w:val="批注主题 Char"/>
    <w:basedOn w:val="29"/>
    <w:link w:val="17"/>
    <w:autoRedefine/>
    <w:semiHidden/>
    <w:qFormat/>
    <w:uiPriority w:val="99"/>
    <w:rPr>
      <w:b/>
      <w:bCs/>
    </w:rPr>
  </w:style>
  <w:style w:type="character" w:customStyle="1" w:styleId="31">
    <w:name w:val="批注框文本 Char"/>
    <w:basedOn w:val="22"/>
    <w:link w:val="9"/>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paragraph" w:customStyle="1" w:styleId="33">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4">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5">
    <w:name w:val="Char Char Char Char Char Char Char1 Char"/>
    <w:basedOn w:val="1"/>
    <w:autoRedefine/>
    <w:qFormat/>
    <w:uiPriority w:val="0"/>
    <w:rPr>
      <w:rFonts w:ascii="Tahoma" w:hAnsi="Tahoma"/>
      <w:sz w:val="24"/>
    </w:rPr>
  </w:style>
  <w:style w:type="character" w:customStyle="1" w:styleId="36">
    <w:name w:val="font21"/>
    <w:basedOn w:val="22"/>
    <w:autoRedefine/>
    <w:qFormat/>
    <w:uiPriority w:val="0"/>
    <w:rPr>
      <w:rFonts w:hint="eastAsia" w:ascii="宋体" w:hAnsi="宋体" w:eastAsia="宋体" w:cs="宋体"/>
      <w:b/>
      <w:bCs/>
      <w:color w:val="000000"/>
      <w:sz w:val="40"/>
      <w:szCs w:val="40"/>
      <w:u w:val="none"/>
    </w:rPr>
  </w:style>
  <w:style w:type="character" w:customStyle="1" w:styleId="37">
    <w:name w:val="font71"/>
    <w:basedOn w:val="22"/>
    <w:autoRedefine/>
    <w:qFormat/>
    <w:uiPriority w:val="0"/>
    <w:rPr>
      <w:rFonts w:hint="eastAsia" w:ascii="宋体" w:hAnsi="宋体" w:eastAsia="宋体" w:cs="宋体"/>
      <w:b/>
      <w:bCs/>
      <w:color w:val="000000"/>
      <w:sz w:val="40"/>
      <w:szCs w:val="40"/>
      <w:u w:val="single"/>
    </w:rPr>
  </w:style>
  <w:style w:type="character" w:customStyle="1" w:styleId="38">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9">
    <w:name w:val="font111"/>
    <w:basedOn w:val="22"/>
    <w:autoRedefine/>
    <w:qFormat/>
    <w:uiPriority w:val="0"/>
    <w:rPr>
      <w:rFonts w:hint="eastAsia" w:ascii="宋体" w:hAnsi="宋体" w:eastAsia="宋体" w:cs="宋体"/>
      <w:color w:val="000000"/>
      <w:sz w:val="40"/>
      <w:szCs w:val="40"/>
      <w:u w:val="single"/>
    </w:rPr>
  </w:style>
  <w:style w:type="character" w:customStyle="1" w:styleId="40">
    <w:name w:val="font141"/>
    <w:basedOn w:val="22"/>
    <w:autoRedefine/>
    <w:qFormat/>
    <w:uiPriority w:val="0"/>
    <w:rPr>
      <w:rFonts w:hint="eastAsia" w:ascii="宋体" w:hAnsi="宋体" w:eastAsia="宋体" w:cs="宋体"/>
      <w:color w:val="000000"/>
      <w:sz w:val="20"/>
      <w:szCs w:val="20"/>
      <w:u w:val="single"/>
    </w:rPr>
  </w:style>
  <w:style w:type="character" w:customStyle="1" w:styleId="41">
    <w:name w:val="font151"/>
    <w:basedOn w:val="22"/>
    <w:autoRedefine/>
    <w:qFormat/>
    <w:uiPriority w:val="0"/>
    <w:rPr>
      <w:rFonts w:hint="eastAsia" w:ascii="宋体" w:hAnsi="宋体" w:eastAsia="宋体" w:cs="宋体"/>
      <w:color w:val="000000"/>
      <w:sz w:val="20"/>
      <w:szCs w:val="20"/>
      <w:u w:val="single"/>
    </w:rPr>
  </w:style>
  <w:style w:type="paragraph" w:customStyle="1" w:styleId="42">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3">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4">
    <w:name w:val="00-表格正文"/>
    <w:basedOn w:val="1"/>
    <w:autoRedefine/>
    <w:qFormat/>
    <w:uiPriority w:val="0"/>
    <w:pPr>
      <w:widowControl/>
      <w:spacing w:line="360" w:lineRule="auto"/>
      <w:jc w:val="left"/>
    </w:pPr>
    <w:rPr>
      <w:rFonts w:ascii="黑体" w:hAnsi="黑体" w:eastAsia="仿宋" w:cs="宋体"/>
      <w:bCs/>
      <w:color w:val="000000"/>
      <w:szCs w:val="24"/>
    </w:rPr>
  </w:style>
  <w:style w:type="paragraph" w:customStyle="1" w:styleId="45">
    <w:name w:val="Table Paragraph"/>
    <w:basedOn w:val="1"/>
    <w:autoRedefine/>
    <w:qFormat/>
    <w:uiPriority w:val="1"/>
    <w:pPr>
      <w:jc w:val="left"/>
    </w:pPr>
    <w:rPr>
      <w:rFonts w:ascii="Calibri" w:hAnsi="Calibri"/>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2</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2025-11-13T04:22:51Z</cp:lastPrinted>
  <dcterms:modified xsi:type="dcterms:W3CDTF">2025-11-13T04:24:42Z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