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1"/>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17"/>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461056631"/>
      <w:bookmarkStart w:id="2" w:name="_Toc2774249"/>
      <w:bookmarkStart w:id="3" w:name="_Toc461053086"/>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pacing w:before="156" w:beforeLines="50" w:after="156" w:afterLines="50" w:line="360" w:lineRule="auto"/>
        <w:jc w:val="left"/>
        <w:rPr>
          <w:rFonts w:hAnsi="宋体"/>
          <w:b/>
          <w:color w:val="000000"/>
          <w:szCs w:val="28"/>
        </w:rPr>
      </w:pPr>
      <w:r>
        <w:rPr>
          <w:rFonts w:hint="eastAsia" w:hAnsi="宋体"/>
          <w:b/>
          <w:color w:val="000000"/>
          <w:szCs w:val="28"/>
        </w:rPr>
        <w:t>1报价表</w:t>
      </w:r>
      <w:bookmarkStart w:id="8" w:name="_GoBack"/>
      <w:bookmarkEnd w:id="8"/>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ind w:firstLine="826" w:firstLineChars="392"/>
              <w:rPr>
                <w:rFonts w:hint="default" w:eastAsia="宋体"/>
                <w:lang w:val="en-US" w:eastAsia="zh-CN"/>
              </w:rPr>
            </w:pPr>
            <w:r>
              <w:rPr>
                <w:rFonts w:hint="eastAsia" w:hAnsi="宋体"/>
                <w:b/>
                <w:color w:val="000000"/>
                <w:highlight w:val="yellow"/>
                <w:u w:val="single"/>
                <w:lang w:val="en-US" w:eastAsia="zh-CN"/>
              </w:rPr>
              <w:t>费率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16"/>
        <w:ind w:left="438" w:firstLine="600"/>
        <w:rPr>
          <w:rFonts w:hAnsi="宋体"/>
          <w:b/>
          <w:bCs/>
          <w:color w:val="000000"/>
          <w:szCs w:val="28"/>
        </w:rPr>
      </w:pPr>
    </w:p>
    <w:p>
      <w:pPr>
        <w:pStyle w:val="16"/>
        <w:ind w:left="438" w:firstLine="60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7"/>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8"/>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8"/>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8"/>
        <w:snapToGrid w:val="0"/>
        <w:spacing w:line="360" w:lineRule="auto"/>
        <w:jc w:val="left"/>
        <w:rPr>
          <w:rFonts w:hAnsi="宋体"/>
          <w:color w:val="000000"/>
          <w:sz w:val="24"/>
          <w:szCs w:val="28"/>
        </w:rPr>
      </w:pPr>
      <w:r>
        <w:rPr>
          <w:rFonts w:hint="eastAsia" w:hAnsi="宋体"/>
          <w:color w:val="000000"/>
          <w:sz w:val="24"/>
          <w:szCs w:val="28"/>
        </w:rPr>
        <w:t>注：</w:t>
      </w:r>
    </w:p>
    <w:p>
      <w:pPr>
        <w:pStyle w:val="8"/>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8648630"/>
      <w:bookmarkStart w:id="7" w:name="_Toc433835936"/>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 w:val="24"/>
          <w:szCs w:val="24"/>
        </w:rPr>
      </w:pPr>
      <w:r>
        <w:rPr>
          <w:rFonts w:hint="eastAsia" w:hAnsi="宋体" w:cs="宋体"/>
          <w:b/>
          <w:color w:val="000000"/>
          <w:sz w:val="24"/>
          <w:szCs w:val="24"/>
        </w:rPr>
        <w:t>其他资料</w:t>
      </w:r>
    </w:p>
    <w:p>
      <w:pPr>
        <w:spacing w:line="360" w:lineRule="auto"/>
        <w:ind w:firstLine="480" w:firstLineChars="200"/>
        <w:rPr>
          <w:rFonts w:hint="eastAsia" w:hAnsi="宋体"/>
          <w:color w:val="000000"/>
          <w:kern w:val="2"/>
          <w:sz w:val="24"/>
          <w:szCs w:val="24"/>
        </w:rPr>
      </w:pPr>
    </w:p>
    <w:p>
      <w:pPr>
        <w:spacing w:line="360" w:lineRule="auto"/>
        <w:ind w:firstLine="480" w:firstLineChars="200"/>
        <w:rPr>
          <w:rFonts w:hAnsi="宋体"/>
          <w:color w:val="000000"/>
          <w:kern w:val="2"/>
          <w:sz w:val="24"/>
          <w:szCs w:val="24"/>
        </w:rPr>
      </w:pPr>
      <w:r>
        <w:rPr>
          <w:rFonts w:hint="eastAsia" w:hAnsi="宋体"/>
          <w:color w:val="000000"/>
          <w:kern w:val="2"/>
          <w:sz w:val="24"/>
          <w:szCs w:val="24"/>
        </w:rPr>
        <w:t>根据项目情况提供如下文件：</w:t>
      </w:r>
    </w:p>
    <w:p>
      <w:pPr>
        <w:spacing w:line="360" w:lineRule="auto"/>
        <w:ind w:firstLine="480" w:firstLineChars="200"/>
        <w:rPr>
          <w:rFonts w:hAnsi="宋体"/>
          <w:sz w:val="24"/>
          <w:szCs w:val="24"/>
        </w:rPr>
      </w:pPr>
      <w:r>
        <w:rPr>
          <w:rFonts w:hint="eastAsia" w:hAnsi="宋体"/>
          <w:sz w:val="24"/>
          <w:szCs w:val="24"/>
        </w:rPr>
        <w:t>1、法人代表或代理人（授权委托书）。</w:t>
      </w:r>
    </w:p>
    <w:p>
      <w:pPr>
        <w:spacing w:line="360" w:lineRule="auto"/>
        <w:ind w:firstLine="480" w:firstLineChars="200"/>
        <w:rPr>
          <w:rFonts w:hAnsi="宋体"/>
          <w:sz w:val="24"/>
          <w:szCs w:val="24"/>
        </w:rPr>
      </w:pPr>
      <w:r>
        <w:rPr>
          <w:rFonts w:hint="eastAsia" w:hAnsi="宋体"/>
          <w:sz w:val="24"/>
          <w:szCs w:val="24"/>
        </w:rPr>
        <w:t>2、供应商单位营业执照、资质证书、企业法人代码证书、税务登记证等有关资料复印件及上述综合评分资料、人员配备、服务方案、报价资料等，打印盖章装订成册。</w:t>
      </w:r>
    </w:p>
    <w:p>
      <w:pPr>
        <w:spacing w:line="360" w:lineRule="auto"/>
        <w:ind w:firstLine="480" w:firstLineChars="200"/>
        <w:rPr>
          <w:rFonts w:hAnsi="宋体"/>
          <w:sz w:val="24"/>
          <w:szCs w:val="24"/>
        </w:rPr>
      </w:pPr>
      <w:r>
        <w:rPr>
          <w:rFonts w:hint="eastAsia" w:hAnsi="宋体"/>
          <w:sz w:val="24"/>
          <w:szCs w:val="24"/>
        </w:rPr>
        <w:t>3、评标文件要求及供应商认为需要提供的资料。</w:t>
      </w:r>
    </w:p>
    <w:p>
      <w:pPr>
        <w:spacing w:line="360" w:lineRule="auto"/>
        <w:ind w:firstLine="480" w:firstLineChars="200"/>
        <w:rPr>
          <w:rFonts w:hAnsi="宋体"/>
          <w:sz w:val="24"/>
          <w:szCs w:val="24"/>
        </w:rPr>
      </w:pPr>
      <w:r>
        <w:rPr>
          <w:rFonts w:hint="eastAsia" w:hAnsi="宋体"/>
          <w:sz w:val="24"/>
          <w:szCs w:val="24"/>
        </w:rPr>
        <w:t>4、供应商在规定时间密封送达。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pStyle w:val="21"/>
        <w:rPr>
          <w:rFonts w:hint="eastAsia"/>
          <w:lang w:eastAsia="zh-CN"/>
        </w:rPr>
      </w:pPr>
    </w:p>
    <w:p>
      <w:pPr>
        <w:pStyle w:val="21"/>
        <w:rPr>
          <w:rFonts w:hint="eastAsia"/>
          <w:lang w:eastAsia="zh-CN"/>
        </w:rPr>
      </w:pPr>
    </w:p>
    <w:p>
      <w:pPr>
        <w:pStyle w:val="21"/>
        <w:rPr>
          <w:rFonts w:hint="eastAsia"/>
          <w:lang w:eastAsia="zh-CN"/>
        </w:rPr>
      </w:pPr>
    </w:p>
    <w:p>
      <w:pPr>
        <w:rPr>
          <w:rFonts w:hint="eastAsia"/>
          <w:lang w:eastAsia="zh-CN"/>
        </w:rPr>
      </w:pPr>
    </w:p>
    <w:p>
      <w:pPr>
        <w:rPr>
          <w:rFonts w:hint="eastAsia"/>
          <w:lang w:eastAsia="zh-CN"/>
        </w:rPr>
      </w:pPr>
    </w:p>
    <w:p>
      <w:pPr>
        <w:rPr>
          <w:rFonts w:hint="eastAsia"/>
          <w:lang w:eastAsia="zh-CN"/>
        </w:rPr>
      </w:pPr>
    </w:p>
    <w:tbl>
      <w:tblPr>
        <w:tblStyle w:val="17"/>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
                <w:color w:val="000000"/>
              </w:rPr>
            </w:pPr>
            <w:r>
              <w:rPr>
                <w:rFonts w:hint="eastAsia" w:hAnsi="宋体"/>
                <w:b/>
                <w:color w:val="000000"/>
              </w:rPr>
              <w:t>序号</w:t>
            </w:r>
          </w:p>
        </w:tc>
        <w:tc>
          <w:tcPr>
            <w:tcW w:w="1447" w:type="dxa"/>
            <w:vAlign w:val="center"/>
          </w:tcPr>
          <w:p>
            <w:pPr>
              <w:jc w:val="center"/>
              <w:rPr>
                <w:rFonts w:hAnsi="宋体"/>
                <w:b/>
                <w:color w:val="000000"/>
              </w:rPr>
            </w:pPr>
            <w:r>
              <w:rPr>
                <w:rFonts w:hint="eastAsia" w:hAnsi="宋体"/>
                <w:b/>
                <w:color w:val="000000"/>
              </w:rPr>
              <w:t>内容</w:t>
            </w:r>
          </w:p>
        </w:tc>
        <w:tc>
          <w:tcPr>
            <w:tcW w:w="7223" w:type="dxa"/>
            <w:vAlign w:val="center"/>
          </w:tcPr>
          <w:p>
            <w:pPr>
              <w:pStyle w:val="38"/>
              <w:widowControl w:val="0"/>
              <w:spacing w:before="0" w:beforeAutospacing="0" w:after="0" w:afterAutospacing="0"/>
              <w:rPr>
                <w:bCs w:val="0"/>
                <w:color w:val="000000"/>
                <w:kern w:val="2"/>
                <w:sz w:val="24"/>
                <w:szCs w:val="20"/>
              </w:rPr>
            </w:pPr>
            <w:r>
              <w:rPr>
                <w:rFonts w:hint="eastAsia"/>
                <w:bCs w:val="0"/>
                <w:color w:val="000000"/>
                <w:kern w:val="2"/>
                <w:sz w:val="24"/>
                <w:szCs w:val="20"/>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sz w:val="24"/>
                <w:szCs w:val="24"/>
              </w:rPr>
            </w:pPr>
            <w:r>
              <w:rPr>
                <w:rFonts w:hint="eastAsia" w:hAnsi="宋体"/>
                <w:bCs/>
                <w:color w:val="000000"/>
                <w:sz w:val="24"/>
                <w:szCs w:val="24"/>
              </w:rPr>
              <w:t>1</w:t>
            </w:r>
          </w:p>
        </w:tc>
        <w:tc>
          <w:tcPr>
            <w:tcW w:w="1447" w:type="dxa"/>
            <w:vAlign w:val="center"/>
          </w:tcPr>
          <w:p>
            <w:pPr>
              <w:jc w:val="center"/>
              <w:rPr>
                <w:rFonts w:hAnsi="宋体"/>
                <w:bCs/>
                <w:color w:val="000000"/>
                <w:sz w:val="24"/>
                <w:szCs w:val="24"/>
              </w:rPr>
            </w:pPr>
            <w:r>
              <w:rPr>
                <w:rFonts w:hint="eastAsia" w:hAnsi="宋体"/>
                <w:bCs/>
                <w:color w:val="000000"/>
                <w:sz w:val="24"/>
                <w:szCs w:val="24"/>
              </w:rPr>
              <w:t>项目名称</w:t>
            </w:r>
          </w:p>
        </w:tc>
        <w:tc>
          <w:tcPr>
            <w:tcW w:w="7223" w:type="dxa"/>
            <w:vAlign w:val="center"/>
          </w:tcPr>
          <w:p>
            <w:pPr>
              <w:pStyle w:val="13"/>
              <w:keepNext w:val="0"/>
              <w:keepLines w:val="0"/>
              <w:widowControl/>
              <w:suppressLineNumbers w:val="0"/>
              <w:wordWrap/>
              <w:spacing w:line="23" w:lineRule="atLeast"/>
              <w:ind w:left="0"/>
              <w:jc w:val="left"/>
              <w:rPr>
                <w:rFonts w:hint="default" w:hAnsi="宋体" w:eastAsia="宋体"/>
                <w:bCs/>
                <w:color w:val="000000"/>
                <w:sz w:val="24"/>
                <w:szCs w:val="24"/>
                <w:lang w:val="en-US" w:eastAsia="zh-CN"/>
              </w:rPr>
            </w:pPr>
            <w:r>
              <w:rPr>
                <w:rFonts w:hint="eastAsia"/>
                <w:color w:val="333333"/>
                <w:sz w:val="24"/>
                <w:szCs w:val="24"/>
                <w:lang w:val="en-US" w:eastAsia="zh-CN"/>
              </w:rPr>
              <w:t>合肥</w:t>
            </w:r>
            <w:r>
              <w:rPr>
                <w:rFonts w:hint="eastAsia"/>
                <w:color w:val="333333"/>
                <w:sz w:val="24"/>
                <w:szCs w:val="24"/>
              </w:rPr>
              <w:t>经开区云海路产业园及基础设施配套项目一（园区配套东）</w:t>
            </w:r>
            <w:r>
              <w:rPr>
                <w:rFonts w:hint="eastAsia"/>
                <w:color w:val="333333"/>
                <w:sz w:val="24"/>
                <w:szCs w:val="24"/>
                <w:lang w:val="en-US" w:eastAsia="zh-CN"/>
              </w:rPr>
              <w:t>玉屏南路</w:t>
            </w:r>
            <w:r>
              <w:rPr>
                <w:rFonts w:hint="eastAsia"/>
                <w:color w:val="333333"/>
                <w:sz w:val="24"/>
                <w:szCs w:val="24"/>
              </w:rPr>
              <w:t>绿化工程</w:t>
            </w:r>
            <w:r>
              <w:rPr>
                <w:rFonts w:hint="eastAsia"/>
                <w:color w:val="333333"/>
                <w:sz w:val="24"/>
                <w:szCs w:val="24"/>
                <w:lang w:val="en-US" w:eastAsia="zh-CN"/>
              </w:rPr>
              <w:t>及</w:t>
            </w:r>
            <w:r>
              <w:rPr>
                <w:rFonts w:hint="eastAsia"/>
                <w:color w:val="333333"/>
                <w:sz w:val="24"/>
                <w:szCs w:val="24"/>
              </w:rPr>
              <w:t>潜山路南延绿化补植施工部分苗木采购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sz w:val="24"/>
                <w:szCs w:val="24"/>
              </w:rPr>
            </w:pPr>
            <w:r>
              <w:rPr>
                <w:rFonts w:hint="eastAsia" w:hAnsi="宋体"/>
                <w:bCs/>
                <w:color w:val="000000"/>
                <w:sz w:val="24"/>
                <w:szCs w:val="24"/>
              </w:rPr>
              <w:t>2</w:t>
            </w:r>
          </w:p>
        </w:tc>
        <w:tc>
          <w:tcPr>
            <w:tcW w:w="1447" w:type="dxa"/>
            <w:vAlign w:val="center"/>
          </w:tcPr>
          <w:p>
            <w:pPr>
              <w:jc w:val="center"/>
              <w:rPr>
                <w:rFonts w:hAnsi="宋体"/>
                <w:color w:val="000000"/>
                <w:sz w:val="24"/>
                <w:szCs w:val="24"/>
              </w:rPr>
            </w:pPr>
            <w:r>
              <w:rPr>
                <w:rFonts w:hint="eastAsia" w:hAnsi="宋体"/>
                <w:color w:val="000000"/>
                <w:sz w:val="24"/>
                <w:szCs w:val="24"/>
              </w:rPr>
              <w:t>项目概况</w:t>
            </w:r>
          </w:p>
        </w:tc>
        <w:tc>
          <w:tcPr>
            <w:tcW w:w="7223" w:type="dxa"/>
            <w:vAlign w:val="center"/>
          </w:tcPr>
          <w:p>
            <w:pPr>
              <w:pStyle w:val="13"/>
              <w:keepNext w:val="0"/>
              <w:keepLines w:val="0"/>
              <w:widowControl/>
              <w:suppressLineNumbers w:val="0"/>
              <w:wordWrap/>
              <w:spacing w:line="23" w:lineRule="atLeast"/>
              <w:rPr>
                <w:b w:val="0"/>
                <w:bCs w:val="0"/>
                <w:color w:val="000000"/>
                <w:sz w:val="24"/>
                <w:szCs w:val="24"/>
              </w:rPr>
            </w:pPr>
            <w:r>
              <w:rPr>
                <w:color w:val="333333"/>
                <w:sz w:val="24"/>
                <w:szCs w:val="24"/>
              </w:rPr>
              <w:t>因</w:t>
            </w:r>
            <w:r>
              <w:rPr>
                <w:rFonts w:hint="eastAsia"/>
                <w:color w:val="333333"/>
                <w:sz w:val="24"/>
                <w:szCs w:val="24"/>
                <w:lang w:val="en-US" w:eastAsia="zh-CN"/>
              </w:rPr>
              <w:t>合肥</w:t>
            </w:r>
            <w:r>
              <w:rPr>
                <w:rFonts w:hint="eastAsia"/>
                <w:color w:val="333333"/>
                <w:sz w:val="24"/>
                <w:szCs w:val="24"/>
              </w:rPr>
              <w:t>经开区云海路产业园及基础设施配套项目一（园区配套东）</w:t>
            </w:r>
            <w:r>
              <w:rPr>
                <w:rFonts w:hint="eastAsia"/>
                <w:color w:val="333333"/>
                <w:sz w:val="24"/>
                <w:szCs w:val="24"/>
                <w:lang w:val="en-US" w:eastAsia="zh-CN"/>
              </w:rPr>
              <w:t>玉屏南路</w:t>
            </w:r>
            <w:r>
              <w:rPr>
                <w:rFonts w:hint="eastAsia"/>
                <w:color w:val="333333"/>
                <w:sz w:val="24"/>
                <w:szCs w:val="24"/>
              </w:rPr>
              <w:t>绿化工程</w:t>
            </w:r>
            <w:r>
              <w:rPr>
                <w:rFonts w:hint="eastAsia"/>
                <w:color w:val="333333"/>
                <w:sz w:val="24"/>
                <w:szCs w:val="24"/>
                <w:lang w:val="en-US" w:eastAsia="zh-CN"/>
              </w:rPr>
              <w:t>及</w:t>
            </w:r>
            <w:r>
              <w:rPr>
                <w:rFonts w:hint="eastAsia"/>
                <w:color w:val="333333"/>
                <w:sz w:val="24"/>
                <w:szCs w:val="24"/>
              </w:rPr>
              <w:t>潜山路南延绿化补植施工</w:t>
            </w:r>
            <w:r>
              <w:rPr>
                <w:color w:val="333333"/>
                <w:sz w:val="24"/>
                <w:szCs w:val="24"/>
              </w:rPr>
              <w:t>需要，需采购部分乔灌木</w:t>
            </w:r>
            <w:r>
              <w:rPr>
                <w:rFonts w:hint="eastAsia"/>
                <w:color w:val="333333"/>
                <w:sz w:val="24"/>
                <w:szCs w:val="24"/>
                <w:lang w:eastAsia="zh-CN"/>
              </w:rPr>
              <w:t>、</w:t>
            </w:r>
            <w:r>
              <w:rPr>
                <w:sz w:val="24"/>
                <w:szCs w:val="24"/>
              </w:rPr>
              <w:t>具体规格、品种及控制价见附表，</w:t>
            </w:r>
            <w:r>
              <w:rPr>
                <w:bCs/>
                <w:sz w:val="24"/>
                <w:szCs w:val="24"/>
              </w:rPr>
              <w:t>苗木数量为暂定量，最终以验收合格的实际数量为准，据实结算。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sz w:val="24"/>
                <w:szCs w:val="24"/>
              </w:rPr>
            </w:pPr>
            <w:r>
              <w:rPr>
                <w:rFonts w:hint="eastAsia" w:hAnsi="宋体"/>
                <w:bCs/>
                <w:color w:val="000000"/>
                <w:sz w:val="24"/>
                <w:szCs w:val="24"/>
              </w:rPr>
              <w:t>3</w:t>
            </w:r>
          </w:p>
        </w:tc>
        <w:tc>
          <w:tcPr>
            <w:tcW w:w="1447" w:type="dxa"/>
            <w:vAlign w:val="center"/>
          </w:tcPr>
          <w:p>
            <w:pPr>
              <w:jc w:val="center"/>
              <w:rPr>
                <w:rFonts w:hAnsi="宋体"/>
                <w:color w:val="000000"/>
                <w:sz w:val="24"/>
                <w:szCs w:val="24"/>
              </w:rPr>
            </w:pPr>
            <w:r>
              <w:rPr>
                <w:rFonts w:hint="eastAsia" w:hAnsi="宋体"/>
                <w:color w:val="000000"/>
                <w:sz w:val="24"/>
                <w:szCs w:val="24"/>
              </w:rPr>
              <w:t>供应商资格</w:t>
            </w:r>
          </w:p>
        </w:tc>
        <w:tc>
          <w:tcPr>
            <w:tcW w:w="7223" w:type="dxa"/>
            <w:vAlign w:val="center"/>
          </w:tcPr>
          <w:p>
            <w:pPr>
              <w:widowControl/>
              <w:spacing w:line="360" w:lineRule="auto"/>
              <w:rPr>
                <w:rFonts w:hint="default" w:hAnsi="宋体"/>
                <w:color w:val="000000"/>
                <w:sz w:val="24"/>
                <w:szCs w:val="24"/>
                <w:lang w:val="en-US"/>
              </w:rPr>
            </w:pPr>
            <w:r>
              <w:rPr>
                <w:rFonts w:hint="eastAsia" w:ascii="宋体" w:hAnsi="宋体" w:cs="宋体"/>
                <w:sz w:val="24"/>
                <w:szCs w:val="24"/>
                <w:highlight w:val="none"/>
              </w:rPr>
              <w:t>满足《中华人民共和国政府采购法》第二十二条规定；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sz w:val="24"/>
                <w:szCs w:val="24"/>
              </w:rPr>
            </w:pPr>
            <w:r>
              <w:rPr>
                <w:rFonts w:hint="eastAsia" w:hAnsi="宋体"/>
                <w:bCs/>
                <w:color w:val="000000"/>
                <w:sz w:val="24"/>
                <w:szCs w:val="24"/>
              </w:rPr>
              <w:t>4</w:t>
            </w:r>
          </w:p>
        </w:tc>
        <w:tc>
          <w:tcPr>
            <w:tcW w:w="1447" w:type="dxa"/>
            <w:vAlign w:val="center"/>
          </w:tcPr>
          <w:p>
            <w:pPr>
              <w:jc w:val="center"/>
              <w:rPr>
                <w:rFonts w:hAnsi="宋体"/>
                <w:color w:val="000000"/>
                <w:sz w:val="24"/>
                <w:szCs w:val="24"/>
              </w:rPr>
            </w:pPr>
            <w:r>
              <w:rPr>
                <w:rFonts w:hint="eastAsia" w:hAnsi="宋体"/>
                <w:color w:val="000000"/>
                <w:sz w:val="24"/>
                <w:szCs w:val="24"/>
              </w:rPr>
              <w:t>项目性质</w:t>
            </w:r>
          </w:p>
        </w:tc>
        <w:tc>
          <w:tcPr>
            <w:tcW w:w="7223" w:type="dxa"/>
            <w:vAlign w:val="center"/>
          </w:tcPr>
          <w:p>
            <w:pPr>
              <w:pStyle w:val="38"/>
              <w:widowControl w:val="0"/>
              <w:spacing w:before="0" w:beforeAutospacing="0" w:after="0" w:afterAutospacing="0"/>
              <w:jc w:val="both"/>
              <w:rPr>
                <w:rFonts w:hint="eastAsia" w:eastAsia="宋体"/>
                <w:b w:val="0"/>
                <w:bCs w:val="0"/>
                <w:color w:val="000000"/>
                <w:sz w:val="24"/>
                <w:szCs w:val="24"/>
                <w:lang w:eastAsia="zh-CN"/>
              </w:rPr>
            </w:pPr>
            <w:r>
              <w:rPr>
                <w:rFonts w:hint="eastAsia"/>
                <w:b w:val="0"/>
                <w:bCs w:val="0"/>
                <w:color w:val="000000"/>
                <w:sz w:val="24"/>
                <w:szCs w:val="24"/>
                <w:lang w:val="en-US" w:eastAsia="zh-CN"/>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sz w:val="24"/>
                <w:szCs w:val="24"/>
              </w:rPr>
            </w:pPr>
            <w:r>
              <w:rPr>
                <w:rFonts w:hint="eastAsia" w:hAnsi="宋体"/>
                <w:bCs/>
                <w:color w:val="000000"/>
                <w:sz w:val="24"/>
                <w:szCs w:val="24"/>
              </w:rPr>
              <w:t>5</w:t>
            </w:r>
          </w:p>
        </w:tc>
        <w:tc>
          <w:tcPr>
            <w:tcW w:w="1447" w:type="dxa"/>
            <w:vAlign w:val="center"/>
          </w:tcPr>
          <w:p>
            <w:pPr>
              <w:pStyle w:val="38"/>
              <w:widowControl w:val="0"/>
              <w:spacing w:before="0" w:beforeAutospacing="0" w:after="0" w:afterAutospacing="0"/>
              <w:rPr>
                <w:b w:val="0"/>
                <w:bCs w:val="0"/>
                <w:color w:val="000000"/>
                <w:sz w:val="24"/>
                <w:szCs w:val="24"/>
              </w:rPr>
            </w:pPr>
            <w:r>
              <w:rPr>
                <w:rFonts w:hint="eastAsia"/>
                <w:b w:val="0"/>
                <w:bCs w:val="0"/>
                <w:color w:val="000000"/>
                <w:sz w:val="24"/>
                <w:szCs w:val="24"/>
              </w:rPr>
              <w:t>资金来源</w:t>
            </w:r>
          </w:p>
        </w:tc>
        <w:tc>
          <w:tcPr>
            <w:tcW w:w="7223" w:type="dxa"/>
            <w:vAlign w:val="center"/>
          </w:tcPr>
          <w:p>
            <w:pPr>
              <w:pStyle w:val="38"/>
              <w:widowControl w:val="0"/>
              <w:spacing w:before="0" w:beforeAutospacing="0" w:after="0" w:afterAutospacing="0"/>
              <w:jc w:val="both"/>
              <w:rPr>
                <w:b w:val="0"/>
                <w:bCs w:val="0"/>
                <w:color w:val="000000"/>
                <w:sz w:val="24"/>
                <w:szCs w:val="24"/>
              </w:rPr>
            </w:pPr>
            <w:r>
              <w:rPr>
                <w:color w:val="000000"/>
                <w:sz w:val="24"/>
                <w:szCs w:val="24"/>
              </w:rPr>
              <w:sym w:font="Wingdings 2" w:char="F052"/>
            </w:r>
            <w:r>
              <w:rPr>
                <w:rFonts w:hint="eastAsia"/>
                <w:b w:val="0"/>
                <w:bCs w:val="0"/>
                <w:color w:val="000000"/>
                <w:sz w:val="24"/>
                <w:szCs w:val="24"/>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Ansi="宋体"/>
                <w:color w:val="000000"/>
                <w:sz w:val="24"/>
                <w:szCs w:val="24"/>
              </w:rPr>
            </w:pPr>
            <w:r>
              <w:rPr>
                <w:rFonts w:hint="eastAsia" w:hAnsi="宋体"/>
                <w:color w:val="000000"/>
                <w:sz w:val="24"/>
                <w:szCs w:val="24"/>
              </w:rPr>
              <w:t>6</w:t>
            </w:r>
          </w:p>
        </w:tc>
        <w:tc>
          <w:tcPr>
            <w:tcW w:w="1447" w:type="dxa"/>
          </w:tcPr>
          <w:p>
            <w:pPr>
              <w:spacing w:line="500" w:lineRule="exact"/>
              <w:jc w:val="center"/>
              <w:rPr>
                <w:rFonts w:hAnsi="宋体"/>
                <w:color w:val="000000"/>
                <w:sz w:val="24"/>
                <w:szCs w:val="24"/>
                <w:lang w:val="zh-CN"/>
              </w:rPr>
            </w:pPr>
            <w:r>
              <w:rPr>
                <w:rFonts w:hint="eastAsia" w:hAnsi="宋体"/>
                <w:color w:val="000000"/>
                <w:sz w:val="24"/>
                <w:szCs w:val="24"/>
              </w:rPr>
              <w:t>标段划分</w:t>
            </w:r>
          </w:p>
        </w:tc>
        <w:tc>
          <w:tcPr>
            <w:tcW w:w="7223" w:type="dxa"/>
            <w:vAlign w:val="center"/>
          </w:tcPr>
          <w:p>
            <w:pPr>
              <w:spacing w:line="500" w:lineRule="exact"/>
              <w:rPr>
                <w:rFonts w:hAnsi="宋体"/>
                <w:bCs/>
                <w:color w:val="000000"/>
                <w:sz w:val="24"/>
                <w:szCs w:val="24"/>
              </w:rPr>
            </w:pPr>
            <w:r>
              <w:rPr>
                <w:color w:val="000000"/>
                <w:sz w:val="24"/>
                <w:szCs w:val="24"/>
              </w:rPr>
              <w:sym w:font="Wingdings 2" w:char="F052"/>
            </w:r>
            <w:r>
              <w:rPr>
                <w:rFonts w:hint="eastAsia" w:hAnsi="宋体"/>
                <w:color w:val="000000"/>
                <w:sz w:val="24"/>
                <w:szCs w:val="24"/>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75" w:type="dxa"/>
            <w:vAlign w:val="center"/>
          </w:tcPr>
          <w:p>
            <w:pPr>
              <w:spacing w:line="500" w:lineRule="exact"/>
              <w:ind w:right="102"/>
              <w:jc w:val="center"/>
              <w:rPr>
                <w:rFonts w:hAnsi="宋体"/>
                <w:color w:val="000000"/>
                <w:sz w:val="24"/>
                <w:szCs w:val="24"/>
                <w:lang w:val="zh-CN"/>
              </w:rPr>
            </w:pPr>
            <w:r>
              <w:rPr>
                <w:rFonts w:hint="eastAsia" w:hAnsi="宋体"/>
                <w:color w:val="000000"/>
                <w:sz w:val="24"/>
                <w:szCs w:val="24"/>
                <w:lang w:val="zh-CN"/>
              </w:rPr>
              <w:t>7</w:t>
            </w:r>
          </w:p>
        </w:tc>
        <w:tc>
          <w:tcPr>
            <w:tcW w:w="1447" w:type="dxa"/>
            <w:vAlign w:val="center"/>
          </w:tcPr>
          <w:p>
            <w:pPr>
              <w:spacing w:line="500" w:lineRule="exact"/>
              <w:jc w:val="center"/>
              <w:rPr>
                <w:rFonts w:hint="default" w:hAnsi="宋体" w:eastAsia="宋体"/>
                <w:color w:val="000000"/>
                <w:sz w:val="24"/>
                <w:szCs w:val="24"/>
                <w:lang w:val="en-US" w:eastAsia="zh-CN"/>
              </w:rPr>
            </w:pPr>
            <w:r>
              <w:rPr>
                <w:rFonts w:hint="eastAsia" w:hAnsi="宋体"/>
                <w:color w:val="000000"/>
                <w:sz w:val="24"/>
                <w:szCs w:val="24"/>
                <w:lang w:val="zh-CN"/>
              </w:rPr>
              <w:t>付款方式</w:t>
            </w:r>
            <w:r>
              <w:rPr>
                <w:rFonts w:hint="eastAsia" w:hAnsi="宋体"/>
                <w:color w:val="000000"/>
                <w:sz w:val="24"/>
                <w:szCs w:val="24"/>
                <w:lang w:val="en-US" w:eastAsia="zh-CN"/>
              </w:rPr>
              <w:t>及计价方式</w:t>
            </w:r>
          </w:p>
        </w:tc>
        <w:tc>
          <w:tcPr>
            <w:tcW w:w="7223" w:type="dxa"/>
            <w:vAlign w:val="center"/>
          </w:tcPr>
          <w:p>
            <w:pPr>
              <w:pStyle w:val="31"/>
              <w:spacing w:line="500" w:lineRule="exact"/>
              <w:rPr>
                <w:rFonts w:hint="eastAsia" w:asciiTheme="minorEastAsia" w:hAnsiTheme="minorEastAsia" w:eastAsiaTheme="minorEastAsia"/>
                <w:bCs/>
                <w:kern w:val="0"/>
                <w:sz w:val="24"/>
                <w:szCs w:val="24"/>
                <w:lang w:val="zh-CN" w:eastAsia="zh-CN"/>
              </w:rPr>
            </w:pPr>
            <w:r>
              <w:rPr>
                <w:rFonts w:hint="eastAsia" w:hAnsi="宋体"/>
                <w:bCs/>
                <w:sz w:val="24"/>
                <w:szCs w:val="24"/>
                <w:lang w:bidi="ar"/>
              </w:rPr>
              <w:t>验收合格后根据实际购货量据实结算，</w:t>
            </w:r>
            <w:r>
              <w:rPr>
                <w:rFonts w:hint="eastAsia" w:hAnsi="宋体"/>
                <w:bCs/>
                <w:sz w:val="24"/>
                <w:szCs w:val="24"/>
                <w:lang w:val="zh-CN" w:bidi="ar"/>
              </w:rPr>
              <w:t>付款前中标人须提供增值税专用发票至招标人处。</w:t>
            </w:r>
          </w:p>
          <w:p>
            <w:pPr>
              <w:rPr>
                <w:rFonts w:hint="default" w:ascii="宋体" w:hAnsi="宋体" w:eastAsia="宋体" w:cs="Times New Roman"/>
                <w:kern w:val="2"/>
                <w:sz w:val="24"/>
                <w:szCs w:val="24"/>
                <w:lang w:val="en-US" w:eastAsia="zh-CN" w:bidi="ar-SA"/>
              </w:rPr>
            </w:pPr>
            <w:r>
              <w:rPr>
                <w:rFonts w:hint="eastAsia" w:asciiTheme="minorEastAsia" w:hAnsiTheme="minorEastAsia" w:eastAsiaTheme="minorEastAsia"/>
                <w:bCs/>
                <w:kern w:val="0"/>
                <w:sz w:val="24"/>
                <w:szCs w:val="24"/>
                <w:lang w:val="en-US" w:eastAsia="zh-CN"/>
              </w:rPr>
              <w:t>计价方式：</w:t>
            </w:r>
            <w:r>
              <w:rPr>
                <w:rFonts w:hint="eastAsia"/>
                <w:sz w:val="24"/>
                <w:szCs w:val="24"/>
              </w:rPr>
              <w:t>中标人的中标费率(F)、</w:t>
            </w:r>
            <w:r>
              <w:rPr>
                <w:rFonts w:hint="eastAsia"/>
                <w:sz w:val="24"/>
                <w:szCs w:val="24"/>
                <w:lang w:val="en-US" w:eastAsia="zh-CN"/>
              </w:rPr>
              <w:t>预算</w:t>
            </w:r>
            <w:r>
              <w:rPr>
                <w:rFonts w:hint="eastAsia"/>
                <w:sz w:val="24"/>
                <w:szCs w:val="24"/>
              </w:rPr>
              <w:t>单价(P)、实际使用数量(X)进行据实结算（结算金额（C）=∑(F×P×X)）。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ind w:right="102"/>
              <w:jc w:val="center"/>
              <w:rPr>
                <w:rFonts w:hAnsi="宋体"/>
                <w:color w:val="000000"/>
                <w:sz w:val="24"/>
                <w:szCs w:val="24"/>
                <w:lang w:val="zh-CN"/>
              </w:rPr>
            </w:pPr>
            <w:r>
              <w:rPr>
                <w:rFonts w:hint="eastAsia" w:hAnsi="宋体"/>
                <w:color w:val="000000"/>
                <w:sz w:val="24"/>
                <w:szCs w:val="24"/>
                <w:lang w:val="zh-CN"/>
              </w:rPr>
              <w:t>8</w:t>
            </w:r>
          </w:p>
        </w:tc>
        <w:tc>
          <w:tcPr>
            <w:tcW w:w="1447" w:type="dxa"/>
            <w:vAlign w:val="center"/>
          </w:tcPr>
          <w:p>
            <w:pPr>
              <w:spacing w:line="500" w:lineRule="exact"/>
              <w:jc w:val="center"/>
              <w:rPr>
                <w:rFonts w:hAnsi="宋体"/>
                <w:color w:val="000000"/>
                <w:sz w:val="24"/>
                <w:szCs w:val="24"/>
              </w:rPr>
            </w:pPr>
            <w:r>
              <w:rPr>
                <w:rFonts w:hint="eastAsia" w:hAnsi="宋体"/>
                <w:color w:val="000000"/>
                <w:sz w:val="24"/>
                <w:szCs w:val="24"/>
              </w:rPr>
              <w:t>联合体投标</w:t>
            </w:r>
          </w:p>
        </w:tc>
        <w:tc>
          <w:tcPr>
            <w:tcW w:w="7223" w:type="dxa"/>
            <w:vAlign w:val="center"/>
          </w:tcPr>
          <w:p>
            <w:pPr>
              <w:spacing w:line="500" w:lineRule="exact"/>
              <w:rPr>
                <w:rFonts w:hAnsi="宋体"/>
                <w:color w:val="000000"/>
                <w:sz w:val="24"/>
                <w:szCs w:val="24"/>
              </w:rPr>
            </w:pPr>
            <w:r>
              <w:rPr>
                <w:rFonts w:hint="eastAsia" w:hAnsi="宋体"/>
                <w:color w:val="000000"/>
                <w:sz w:val="24"/>
                <w:szCs w:val="24"/>
              </w:rPr>
              <w:t>□</w:t>
            </w:r>
            <w:r>
              <w:rPr>
                <w:rFonts w:hint="eastAsia" w:hAnsi="宋体"/>
                <w:color w:val="000000"/>
                <w:sz w:val="24"/>
                <w:szCs w:val="24"/>
                <w:lang w:val="zh-CN"/>
              </w:rPr>
              <w:t xml:space="preserve">接受  </w:t>
            </w:r>
            <w:r>
              <w:rPr>
                <w:b/>
                <w:bCs/>
                <w:color w:val="000000"/>
                <w:sz w:val="24"/>
                <w:szCs w:val="24"/>
              </w:rPr>
              <w:sym w:font="Wingdings 2" w:char="F052"/>
            </w:r>
            <w:r>
              <w:rPr>
                <w:rFonts w:hint="eastAsia" w:hAnsi="宋体"/>
                <w:color w:val="000000"/>
                <w:sz w:val="24"/>
                <w:szCs w:val="24"/>
              </w:rPr>
              <w:t>不</w:t>
            </w:r>
            <w:r>
              <w:rPr>
                <w:rFonts w:hint="eastAsia" w:hAnsi="宋体"/>
                <w:color w:val="000000"/>
                <w:sz w:val="24"/>
                <w:szCs w:val="24"/>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jc w:val="center"/>
              <w:rPr>
                <w:rFonts w:hAnsi="宋体"/>
                <w:color w:val="000000"/>
                <w:sz w:val="24"/>
                <w:szCs w:val="24"/>
              </w:rPr>
            </w:pPr>
            <w:r>
              <w:rPr>
                <w:rFonts w:hint="eastAsia" w:hAnsi="宋体"/>
                <w:color w:val="000000"/>
                <w:sz w:val="24"/>
                <w:szCs w:val="24"/>
              </w:rPr>
              <w:t>9</w:t>
            </w:r>
          </w:p>
        </w:tc>
        <w:tc>
          <w:tcPr>
            <w:tcW w:w="1447" w:type="dxa"/>
          </w:tcPr>
          <w:p>
            <w:pPr>
              <w:spacing w:line="500" w:lineRule="exact"/>
              <w:rPr>
                <w:rFonts w:hAnsi="宋体"/>
                <w:color w:val="000000"/>
                <w:sz w:val="24"/>
                <w:szCs w:val="24"/>
              </w:rPr>
            </w:pPr>
            <w:r>
              <w:rPr>
                <w:rFonts w:hint="eastAsia" w:hAnsi="宋体"/>
                <w:color w:val="000000"/>
                <w:sz w:val="24"/>
                <w:szCs w:val="24"/>
              </w:rPr>
              <w:t>服务地点</w:t>
            </w:r>
          </w:p>
        </w:tc>
        <w:tc>
          <w:tcPr>
            <w:tcW w:w="7223" w:type="dxa"/>
          </w:tcPr>
          <w:p>
            <w:pPr>
              <w:spacing w:line="500" w:lineRule="exact"/>
              <w:rPr>
                <w:rFonts w:hint="default" w:hAnsi="宋体" w:eastAsia="宋体"/>
                <w:color w:val="000000"/>
                <w:sz w:val="24"/>
                <w:szCs w:val="24"/>
                <w:lang w:val="en-US" w:eastAsia="zh-CN"/>
              </w:rPr>
            </w:pPr>
            <w:r>
              <w:rPr>
                <w:rFonts w:hint="eastAsia" w:hAnsi="宋体"/>
                <w:color w:val="000000"/>
                <w:sz w:val="24"/>
                <w:szCs w:val="24"/>
              </w:rPr>
              <w:t>合肥经济技术开发区</w:t>
            </w:r>
            <w:r>
              <w:rPr>
                <w:rFonts w:hint="eastAsia" w:hAnsi="宋体"/>
                <w:color w:val="000000"/>
                <w:sz w:val="24"/>
                <w:szCs w:val="24"/>
                <w:lang w:val="en-US" w:eastAsia="zh-CN"/>
              </w:rPr>
              <w:t>内（招标人指定地点）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vAlign w:val="center"/>
          </w:tcPr>
          <w:p>
            <w:pPr>
              <w:spacing w:line="500" w:lineRule="exact"/>
              <w:jc w:val="center"/>
              <w:rPr>
                <w:rFonts w:hAnsi="宋体"/>
                <w:color w:val="000000"/>
                <w:sz w:val="24"/>
                <w:szCs w:val="24"/>
              </w:rPr>
            </w:pPr>
            <w:r>
              <w:rPr>
                <w:rFonts w:hint="eastAsia" w:hAnsi="宋体"/>
                <w:color w:val="000000"/>
                <w:sz w:val="24"/>
                <w:szCs w:val="24"/>
              </w:rPr>
              <w:t>10</w:t>
            </w:r>
          </w:p>
        </w:tc>
        <w:tc>
          <w:tcPr>
            <w:tcW w:w="1447" w:type="dxa"/>
            <w:vAlign w:val="center"/>
          </w:tcPr>
          <w:p>
            <w:pPr>
              <w:spacing w:line="500" w:lineRule="exact"/>
              <w:jc w:val="center"/>
              <w:rPr>
                <w:rFonts w:hAnsi="宋体"/>
                <w:color w:val="000000"/>
                <w:sz w:val="24"/>
                <w:szCs w:val="24"/>
              </w:rPr>
            </w:pPr>
            <w:r>
              <w:rPr>
                <w:rFonts w:hint="eastAsia" w:hAnsi="宋体"/>
                <w:color w:val="000000"/>
                <w:sz w:val="24"/>
                <w:szCs w:val="24"/>
              </w:rPr>
              <w:t>服务期限</w:t>
            </w:r>
          </w:p>
        </w:tc>
        <w:tc>
          <w:tcPr>
            <w:tcW w:w="7223" w:type="dxa"/>
            <w:vAlign w:val="center"/>
          </w:tcPr>
          <w:p>
            <w:pPr>
              <w:spacing w:line="500" w:lineRule="exact"/>
              <w:rPr>
                <w:rFonts w:hAnsi="宋体"/>
                <w:color w:val="FF0000"/>
                <w:sz w:val="24"/>
                <w:szCs w:val="24"/>
              </w:rPr>
            </w:pPr>
            <w:r>
              <w:rPr>
                <w:rFonts w:hint="eastAsia" w:hAnsi="宋体"/>
                <w:color w:val="auto"/>
                <w:sz w:val="24"/>
                <w:szCs w:val="24"/>
              </w:rPr>
              <w:t>成交供应商在接到采购人通知后，须于3个日历日内（或在采购人指定时间内）将货物送至采购人指定地点。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75" w:type="dxa"/>
            <w:vAlign w:val="center"/>
          </w:tcPr>
          <w:p>
            <w:pPr>
              <w:spacing w:line="500" w:lineRule="exact"/>
              <w:jc w:val="center"/>
              <w:rPr>
                <w:rFonts w:hAnsi="宋体"/>
                <w:color w:val="000000"/>
                <w:sz w:val="24"/>
                <w:szCs w:val="24"/>
              </w:rPr>
            </w:pPr>
            <w:r>
              <w:rPr>
                <w:rFonts w:hint="eastAsia" w:hAnsi="宋体"/>
                <w:color w:val="000000"/>
                <w:sz w:val="24"/>
                <w:szCs w:val="24"/>
              </w:rPr>
              <w:t>11</w:t>
            </w:r>
          </w:p>
        </w:tc>
        <w:tc>
          <w:tcPr>
            <w:tcW w:w="1447" w:type="dxa"/>
            <w:vAlign w:val="center"/>
          </w:tcPr>
          <w:p>
            <w:pPr>
              <w:spacing w:line="500" w:lineRule="exact"/>
              <w:jc w:val="center"/>
              <w:rPr>
                <w:rFonts w:hAnsi="宋体"/>
                <w:color w:val="000000"/>
                <w:sz w:val="24"/>
                <w:szCs w:val="24"/>
                <w:lang w:val="zh-CN"/>
              </w:rPr>
            </w:pPr>
            <w:r>
              <w:rPr>
                <w:rFonts w:hint="eastAsia" w:hAnsi="宋体"/>
                <w:color w:val="000000"/>
                <w:sz w:val="24"/>
                <w:szCs w:val="24"/>
              </w:rPr>
              <w:t>投标保证金金额</w:t>
            </w:r>
          </w:p>
        </w:tc>
        <w:tc>
          <w:tcPr>
            <w:tcW w:w="7223" w:type="dxa"/>
            <w:vAlign w:val="center"/>
          </w:tcPr>
          <w:p>
            <w:pPr>
              <w:spacing w:line="500" w:lineRule="exact"/>
              <w:rPr>
                <w:rFonts w:hAnsi="宋体"/>
                <w:color w:val="000000"/>
                <w:sz w:val="24"/>
                <w:szCs w:val="24"/>
              </w:rPr>
            </w:pPr>
            <w:r>
              <w:rPr>
                <w:rFonts w:hint="eastAsia" w:hAnsi="宋体" w:cs="宋体"/>
                <w:b/>
                <w:color w:val="000000"/>
                <w:sz w:val="24"/>
                <w:szCs w:val="24"/>
              </w:rPr>
              <w:t>人民币</w:t>
            </w:r>
            <w:r>
              <w:rPr>
                <w:rFonts w:hint="eastAsia" w:hAnsi="宋体" w:cs="宋体"/>
                <w:b/>
                <w:color w:val="FF0000"/>
                <w:sz w:val="24"/>
                <w:szCs w:val="24"/>
                <w:u w:val="single"/>
              </w:rPr>
              <w:t>零</w:t>
            </w:r>
            <w:r>
              <w:rPr>
                <w:rFonts w:hint="eastAsia" w:hAnsi="宋体" w:cs="宋体"/>
                <w:b/>
                <w:color w:val="000000"/>
                <w:sz w:val="24"/>
                <w:szCs w:val="24"/>
              </w:rPr>
              <w:t>元</w:t>
            </w:r>
            <w:r>
              <w:rPr>
                <w:rFonts w:hint="eastAsia" w:hAnsi="宋体"/>
                <w:b/>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int="eastAsia" w:hAnsi="宋体" w:eastAsiaTheme="minorEastAsia"/>
                <w:color w:val="000000"/>
                <w:sz w:val="24"/>
                <w:szCs w:val="24"/>
                <w:lang w:eastAsia="zh-CN"/>
              </w:rPr>
            </w:pPr>
            <w:r>
              <w:rPr>
                <w:rFonts w:hint="eastAsia" w:hAnsi="宋体"/>
                <w:color w:val="000000"/>
                <w:sz w:val="24"/>
                <w:szCs w:val="24"/>
              </w:rPr>
              <w:t>1</w:t>
            </w:r>
            <w:r>
              <w:rPr>
                <w:rFonts w:hint="eastAsia" w:hAnsi="宋体"/>
                <w:color w:val="000000"/>
                <w:sz w:val="24"/>
                <w:szCs w:val="24"/>
                <w:lang w:val="en-US" w:eastAsia="zh-CN"/>
              </w:rPr>
              <w:t>3</w:t>
            </w:r>
          </w:p>
        </w:tc>
        <w:tc>
          <w:tcPr>
            <w:tcW w:w="1447" w:type="dxa"/>
            <w:vAlign w:val="center"/>
          </w:tcPr>
          <w:p>
            <w:pPr>
              <w:spacing w:line="500" w:lineRule="exact"/>
              <w:jc w:val="center"/>
              <w:rPr>
                <w:rFonts w:hAnsi="宋体"/>
                <w:color w:val="000000"/>
                <w:sz w:val="24"/>
                <w:szCs w:val="24"/>
              </w:rPr>
            </w:pPr>
            <w:r>
              <w:rPr>
                <w:rFonts w:hint="eastAsia" w:hAnsi="宋体"/>
                <w:bCs/>
                <w:color w:val="000000"/>
                <w:sz w:val="24"/>
                <w:szCs w:val="24"/>
              </w:rPr>
              <w:t>踏勘现场</w:t>
            </w:r>
          </w:p>
        </w:tc>
        <w:tc>
          <w:tcPr>
            <w:tcW w:w="7223" w:type="dxa"/>
            <w:vAlign w:val="center"/>
          </w:tcPr>
          <w:p>
            <w:pPr>
              <w:spacing w:line="500" w:lineRule="exact"/>
              <w:rPr>
                <w:rFonts w:hAnsi="宋体"/>
                <w:color w:val="000000"/>
                <w:sz w:val="24"/>
                <w:szCs w:val="24"/>
                <w:lang w:val="zh-CN"/>
              </w:rPr>
            </w:pPr>
            <w:r>
              <w:rPr>
                <w:b/>
                <w:color w:val="000000"/>
                <w:sz w:val="24"/>
                <w:szCs w:val="24"/>
              </w:rPr>
              <w:sym w:font="Wingdings" w:char="00FE"/>
            </w:r>
            <w:r>
              <w:rPr>
                <w:rFonts w:hint="eastAsia" w:hAnsi="宋体"/>
                <w:bCs/>
                <w:color w:val="000000"/>
                <w:sz w:val="24"/>
                <w:szCs w:val="24"/>
              </w:rPr>
              <w:t>自行踏勘</w:t>
            </w:r>
            <w:r>
              <w:rPr>
                <w:rFonts w:hint="eastAsia" w:hAnsi="宋体"/>
                <w:color w:val="000000"/>
                <w:sz w:val="24"/>
                <w:szCs w:val="24"/>
              </w:rPr>
              <w:t xml:space="preserve">  □采购人</w:t>
            </w:r>
            <w:r>
              <w:rPr>
                <w:rFonts w:hint="eastAsia" w:hAnsi="宋体"/>
                <w:color w:val="000000"/>
                <w:sz w:val="24"/>
                <w:szCs w:val="24"/>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jc w:val="center"/>
              <w:rPr>
                <w:rFonts w:hAnsi="宋体"/>
                <w:color w:val="000000"/>
                <w:sz w:val="24"/>
                <w:szCs w:val="24"/>
              </w:rPr>
            </w:pPr>
            <w:r>
              <w:rPr>
                <w:rFonts w:hint="eastAsia" w:hAnsi="宋体"/>
                <w:color w:val="000000"/>
                <w:sz w:val="24"/>
                <w:szCs w:val="24"/>
              </w:rPr>
              <w:t>20</w:t>
            </w:r>
          </w:p>
        </w:tc>
        <w:tc>
          <w:tcPr>
            <w:tcW w:w="1447" w:type="dxa"/>
            <w:vAlign w:val="center"/>
          </w:tcPr>
          <w:p>
            <w:pPr>
              <w:spacing w:line="500" w:lineRule="exact"/>
              <w:jc w:val="center"/>
              <w:rPr>
                <w:rFonts w:hAnsi="宋体"/>
                <w:color w:val="000000"/>
                <w:sz w:val="24"/>
                <w:szCs w:val="24"/>
              </w:rPr>
            </w:pPr>
            <w:r>
              <w:rPr>
                <w:rFonts w:hint="eastAsia" w:hAnsi="宋体"/>
                <w:color w:val="000000"/>
                <w:sz w:val="24"/>
                <w:szCs w:val="24"/>
              </w:rPr>
              <w:t>本地化服务</w:t>
            </w:r>
          </w:p>
        </w:tc>
        <w:tc>
          <w:tcPr>
            <w:tcW w:w="7223" w:type="dxa"/>
            <w:vAlign w:val="center"/>
          </w:tcPr>
          <w:p>
            <w:pPr>
              <w:spacing w:line="500" w:lineRule="exact"/>
              <w:rPr>
                <w:rFonts w:hAnsi="宋体"/>
                <w:color w:val="000000"/>
                <w:sz w:val="24"/>
                <w:szCs w:val="24"/>
              </w:rPr>
            </w:pPr>
            <w:r>
              <w:rPr>
                <w:rFonts w:hint="eastAsia" w:hAnsi="宋体"/>
                <w:color w:val="000000"/>
                <w:sz w:val="24"/>
                <w:szCs w:val="24"/>
              </w:rPr>
              <w:t>本项目是否要求本地化服务能力：</w:t>
            </w:r>
            <w:r>
              <w:rPr>
                <w:rFonts w:hAnsi="宋体"/>
                <w:color w:val="000000"/>
                <w:sz w:val="24"/>
                <w:szCs w:val="24"/>
              </w:rPr>
              <w:t></w:t>
            </w:r>
            <w:r>
              <w:rPr>
                <w:rFonts w:hint="eastAsia"/>
                <w:b/>
                <w:bCs/>
                <w:color w:val="000000"/>
                <w:sz w:val="24"/>
                <w:szCs w:val="24"/>
                <w:u w:val="single"/>
              </w:rPr>
              <w:sym w:font="Wingdings 2" w:char="F052"/>
            </w:r>
            <w:r>
              <w:rPr>
                <w:rFonts w:hint="eastAsia" w:hAnsi="宋体"/>
                <w:color w:val="000000"/>
                <w:sz w:val="24"/>
                <w:szCs w:val="24"/>
              </w:rPr>
              <w:t>要求□不要求</w:t>
            </w:r>
          </w:p>
          <w:p>
            <w:pPr>
              <w:spacing w:line="500" w:lineRule="exact"/>
              <w:rPr>
                <w:rFonts w:hAnsi="宋体"/>
                <w:color w:val="000000"/>
                <w:sz w:val="24"/>
                <w:szCs w:val="24"/>
              </w:rPr>
            </w:pPr>
            <w:r>
              <w:rPr>
                <w:rFonts w:hint="eastAsia" w:hAnsi="宋体"/>
                <w:color w:val="000000"/>
                <w:sz w:val="24"/>
                <w:szCs w:val="24"/>
              </w:rPr>
              <w:t>本地化服务的能力是指具有以下条件之一：</w:t>
            </w:r>
          </w:p>
          <w:p>
            <w:pPr>
              <w:spacing w:line="500" w:lineRule="exact"/>
              <w:rPr>
                <w:rFonts w:hAnsi="宋体"/>
                <w:color w:val="000000"/>
                <w:sz w:val="24"/>
                <w:szCs w:val="24"/>
              </w:rPr>
            </w:pPr>
            <w:r>
              <w:rPr>
                <w:rFonts w:hint="eastAsia" w:hAnsi="宋体"/>
                <w:color w:val="000000"/>
                <w:sz w:val="24"/>
                <w:szCs w:val="24"/>
              </w:rPr>
              <w:t>1）在本地具有固定的办公场所及人员；</w:t>
            </w:r>
          </w:p>
          <w:p>
            <w:pPr>
              <w:spacing w:line="500" w:lineRule="exact"/>
              <w:rPr>
                <w:rFonts w:hAnsi="宋体"/>
                <w:color w:val="000000"/>
                <w:sz w:val="24"/>
                <w:szCs w:val="24"/>
              </w:rPr>
            </w:pPr>
            <w:r>
              <w:rPr>
                <w:rFonts w:hint="eastAsia" w:hAnsi="宋体"/>
                <w:color w:val="000000"/>
                <w:sz w:val="24"/>
                <w:szCs w:val="24"/>
              </w:rPr>
              <w:t>2）在本地注册成立的；</w:t>
            </w:r>
          </w:p>
          <w:p>
            <w:pPr>
              <w:spacing w:line="500" w:lineRule="exact"/>
              <w:rPr>
                <w:rFonts w:hAnsi="宋体"/>
                <w:color w:val="000000"/>
                <w:sz w:val="24"/>
                <w:szCs w:val="24"/>
              </w:rPr>
            </w:pPr>
            <w:r>
              <w:rPr>
                <w:rFonts w:hint="eastAsia" w:hAnsi="宋体"/>
                <w:color w:val="000000"/>
                <w:sz w:val="24"/>
                <w:szCs w:val="24"/>
              </w:rPr>
              <w:t>3）承诺成交即设立本地化服务机构。</w:t>
            </w:r>
          </w:p>
          <w:p>
            <w:pPr>
              <w:spacing w:line="500" w:lineRule="exact"/>
              <w:rPr>
                <w:rFonts w:hAnsi="宋体"/>
                <w:b/>
                <w:color w:val="000000"/>
                <w:sz w:val="24"/>
                <w:szCs w:val="24"/>
              </w:rPr>
            </w:pPr>
            <w:r>
              <w:rPr>
                <w:rFonts w:hint="eastAsia" w:hAnsi="宋体"/>
                <w:color w:val="000000"/>
                <w:sz w:val="24"/>
                <w:szCs w:val="24"/>
              </w:rPr>
              <w:t>备注：“本地”系指： 合肥市</w:t>
            </w:r>
          </w:p>
        </w:tc>
      </w:tr>
    </w:tbl>
    <w:p>
      <w:pPr>
        <w:rPr>
          <w:rFonts w:hint="eastAsia"/>
          <w:lang w:eastAsia="zh-CN"/>
        </w:rPr>
      </w:pPr>
    </w:p>
    <w:p>
      <w:pPr>
        <w:rPr>
          <w:rFonts w:hint="eastAsia"/>
          <w:lang w:eastAsia="zh-CN"/>
        </w:rPr>
      </w:pPr>
    </w:p>
    <w:p>
      <w:pPr>
        <w:rPr>
          <w:rFonts w:hint="eastAsia"/>
          <w:lang w:eastAsia="zh-CN"/>
        </w:rPr>
      </w:pPr>
    </w:p>
    <w:tbl>
      <w:tblPr>
        <w:tblStyle w:val="17"/>
        <w:tblpPr w:leftFromText="180" w:rightFromText="180" w:vertAnchor="text" w:horzAnchor="page" w:tblpX="1250" w:tblpY="106"/>
        <w:tblOverlap w:val="never"/>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0"/>
        <w:gridCol w:w="1106"/>
        <w:gridCol w:w="3304"/>
        <w:gridCol w:w="795"/>
        <w:gridCol w:w="780"/>
        <w:gridCol w:w="840"/>
        <w:gridCol w:w="1170"/>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9705" w:type="dxa"/>
            <w:gridSpan w:val="8"/>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苗木采购清单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0" w:type="dxa"/>
            <w:vMerge w:val="restart"/>
            <w:tcBorders>
              <w:top w:val="single" w:color="000000" w:sz="8"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106"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3304"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项目特征描述</w:t>
            </w:r>
          </w:p>
        </w:tc>
        <w:tc>
          <w:tcPr>
            <w:tcW w:w="795"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计量</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单位</w:t>
            </w:r>
          </w:p>
        </w:tc>
        <w:tc>
          <w:tcPr>
            <w:tcW w:w="780"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lang w:val="en-US" w:eastAsia="zh-CN"/>
              </w:rPr>
            </w:pPr>
            <w:r>
              <w:rPr>
                <w:rFonts w:hint="eastAsia" w:ascii="黑体" w:hAnsi="宋体" w:eastAsia="黑体" w:cs="黑体"/>
                <w:i w:val="0"/>
                <w:iCs w:val="0"/>
                <w:color w:val="000000"/>
                <w:sz w:val="24"/>
                <w:szCs w:val="24"/>
                <w:u w:val="none"/>
                <w:lang w:val="en-US" w:eastAsia="zh-CN"/>
              </w:rPr>
              <w:t>控制数量</w:t>
            </w:r>
          </w:p>
        </w:tc>
        <w:tc>
          <w:tcPr>
            <w:tcW w:w="3000" w:type="dxa"/>
            <w:gridSpan w:val="3"/>
            <w:tcBorders>
              <w:top w:val="single" w:color="000000" w:sz="8" w:space="0"/>
              <w:left w:val="single" w:color="000000" w:sz="4" w:space="0"/>
              <w:bottom w:val="single" w:color="000000" w:sz="4" w:space="0"/>
              <w:right w:val="single" w:color="000000" w:sz="8" w:space="0"/>
            </w:tcBorders>
            <w:shd w:val="clear" w:color="auto" w:fill="FFFFFF"/>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4"/>
                <w:szCs w:val="24"/>
                <w:u w:val="none"/>
              </w:rPr>
            </w:pPr>
          </w:p>
        </w:tc>
        <w:tc>
          <w:tcPr>
            <w:tcW w:w="1106"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4"/>
                <w:szCs w:val="24"/>
                <w:u w:val="none"/>
              </w:rPr>
            </w:pPr>
          </w:p>
        </w:tc>
        <w:tc>
          <w:tcPr>
            <w:tcW w:w="3304"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4"/>
                <w:szCs w:val="24"/>
                <w:u w:val="none"/>
              </w:rPr>
            </w:pPr>
          </w:p>
        </w:tc>
        <w:tc>
          <w:tcPr>
            <w:tcW w:w="795"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4"/>
                <w:szCs w:val="24"/>
                <w:u w:val="none"/>
              </w:rPr>
            </w:pPr>
          </w:p>
        </w:tc>
        <w:tc>
          <w:tcPr>
            <w:tcW w:w="78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4"/>
                <w:szCs w:val="24"/>
                <w:u w:val="none"/>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控制单价</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990" w:type="dxa"/>
            <w:vMerge w:val="restart"/>
            <w:tcBorders>
              <w:top w:val="single" w:color="000000" w:sz="4" w:space="0"/>
              <w:left w:val="nil"/>
              <w:bottom w:val="single" w:color="000000" w:sz="4" w:space="0"/>
              <w:right w:val="single" w:color="000000" w:sz="8" w:space="0"/>
            </w:tcBorders>
            <w:shd w:val="clear" w:color="auto" w:fill="FFFFFF"/>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0"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4"/>
                <w:szCs w:val="24"/>
                <w:u w:val="none"/>
              </w:rPr>
            </w:pPr>
          </w:p>
        </w:tc>
        <w:tc>
          <w:tcPr>
            <w:tcW w:w="1106"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4"/>
                <w:szCs w:val="24"/>
                <w:u w:val="none"/>
              </w:rPr>
            </w:pPr>
          </w:p>
        </w:tc>
        <w:tc>
          <w:tcPr>
            <w:tcW w:w="3304"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4"/>
                <w:szCs w:val="24"/>
                <w:u w:val="none"/>
              </w:rPr>
            </w:pPr>
          </w:p>
        </w:tc>
        <w:tc>
          <w:tcPr>
            <w:tcW w:w="795"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4"/>
                <w:szCs w:val="24"/>
                <w:u w:val="none"/>
              </w:rPr>
            </w:pPr>
          </w:p>
        </w:tc>
        <w:tc>
          <w:tcPr>
            <w:tcW w:w="78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4"/>
                <w:szCs w:val="24"/>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4"/>
                <w:szCs w:val="24"/>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4"/>
                <w:szCs w:val="24"/>
                <w:u w:val="none"/>
              </w:rPr>
            </w:pPr>
          </w:p>
        </w:tc>
        <w:tc>
          <w:tcPr>
            <w:tcW w:w="990" w:type="dxa"/>
            <w:vMerge w:val="continue"/>
            <w:tcBorders>
              <w:top w:val="single" w:color="000000" w:sz="4" w:space="0"/>
              <w:left w:val="nil"/>
              <w:bottom w:val="single" w:color="000000" w:sz="4" w:space="0"/>
              <w:right w:val="single" w:color="000000" w:sz="8" w:space="0"/>
            </w:tcBorders>
            <w:shd w:val="clear" w:color="auto" w:fill="FFFFFF"/>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5" w:hRule="atLeast"/>
        </w:trPr>
        <w:tc>
          <w:tcPr>
            <w:tcW w:w="72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采购乔、灌木</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1、种类：法国梧桐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2、胸径：12cm（乔木主干高度在130㎝处的树干直径）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3、树高：≥550cm、冠径：≥300cm，分枝点：≥250cm，苗木土球直径应为苗木干径或地径的7-8倍。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4、无球改良品种，截干后三年生苗，形优美，一级分枝不少于3-5个。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31200</w:t>
            </w:r>
          </w:p>
        </w:tc>
        <w:tc>
          <w:tcPr>
            <w:tcW w:w="99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8" w:hRule="atLeast"/>
        </w:trPr>
        <w:tc>
          <w:tcPr>
            <w:tcW w:w="72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1、种类：飞寒樱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2、地径：10cm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3、树高：450-550cm、冠径：350-450cm，分枝点：≥180cm，苗木土球直径应为苗木干径或地径的7-8倍。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4、全冠，树型优美、冠型饱满、苗圃苗。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12480</w:t>
            </w:r>
          </w:p>
        </w:tc>
        <w:tc>
          <w:tcPr>
            <w:tcW w:w="99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8" w:hRule="atLeast"/>
        </w:trPr>
        <w:tc>
          <w:tcPr>
            <w:tcW w:w="72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1、种类：单杆金桂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2、地径：12cm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3、树高：350-400cm、冠径：250-300cm，分枝点：120-150cm，苗木土球直径应为苗木干径或地径的7-8倍。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4、全冠，树型优美、冠型饱满、苗圃苗。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63050</w:t>
            </w:r>
          </w:p>
        </w:tc>
        <w:tc>
          <w:tcPr>
            <w:tcW w:w="99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72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1、种类：单杆金桂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2、地径：8cm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3、树高：350-400cm、冠径：200-250cm，分枝点：120-150cm，苗木土球直径应为苗木干径或地径的7-8倍。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4、全冠，树型优美、冠型饱满、苗圃苗。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1960</w:t>
            </w:r>
          </w:p>
        </w:tc>
        <w:tc>
          <w:tcPr>
            <w:tcW w:w="9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潜山路南延绿化补植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0"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108690</w:t>
            </w:r>
          </w:p>
        </w:tc>
        <w:tc>
          <w:tcPr>
            <w:tcW w:w="99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4"/>
                <w:szCs w:val="24"/>
                <w:u w:val="none"/>
              </w:rPr>
            </w:pPr>
          </w:p>
        </w:tc>
      </w:tr>
    </w:tbl>
    <w:p>
      <w:pPr>
        <w:jc w:val="both"/>
        <w:rPr>
          <w:rFonts w:hint="eastAsia" w:ascii="Times New Roman" w:hAnsi="Times New Roman" w:eastAsia="宋体" w:cs="Times New Roman"/>
          <w:b/>
          <w:color w:val="auto"/>
          <w:sz w:val="44"/>
          <w:szCs w:val="44"/>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3164B46"/>
    <w:rsid w:val="033C3A37"/>
    <w:rsid w:val="03C238C1"/>
    <w:rsid w:val="046D02C9"/>
    <w:rsid w:val="04AC7907"/>
    <w:rsid w:val="07D61CBB"/>
    <w:rsid w:val="08187346"/>
    <w:rsid w:val="08C218CD"/>
    <w:rsid w:val="09357310"/>
    <w:rsid w:val="09431CDD"/>
    <w:rsid w:val="09D85925"/>
    <w:rsid w:val="0B16599D"/>
    <w:rsid w:val="0CC51CA1"/>
    <w:rsid w:val="0EA75F43"/>
    <w:rsid w:val="12375F75"/>
    <w:rsid w:val="12E66D1C"/>
    <w:rsid w:val="1474453F"/>
    <w:rsid w:val="147A6B5F"/>
    <w:rsid w:val="174F3E72"/>
    <w:rsid w:val="19371A3D"/>
    <w:rsid w:val="1B562B38"/>
    <w:rsid w:val="1BBE6F12"/>
    <w:rsid w:val="1BE340FE"/>
    <w:rsid w:val="1CD51C99"/>
    <w:rsid w:val="1EA9518B"/>
    <w:rsid w:val="1EF02DBA"/>
    <w:rsid w:val="229D0F23"/>
    <w:rsid w:val="243573E8"/>
    <w:rsid w:val="2560638D"/>
    <w:rsid w:val="2888575B"/>
    <w:rsid w:val="2DC35BE2"/>
    <w:rsid w:val="2DFD6DA8"/>
    <w:rsid w:val="2F5C3B54"/>
    <w:rsid w:val="3401034F"/>
    <w:rsid w:val="365F5108"/>
    <w:rsid w:val="38205973"/>
    <w:rsid w:val="38451629"/>
    <w:rsid w:val="39202096"/>
    <w:rsid w:val="3956631D"/>
    <w:rsid w:val="39A323C9"/>
    <w:rsid w:val="3D995F73"/>
    <w:rsid w:val="3DD40ACC"/>
    <w:rsid w:val="3E7A3FF6"/>
    <w:rsid w:val="3F7C42B6"/>
    <w:rsid w:val="40821E95"/>
    <w:rsid w:val="41D568CD"/>
    <w:rsid w:val="42331D89"/>
    <w:rsid w:val="425C413F"/>
    <w:rsid w:val="42654155"/>
    <w:rsid w:val="475C491A"/>
    <w:rsid w:val="49381B80"/>
    <w:rsid w:val="49521D16"/>
    <w:rsid w:val="4A180A44"/>
    <w:rsid w:val="4A630034"/>
    <w:rsid w:val="4D752558"/>
    <w:rsid w:val="4D841426"/>
    <w:rsid w:val="4D926C66"/>
    <w:rsid w:val="4E235B10"/>
    <w:rsid w:val="4E4A0A8E"/>
    <w:rsid w:val="4EFF657E"/>
    <w:rsid w:val="50116703"/>
    <w:rsid w:val="51EB53DF"/>
    <w:rsid w:val="53603F65"/>
    <w:rsid w:val="53C074E1"/>
    <w:rsid w:val="551C3A0B"/>
    <w:rsid w:val="555C59B4"/>
    <w:rsid w:val="56146A67"/>
    <w:rsid w:val="5839386D"/>
    <w:rsid w:val="586F2E85"/>
    <w:rsid w:val="58B2099D"/>
    <w:rsid w:val="59F6057D"/>
    <w:rsid w:val="5A8121BA"/>
    <w:rsid w:val="5ABF0539"/>
    <w:rsid w:val="5B4434DF"/>
    <w:rsid w:val="6359495D"/>
    <w:rsid w:val="65374BCA"/>
    <w:rsid w:val="6562740E"/>
    <w:rsid w:val="65FC1861"/>
    <w:rsid w:val="662E5966"/>
    <w:rsid w:val="6747066A"/>
    <w:rsid w:val="699F737A"/>
    <w:rsid w:val="6EAC5D22"/>
    <w:rsid w:val="6F1E00AA"/>
    <w:rsid w:val="6FE07D2F"/>
    <w:rsid w:val="73136DD6"/>
    <w:rsid w:val="73922BF0"/>
    <w:rsid w:val="73B72B30"/>
    <w:rsid w:val="76271B88"/>
    <w:rsid w:val="76C41664"/>
    <w:rsid w:val="77AD62C7"/>
    <w:rsid w:val="792768C4"/>
    <w:rsid w:val="7A264116"/>
    <w:rsid w:val="7B2E5971"/>
    <w:rsid w:val="7C2E1DAD"/>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7"/>
    <w:basedOn w:val="1"/>
    <w:qFormat/>
    <w:uiPriority w:val="1"/>
    <w:pPr>
      <w:ind w:left="577"/>
      <w:outlineLvl w:val="6"/>
    </w:pPr>
    <w:rPr>
      <w:rFonts w:ascii="宋体" w:hAnsi="宋体"/>
      <w:b/>
      <w:bCs/>
      <w:sz w:val="21"/>
      <w:szCs w:val="21"/>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5"/>
    <w:autoRedefine/>
    <w:semiHidden/>
    <w:unhideWhenUsed/>
    <w:qFormat/>
    <w:uiPriority w:val="99"/>
    <w:pPr>
      <w:jc w:val="left"/>
    </w:pPr>
  </w:style>
  <w:style w:type="paragraph" w:styleId="6">
    <w:name w:val="Body Text"/>
    <w:basedOn w:val="1"/>
    <w:autoRedefine/>
    <w:qFormat/>
    <w:uiPriority w:val="1"/>
    <w:pPr>
      <w:ind w:left="140"/>
    </w:pPr>
    <w:rPr>
      <w:rFonts w:ascii="宋体" w:hAnsi="宋体"/>
      <w:sz w:val="21"/>
      <w:szCs w:val="21"/>
    </w:rPr>
  </w:style>
  <w:style w:type="paragraph" w:styleId="7">
    <w:name w:val="Body Text Indent"/>
    <w:basedOn w:val="1"/>
    <w:autoRedefine/>
    <w:qFormat/>
    <w:uiPriority w:val="0"/>
    <w:pPr>
      <w:ind w:firstLine="645"/>
    </w:pPr>
    <w:rPr>
      <w:rFonts w:ascii="楷体_GB2312" w:eastAsia="楷体_GB2312"/>
      <w:kern w:val="2"/>
      <w:sz w:val="32"/>
    </w:rPr>
  </w:style>
  <w:style w:type="paragraph" w:styleId="8">
    <w:name w:val="Plain Text"/>
    <w:basedOn w:val="1"/>
    <w:autoRedefine/>
    <w:qFormat/>
    <w:uiPriority w:val="0"/>
    <w:rPr>
      <w:rFonts w:hAnsi="Courier New"/>
      <w:kern w:val="2"/>
      <w:sz w:val="21"/>
    </w:rPr>
  </w:style>
  <w:style w:type="paragraph" w:styleId="9">
    <w:name w:val="Balloon Text"/>
    <w:basedOn w:val="1"/>
    <w:link w:val="27"/>
    <w:autoRedefine/>
    <w:semiHidden/>
    <w:unhideWhenUsed/>
    <w:qFormat/>
    <w:uiPriority w:val="99"/>
    <w:rPr>
      <w:sz w:val="18"/>
      <w:szCs w:val="18"/>
    </w:rPr>
  </w:style>
  <w:style w:type="paragraph" w:styleId="10">
    <w:name w:val="footer"/>
    <w:basedOn w:val="1"/>
    <w:link w:val="23"/>
    <w:autoRedefine/>
    <w:unhideWhenUsed/>
    <w:qFormat/>
    <w:uiPriority w:val="99"/>
    <w:pPr>
      <w:tabs>
        <w:tab w:val="center" w:pos="4153"/>
        <w:tab w:val="right" w:pos="8306"/>
      </w:tabs>
      <w:snapToGrid w:val="0"/>
      <w:jc w:val="left"/>
    </w:pPr>
    <w:rPr>
      <w:sz w:val="18"/>
      <w:szCs w:val="18"/>
    </w:rPr>
  </w:style>
  <w:style w:type="paragraph" w:styleId="11">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Indent 3"/>
    <w:basedOn w:val="1"/>
    <w:autoRedefine/>
    <w:qFormat/>
    <w:uiPriority w:val="0"/>
    <w:pPr>
      <w:ind w:firstLine="645"/>
    </w:pPr>
    <w:rPr>
      <w:rFonts w:ascii="仿宋_GB2312" w:hAnsi="Arial" w:eastAsia="仿宋_GB2312"/>
      <w:color w:val="000000"/>
      <w:sz w:val="30"/>
    </w:rPr>
  </w:style>
  <w:style w:type="paragraph" w:styleId="13">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autoRedefine/>
    <w:unhideWhenUsed/>
    <w:qFormat/>
    <w:uiPriority w:val="99"/>
    <w:pPr>
      <w:spacing w:before="100" w:beforeAutospacing="1" w:after="100" w:afterAutospacing="1"/>
      <w:jc w:val="left"/>
    </w:pPr>
    <w:rPr>
      <w:kern w:val="0"/>
      <w:sz w:val="24"/>
      <w:szCs w:val="22"/>
    </w:rPr>
  </w:style>
  <w:style w:type="paragraph" w:styleId="15">
    <w:name w:val="annotation subject"/>
    <w:basedOn w:val="5"/>
    <w:next w:val="5"/>
    <w:link w:val="26"/>
    <w:autoRedefine/>
    <w:semiHidden/>
    <w:unhideWhenUsed/>
    <w:qFormat/>
    <w:uiPriority w:val="99"/>
    <w:rPr>
      <w:b/>
      <w:bCs/>
    </w:rPr>
  </w:style>
  <w:style w:type="paragraph" w:styleId="16">
    <w:name w:val="Body Text First Indent 2"/>
    <w:basedOn w:val="7"/>
    <w:autoRedefine/>
    <w:qFormat/>
    <w:uiPriority w:val="0"/>
    <w:pPr>
      <w:ind w:left="420" w:leftChars="200" w:firstLine="420" w:firstLineChars="200"/>
    </w:pPr>
  </w:style>
  <w:style w:type="table" w:styleId="18">
    <w:name w:val="Table Grid"/>
    <w:basedOn w:val="17"/>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annotation reference"/>
    <w:basedOn w:val="19"/>
    <w:autoRedefine/>
    <w:semiHidden/>
    <w:unhideWhenUsed/>
    <w:qFormat/>
    <w:uiPriority w:val="99"/>
    <w:rPr>
      <w:sz w:val="21"/>
      <w:szCs w:val="21"/>
    </w:rPr>
  </w:style>
  <w:style w:type="paragraph" w:customStyle="1" w:styleId="21">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22">
    <w:name w:val="页眉 Char"/>
    <w:basedOn w:val="19"/>
    <w:link w:val="11"/>
    <w:autoRedefine/>
    <w:qFormat/>
    <w:uiPriority w:val="99"/>
    <w:rPr>
      <w:sz w:val="18"/>
      <w:szCs w:val="18"/>
    </w:rPr>
  </w:style>
  <w:style w:type="character" w:customStyle="1" w:styleId="23">
    <w:name w:val="页脚 Char"/>
    <w:basedOn w:val="19"/>
    <w:link w:val="10"/>
    <w:autoRedefine/>
    <w:qFormat/>
    <w:uiPriority w:val="99"/>
    <w:rPr>
      <w:sz w:val="18"/>
      <w:szCs w:val="18"/>
    </w:rPr>
  </w:style>
  <w:style w:type="paragraph" w:customStyle="1" w:styleId="24">
    <w:name w:val="Char Char Char Char Char Char Char Char Char Char"/>
    <w:basedOn w:val="1"/>
    <w:autoRedefine/>
    <w:qFormat/>
    <w:uiPriority w:val="0"/>
    <w:rPr>
      <w:rFonts w:ascii="Tahoma" w:hAnsi="Tahoma" w:eastAsia="宋体" w:cs="仿宋_GB2312"/>
      <w:sz w:val="24"/>
      <w:szCs w:val="20"/>
    </w:rPr>
  </w:style>
  <w:style w:type="character" w:customStyle="1" w:styleId="25">
    <w:name w:val="批注文字 Char"/>
    <w:basedOn w:val="19"/>
    <w:link w:val="5"/>
    <w:autoRedefine/>
    <w:semiHidden/>
    <w:qFormat/>
    <w:uiPriority w:val="99"/>
  </w:style>
  <w:style w:type="character" w:customStyle="1" w:styleId="26">
    <w:name w:val="批注主题 Char"/>
    <w:basedOn w:val="25"/>
    <w:link w:val="15"/>
    <w:autoRedefine/>
    <w:semiHidden/>
    <w:qFormat/>
    <w:uiPriority w:val="99"/>
    <w:rPr>
      <w:b/>
      <w:bCs/>
    </w:rPr>
  </w:style>
  <w:style w:type="character" w:customStyle="1" w:styleId="27">
    <w:name w:val="批注框文本 Char"/>
    <w:basedOn w:val="19"/>
    <w:link w:val="9"/>
    <w:autoRedefine/>
    <w:semiHidden/>
    <w:qFormat/>
    <w:uiPriority w:val="99"/>
    <w:rPr>
      <w:sz w:val="18"/>
      <w:szCs w:val="18"/>
    </w:rPr>
  </w:style>
  <w:style w:type="paragraph" w:styleId="28">
    <w:name w:val="List Paragraph"/>
    <w:basedOn w:val="1"/>
    <w:autoRedefine/>
    <w:unhideWhenUsed/>
    <w:qFormat/>
    <w:uiPriority w:val="99"/>
    <w:pPr>
      <w:ind w:firstLine="420" w:firstLineChars="200"/>
    </w:pPr>
  </w:style>
  <w:style w:type="paragraph" w:customStyle="1" w:styleId="29">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0">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1">
    <w:name w:val="Char Char Char Char Char Char Char1 Char"/>
    <w:basedOn w:val="1"/>
    <w:autoRedefine/>
    <w:qFormat/>
    <w:uiPriority w:val="0"/>
    <w:rPr>
      <w:rFonts w:ascii="Tahoma" w:hAnsi="Tahoma"/>
      <w:sz w:val="24"/>
    </w:rPr>
  </w:style>
  <w:style w:type="character" w:customStyle="1" w:styleId="32">
    <w:name w:val="font21"/>
    <w:basedOn w:val="19"/>
    <w:autoRedefine/>
    <w:qFormat/>
    <w:uiPriority w:val="0"/>
    <w:rPr>
      <w:rFonts w:hint="eastAsia" w:ascii="宋体" w:hAnsi="宋体" w:eastAsia="宋体" w:cs="宋体"/>
      <w:b/>
      <w:bCs/>
      <w:color w:val="000000"/>
      <w:sz w:val="40"/>
      <w:szCs w:val="40"/>
      <w:u w:val="none"/>
    </w:rPr>
  </w:style>
  <w:style w:type="character" w:customStyle="1" w:styleId="33">
    <w:name w:val="font71"/>
    <w:basedOn w:val="19"/>
    <w:autoRedefine/>
    <w:qFormat/>
    <w:uiPriority w:val="0"/>
    <w:rPr>
      <w:rFonts w:hint="eastAsia" w:ascii="宋体" w:hAnsi="宋体" w:eastAsia="宋体" w:cs="宋体"/>
      <w:b/>
      <w:bCs/>
      <w:color w:val="000000"/>
      <w:sz w:val="40"/>
      <w:szCs w:val="40"/>
      <w:u w:val="single"/>
    </w:rPr>
  </w:style>
  <w:style w:type="character" w:customStyle="1" w:styleId="34">
    <w:name w:val="font91"/>
    <w:basedOn w:val="19"/>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5">
    <w:name w:val="font111"/>
    <w:basedOn w:val="19"/>
    <w:autoRedefine/>
    <w:qFormat/>
    <w:uiPriority w:val="0"/>
    <w:rPr>
      <w:rFonts w:hint="eastAsia" w:ascii="宋体" w:hAnsi="宋体" w:eastAsia="宋体" w:cs="宋体"/>
      <w:color w:val="000000"/>
      <w:sz w:val="40"/>
      <w:szCs w:val="40"/>
      <w:u w:val="single"/>
    </w:rPr>
  </w:style>
  <w:style w:type="character" w:customStyle="1" w:styleId="36">
    <w:name w:val="font141"/>
    <w:basedOn w:val="19"/>
    <w:autoRedefine/>
    <w:qFormat/>
    <w:uiPriority w:val="0"/>
    <w:rPr>
      <w:rFonts w:hint="eastAsia" w:ascii="宋体" w:hAnsi="宋体" w:eastAsia="宋体" w:cs="宋体"/>
      <w:color w:val="000000"/>
      <w:sz w:val="20"/>
      <w:szCs w:val="20"/>
      <w:u w:val="single"/>
    </w:rPr>
  </w:style>
  <w:style w:type="character" w:customStyle="1" w:styleId="37">
    <w:name w:val="font151"/>
    <w:basedOn w:val="19"/>
    <w:autoRedefine/>
    <w:qFormat/>
    <w:uiPriority w:val="0"/>
    <w:rPr>
      <w:rFonts w:hint="eastAsia" w:ascii="宋体" w:hAnsi="宋体" w:eastAsia="宋体" w:cs="宋体"/>
      <w:color w:val="000000"/>
      <w:sz w:val="20"/>
      <w:szCs w:val="20"/>
      <w:u w:val="single"/>
    </w:rPr>
  </w:style>
  <w:style w:type="paragraph" w:customStyle="1" w:styleId="38">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39">
    <w:name w:val="D&amp;L"/>
    <w:basedOn w:val="11"/>
    <w:autoRedefine/>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40">
    <w:name w:val="font31"/>
    <w:basedOn w:val="19"/>
    <w:autoRedefine/>
    <w:qFormat/>
    <w:uiPriority w:val="0"/>
    <w:rPr>
      <w:rFonts w:hint="eastAsia" w:ascii="宋体" w:hAnsi="宋体" w:eastAsia="宋体" w:cs="宋体"/>
      <w:color w:val="000000"/>
      <w:sz w:val="24"/>
      <w:szCs w:val="24"/>
      <w:u w:val="single"/>
    </w:rPr>
  </w:style>
  <w:style w:type="character" w:customStyle="1" w:styleId="41">
    <w:name w:val="font41"/>
    <w:basedOn w:val="19"/>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1860</Words>
  <Characters>1990</Characters>
  <Lines>5</Lines>
  <Paragraphs>1</Paragraphs>
  <TotalTime>7</TotalTime>
  <ScaleCrop>false</ScaleCrop>
  <LinksUpToDate>false</LinksUpToDate>
  <CharactersWithSpaces>2009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张静</cp:lastModifiedBy>
  <cp:lastPrinted>2025-06-26T00:55:00Z</cp:lastPrinted>
  <dcterms:modified xsi:type="dcterms:W3CDTF">2025-10-24T07:54:28Z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E8EF7E0F47A44760BAADC96B34C831E8_13</vt:lpwstr>
  </property>
  <property fmtid="{D5CDD505-2E9C-101B-9397-08002B2CF9AE}" pid="4" name="KSOTemplateDocerSaveRecord">
    <vt:lpwstr>eyJoZGlkIjoiNGFkODY2OGMyZjU2YzE0ZGMwYmY1N2EzOTU0MTk5MzUiLCJ1c2VySWQiOiIxNjc5MzAzNjQzIn0=</vt:lpwstr>
  </property>
</Properties>
</file>