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2774249"/>
      <w:bookmarkStart w:id="2" w:name="_Toc461053086"/>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pacing w:before="156" w:beforeLines="50" w:after="156" w:afterLines="50" w:line="360" w:lineRule="auto"/>
        <w:jc w:val="left"/>
        <w:rPr>
          <w:rFonts w:hAnsi="宋体"/>
          <w:b/>
          <w:color w:val="000000"/>
          <w:szCs w:val="28"/>
        </w:rPr>
      </w:pPr>
      <w:r>
        <w:rPr>
          <w:rFonts w:hint="eastAsia" w:hAnsi="宋体"/>
          <w:b/>
          <w:color w:val="000000"/>
          <w:szCs w:val="28"/>
        </w:rPr>
        <w:t>1报价表</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343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管理处名称</w:t>
            </w:r>
          </w:p>
        </w:tc>
        <w:tc>
          <w:tcPr>
            <w:tcW w:w="3437"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单次清洗消毒及水质检测费用</w:t>
            </w:r>
          </w:p>
        </w:tc>
        <w:tc>
          <w:tcPr>
            <w:tcW w:w="2841"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海恒党群服务中心</w:t>
            </w:r>
          </w:p>
        </w:tc>
        <w:tc>
          <w:tcPr>
            <w:tcW w:w="3437" w:type="dxa"/>
          </w:tcPr>
          <w:p>
            <w:pPr>
              <w:numPr>
                <w:ilvl w:val="0"/>
                <w:numId w:val="0"/>
              </w:numPr>
              <w:spacing w:line="360" w:lineRule="auto"/>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u w:val="single"/>
                <w:vertAlign w:val="baseline"/>
                <w:lang w:val="en-US" w:eastAsia="zh-CN"/>
              </w:rPr>
              <w:t xml:space="preserve">              </w:t>
            </w:r>
            <w:r>
              <w:rPr>
                <w:rFonts w:hint="eastAsia" w:ascii="宋体" w:hAnsi="宋体" w:eastAsia="宋体" w:cs="宋体"/>
                <w:b w:val="0"/>
                <w:bCs/>
                <w:sz w:val="24"/>
                <w:szCs w:val="24"/>
                <w:vertAlign w:val="baseline"/>
                <w:lang w:val="en-US" w:eastAsia="zh-CN"/>
              </w:rPr>
              <w:t>元/次</w:t>
            </w:r>
          </w:p>
        </w:tc>
        <w:tc>
          <w:tcPr>
            <w:tcW w:w="2841" w:type="dxa"/>
            <w:vMerge w:val="restart"/>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报价</w:t>
            </w:r>
            <w:r>
              <w:rPr>
                <w:rFonts w:hint="eastAsia" w:ascii="宋体" w:hAnsi="宋体" w:eastAsia="宋体" w:cs="宋体"/>
                <w:i w:val="0"/>
                <w:iCs w:val="0"/>
                <w:caps w:val="0"/>
                <w:color w:val="333333"/>
                <w:spacing w:val="15"/>
                <w:sz w:val="24"/>
                <w:szCs w:val="24"/>
              </w:rPr>
              <w:t>包含人工、</w:t>
            </w:r>
            <w:r>
              <w:rPr>
                <w:rFonts w:hint="eastAsia" w:ascii="宋体" w:hAnsi="宋体" w:eastAsia="宋体" w:cs="宋体"/>
                <w:i w:val="0"/>
                <w:iCs w:val="0"/>
                <w:caps w:val="0"/>
                <w:color w:val="333333"/>
                <w:spacing w:val="15"/>
                <w:sz w:val="24"/>
                <w:szCs w:val="24"/>
                <w:lang w:eastAsia="zh-CN"/>
              </w:rPr>
              <w:t>水箱</w:t>
            </w:r>
            <w:r>
              <w:rPr>
                <w:rFonts w:hint="eastAsia" w:ascii="宋体" w:hAnsi="宋体" w:eastAsia="宋体" w:cs="宋体"/>
                <w:i w:val="0"/>
                <w:iCs w:val="0"/>
                <w:caps w:val="0"/>
                <w:color w:val="333333"/>
                <w:spacing w:val="15"/>
                <w:sz w:val="24"/>
                <w:szCs w:val="24"/>
              </w:rPr>
              <w:t>清洗</w:t>
            </w:r>
            <w:r>
              <w:rPr>
                <w:rFonts w:hint="eastAsia" w:ascii="宋体" w:hAnsi="宋体" w:eastAsia="宋体" w:cs="宋体"/>
                <w:i w:val="0"/>
                <w:iCs w:val="0"/>
                <w:caps w:val="0"/>
                <w:color w:val="333333"/>
                <w:spacing w:val="15"/>
                <w:sz w:val="24"/>
                <w:szCs w:val="24"/>
                <w:lang w:eastAsia="zh-CN"/>
              </w:rPr>
              <w:t>、</w:t>
            </w:r>
            <w:r>
              <w:rPr>
                <w:rFonts w:hint="eastAsia" w:ascii="宋体" w:hAnsi="宋体" w:eastAsia="宋体" w:cs="宋体"/>
                <w:i w:val="0"/>
                <w:iCs w:val="0"/>
                <w:caps w:val="0"/>
                <w:color w:val="333333"/>
                <w:spacing w:val="15"/>
                <w:sz w:val="24"/>
                <w:szCs w:val="24"/>
              </w:rPr>
              <w:t>消毒、水质检测并出具报告、税金以及安全风险等一切费用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海恒大厦</w:t>
            </w:r>
          </w:p>
        </w:tc>
        <w:tc>
          <w:tcPr>
            <w:tcW w:w="3437"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u w:val="single"/>
                <w:vertAlign w:val="baseline"/>
                <w:lang w:val="en-US" w:eastAsia="zh-CN"/>
              </w:rPr>
              <w:t xml:space="preserve">              </w:t>
            </w:r>
            <w:r>
              <w:rPr>
                <w:rFonts w:hint="eastAsia" w:ascii="宋体" w:hAnsi="宋体" w:eastAsia="宋体" w:cs="宋体"/>
                <w:b w:val="0"/>
                <w:bCs/>
                <w:sz w:val="24"/>
                <w:szCs w:val="24"/>
                <w:vertAlign w:val="baseline"/>
                <w:lang w:val="en-US" w:eastAsia="zh-CN"/>
              </w:rPr>
              <w:t>元/次</w:t>
            </w:r>
          </w:p>
        </w:tc>
        <w:tc>
          <w:tcPr>
            <w:tcW w:w="2841" w:type="dxa"/>
            <w:vMerge w:val="continue"/>
          </w:tcPr>
          <w:p>
            <w:pPr>
              <w:numPr>
                <w:ilvl w:val="0"/>
                <w:numId w:val="0"/>
              </w:numPr>
              <w:spacing w:line="360" w:lineRule="auto"/>
              <w:jc w:val="both"/>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恒创公寓</w:t>
            </w:r>
          </w:p>
        </w:tc>
        <w:tc>
          <w:tcPr>
            <w:tcW w:w="3437"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u w:val="single"/>
                <w:vertAlign w:val="baseline"/>
                <w:lang w:val="en-US" w:eastAsia="zh-CN"/>
              </w:rPr>
              <w:t xml:space="preserve">              </w:t>
            </w:r>
            <w:r>
              <w:rPr>
                <w:rFonts w:hint="eastAsia" w:ascii="宋体" w:hAnsi="宋体" w:eastAsia="宋体" w:cs="宋体"/>
                <w:b w:val="0"/>
                <w:bCs/>
                <w:sz w:val="24"/>
                <w:szCs w:val="24"/>
                <w:vertAlign w:val="baseline"/>
                <w:lang w:val="en-US" w:eastAsia="zh-CN"/>
              </w:rPr>
              <w:t>元/次</w:t>
            </w:r>
          </w:p>
        </w:tc>
        <w:tc>
          <w:tcPr>
            <w:tcW w:w="2841" w:type="dxa"/>
            <w:vMerge w:val="continue"/>
          </w:tcPr>
          <w:p>
            <w:pPr>
              <w:numPr>
                <w:ilvl w:val="0"/>
                <w:numId w:val="0"/>
              </w:numPr>
              <w:spacing w:line="360" w:lineRule="auto"/>
              <w:jc w:val="both"/>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小  计</w:t>
            </w:r>
          </w:p>
        </w:tc>
        <w:tc>
          <w:tcPr>
            <w:tcW w:w="3437" w:type="dxa"/>
          </w:tcPr>
          <w:p>
            <w:pPr>
              <w:numPr>
                <w:ilvl w:val="0"/>
                <w:numId w:val="0"/>
              </w:numPr>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u w:val="single"/>
                <w:vertAlign w:val="baseline"/>
                <w:lang w:val="en-US" w:eastAsia="zh-CN"/>
              </w:rPr>
              <w:t xml:space="preserve">              </w:t>
            </w:r>
            <w:r>
              <w:rPr>
                <w:rFonts w:hint="eastAsia" w:ascii="宋体" w:hAnsi="宋体" w:eastAsia="宋体" w:cs="宋体"/>
                <w:b w:val="0"/>
                <w:bCs/>
                <w:sz w:val="24"/>
                <w:szCs w:val="24"/>
                <w:vertAlign w:val="baseline"/>
                <w:lang w:val="en-US" w:eastAsia="zh-CN"/>
              </w:rPr>
              <w:t>元/次</w:t>
            </w:r>
          </w:p>
        </w:tc>
        <w:tc>
          <w:tcPr>
            <w:tcW w:w="2841" w:type="dxa"/>
            <w:vMerge w:val="continue"/>
          </w:tcPr>
          <w:p>
            <w:pPr>
              <w:numPr>
                <w:ilvl w:val="0"/>
                <w:numId w:val="0"/>
              </w:numPr>
              <w:spacing w:line="360" w:lineRule="auto"/>
              <w:jc w:val="both"/>
              <w:rPr>
                <w:rFonts w:hint="eastAsia" w:ascii="宋体" w:hAnsi="宋体" w:eastAsia="宋体" w:cs="宋体"/>
                <w:b w:val="0"/>
                <w:bCs/>
                <w:sz w:val="24"/>
                <w:szCs w:val="24"/>
                <w:vertAlign w:val="baseline"/>
                <w:lang w:val="en-US" w:eastAsia="zh-CN"/>
              </w:rPr>
            </w:pPr>
          </w:p>
        </w:tc>
      </w:tr>
    </w:tbl>
    <w:p>
      <w:pPr>
        <w:snapToGrid w:val="0"/>
        <w:spacing w:line="360" w:lineRule="auto"/>
        <w:jc w:val="left"/>
        <w:rPr>
          <w:rFonts w:hAnsi="宋体"/>
          <w:b/>
          <w:color w:val="000000"/>
          <w:szCs w:val="28"/>
        </w:rPr>
      </w:pPr>
    </w:p>
    <w:p>
      <w:pPr>
        <w:keepNext w:val="0"/>
        <w:keepLines w:val="0"/>
        <w:pageBreakBefore w:val="0"/>
        <w:tabs>
          <w:tab w:val="left" w:pos="4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sz w:val="24"/>
          <w:szCs w:val="24"/>
          <w:lang w:val="en-US" w:eastAsia="zh-CN"/>
        </w:rPr>
        <w:t>注：</w:t>
      </w:r>
      <w:r>
        <w:rPr>
          <w:rFonts w:hint="eastAsia" w:ascii="宋体" w:hAnsi="宋体" w:eastAsia="宋体" w:cs="宋体"/>
          <w:kern w:val="2"/>
          <w:sz w:val="24"/>
          <w:szCs w:val="24"/>
          <w:lang w:val="en-US" w:eastAsia="zh-CN" w:bidi="ar-SA"/>
        </w:rPr>
        <w:t>投标单位按各管理处单次清洗、消毒、水质检测工作所需费用进行报价，以报价的总和作为定标依据，价低者得（报价不得高于单次服务预算价5425元，否则无效）。报价包含人工、水箱清洗、消毒、水质检测并出具报告、税金以及安全风险等一切费用。</w:t>
      </w:r>
    </w:p>
    <w:p>
      <w:pPr>
        <w:snapToGrid w:val="0"/>
        <w:spacing w:after="156" w:afterLines="50" w:line="360" w:lineRule="auto"/>
        <w:jc w:val="left"/>
        <w:rPr>
          <w:rFonts w:hAnsi="宋体"/>
          <w:b/>
          <w:bCs/>
          <w:color w:val="000000"/>
          <w:szCs w:val="28"/>
          <w:u w:val="single"/>
        </w:rPr>
      </w:pPr>
    </w:p>
    <w:p>
      <w:pPr>
        <w:snapToGrid w:val="0"/>
        <w:spacing w:line="360" w:lineRule="auto"/>
        <w:rPr>
          <w:rFonts w:hAnsi="宋体"/>
          <w:b/>
          <w:color w:val="000000"/>
        </w:rPr>
      </w:pPr>
      <w:r>
        <w:rPr>
          <w:rFonts w:hint="eastAsia" w:hAnsi="宋体"/>
          <w:b/>
          <w:color w:val="000000"/>
        </w:rPr>
        <w:t xml:space="preserve">供应商公章：                       </w:t>
      </w:r>
    </w:p>
    <w:p>
      <w:pPr>
        <w:snapToGrid w:val="0"/>
        <w:spacing w:line="360" w:lineRule="auto"/>
        <w:ind w:left="5550"/>
        <w:jc w:val="center"/>
        <w:rPr>
          <w:rFonts w:hAnsi="宋体"/>
          <w:color w:val="000000"/>
        </w:rPr>
      </w:pPr>
      <w:r>
        <w:rPr>
          <w:rFonts w:hint="eastAsia" w:hAnsi="宋体"/>
          <w:color w:val="000000"/>
        </w:rPr>
        <w:t>年     月     日</w:t>
      </w: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pPr>
        <w:pStyle w:val="17"/>
        <w:ind w:left="438" w:firstLine="60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服务需求</w:t>
      </w:r>
    </w:p>
    <w:p>
      <w:pPr>
        <w:numPr>
          <w:ilvl w:val="0"/>
          <w:numId w:val="0"/>
        </w:numPr>
        <w:spacing w:line="360" w:lineRule="auto"/>
        <w:rPr>
          <w:rFonts w:hint="eastAsia" w:ascii="宋体" w:hAnsi="宋体" w:eastAsia="宋体" w:cs="宋体"/>
          <w:b/>
          <w:bCs w:val="0"/>
          <w:sz w:val="24"/>
          <w:szCs w:val="24"/>
        </w:rPr>
      </w:pPr>
      <w:r>
        <w:rPr>
          <w:rFonts w:hint="eastAsia" w:ascii="宋体" w:hAnsi="宋体" w:eastAsia="宋体" w:cs="宋体"/>
          <w:b/>
          <w:bCs w:val="0"/>
          <w:kern w:val="2"/>
          <w:sz w:val="24"/>
          <w:szCs w:val="24"/>
          <w:lang w:val="en-US" w:eastAsia="zh-CN" w:bidi="ar-SA"/>
        </w:rPr>
        <w:t>一、</w:t>
      </w:r>
      <w:r>
        <w:rPr>
          <w:rFonts w:hint="eastAsia" w:ascii="宋体" w:hAnsi="宋体" w:eastAsia="宋体" w:cs="宋体"/>
          <w:b/>
          <w:bCs w:val="0"/>
          <w:sz w:val="24"/>
          <w:szCs w:val="24"/>
        </w:rPr>
        <w:t>项目概况</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拟招一家有资质的单位，每季度对香怡物业目前自管的4个二次供水水箱进行清洗、消毒，并将水样送检，取得水质检测合格报告。</w:t>
      </w:r>
    </w:p>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二、项目明细</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对香怡物业现有三个管理处的4个自管二次供水水箱（位置、数量、尺寸分别为：海恒党群服务中心1个，尺寸为1.5m×1.5m×2.5m；海恒大厦1个，尺寸为4m×4m×2m；恒创公寓2个，尺寸分别为7m×5m×2.5m和4m×3m×2.5m）进行清洗、消毒，并将水样送检。每个水箱取得纸质版水质检测合格报告3份。</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三、工期要求</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1.清洗消毒频次为每季度一次，具体时间由招标方确定。</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2.每次接到招标方通知后，中标单位在5天内完成该批次清洗、消毒工作。</w:t>
      </w:r>
    </w:p>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四、清洗、消毒联系人</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485"/>
        <w:gridCol w:w="3150"/>
        <w:gridCol w:w="125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bottom"/>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871" w:type="pct"/>
            <w:vAlign w:val="bottom"/>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管理处</w:t>
            </w:r>
          </w:p>
        </w:tc>
        <w:tc>
          <w:tcPr>
            <w:tcW w:w="1848" w:type="pct"/>
            <w:vAlign w:val="bottom"/>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地址</w:t>
            </w:r>
          </w:p>
        </w:tc>
        <w:tc>
          <w:tcPr>
            <w:tcW w:w="738" w:type="pct"/>
            <w:vAlign w:val="bottom"/>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1000" w:type="pct"/>
            <w:vAlign w:val="bottom"/>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42"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71" w:type="pct"/>
            <w:vAlign w:val="top"/>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海恒党群服务中心</w:t>
            </w:r>
          </w:p>
        </w:tc>
        <w:tc>
          <w:tcPr>
            <w:tcW w:w="184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海恒街与明月路交口</w:t>
            </w:r>
          </w:p>
        </w:tc>
        <w:tc>
          <w:tcPr>
            <w:tcW w:w="73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范晓燕</w:t>
            </w:r>
          </w:p>
        </w:tc>
        <w:tc>
          <w:tcPr>
            <w:tcW w:w="1000"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15956937688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71"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海恒大厦</w:t>
            </w:r>
          </w:p>
        </w:tc>
        <w:tc>
          <w:tcPr>
            <w:tcW w:w="184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翠微路与松谷路交口</w:t>
            </w:r>
          </w:p>
        </w:tc>
        <w:tc>
          <w:tcPr>
            <w:tcW w:w="73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汪小红</w:t>
            </w:r>
          </w:p>
        </w:tc>
        <w:tc>
          <w:tcPr>
            <w:tcW w:w="1000"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17756076035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71"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恒创公寓</w:t>
            </w:r>
          </w:p>
        </w:tc>
        <w:tc>
          <w:tcPr>
            <w:tcW w:w="184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繁华大道与宿松路交口东侧300米</w:t>
            </w:r>
          </w:p>
        </w:tc>
        <w:tc>
          <w:tcPr>
            <w:tcW w:w="738"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胡章恒</w:t>
            </w:r>
          </w:p>
        </w:tc>
        <w:tc>
          <w:tcPr>
            <w:tcW w:w="1000" w:type="pct"/>
            <w:vAlign w:val="center"/>
          </w:tcPr>
          <w:p>
            <w:pPr>
              <w:pStyle w:val="17"/>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15305609988</w:t>
            </w:r>
          </w:p>
        </w:tc>
      </w:tr>
    </w:tbl>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五、投标单位资格要求</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1.满足《中华人民共和国政府采购法》第二十二条规定。</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与本项目相适应的服务能力（营业执照经营范围需含有二次供水设施清洗、消毒，或类似范围），提供合法有效的营业执照或事业单位法人证书的扫描件，需完整体现营业执照或事业单位法人证书的全部内容。</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3.清洗、消毒人员需持有有效期内的健康证明，以及卫生监督部门颁发的卫生知识培训证明。</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4.2022年1月1日以来，单个项目不小于100立方米的二次供水设施清洗、消毒案例(不少于2份)。</w:t>
      </w:r>
    </w:p>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六、中标单位具体要求</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1.严禁串标。</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2.按包工包料、包设备、包人员安全、包质量、包工期、包风险等所有费用全部承包的方式为招标方服务。</w:t>
      </w:r>
    </w:p>
    <w:p>
      <w:pPr>
        <w:numPr>
          <w:ilvl w:val="0"/>
          <w:numId w:val="0"/>
        </w:numPr>
        <w:spacing w:line="360" w:lineRule="auto"/>
        <w:ind w:firstLine="480"/>
      </w:pPr>
      <w:r>
        <w:rPr>
          <w:rFonts w:hint="eastAsia" w:ascii="宋体" w:hAnsi="宋体" w:eastAsia="宋体" w:cs="宋体"/>
          <w:b w:val="0"/>
          <w:bCs/>
          <w:sz w:val="24"/>
          <w:szCs w:val="24"/>
          <w:lang w:val="en-US" w:eastAsia="zh-CN"/>
        </w:rPr>
        <w:t>3.</w:t>
      </w:r>
      <w:r>
        <w:rPr>
          <w:rFonts w:hint="eastAsia" w:ascii="宋体" w:hAnsi="宋体" w:eastAsia="宋体" w:cs="宋体"/>
          <w:color w:val="000000"/>
          <w:kern w:val="0"/>
          <w:sz w:val="24"/>
          <w:szCs w:val="24"/>
          <w:lang w:val="en-US" w:eastAsia="zh-CN" w:bidi="ar"/>
        </w:rPr>
        <w:t>为保障作业安全，合同签订前中标单位须编制“二次供水水箱清洗消毒作业应急措施”并交由招标人审核。</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4.水箱清洗、</w:t>
      </w:r>
      <w:r>
        <w:rPr>
          <w:rFonts w:hint="eastAsia" w:ascii="宋体" w:hAnsi="宋体" w:eastAsia="宋体" w:cs="宋体"/>
          <w:sz w:val="24"/>
        </w:rPr>
        <w:t>消毒</w:t>
      </w:r>
      <w:r>
        <w:rPr>
          <w:rFonts w:hint="eastAsia" w:ascii="宋体" w:hAnsi="宋体" w:eastAsia="宋体" w:cs="宋体"/>
          <w:sz w:val="24"/>
          <w:lang w:eastAsia="zh-CN"/>
        </w:rPr>
        <w:t>时，器具和消毒剂使用需符合国家规定</w:t>
      </w:r>
      <w:r>
        <w:rPr>
          <w:rFonts w:hint="eastAsia" w:ascii="宋体" w:hAnsi="宋体" w:eastAsia="宋体" w:cs="宋体"/>
          <w:b w:val="0"/>
          <w:bCs/>
          <w:sz w:val="24"/>
          <w:szCs w:val="24"/>
          <w:lang w:val="en-US" w:eastAsia="zh-CN"/>
        </w:rPr>
        <w:t>。</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清洗消毒工作必须接受招标方的检查、验收。验收不合格时，招标方有权要求中标单位限期、保质整改完成，中标单位必须立即组织整改，并达到招标方要求。如中标单位未在限定期限内完成整改，招标方有权安排其他单位进行施工，所发生费用由中标单位全部承担（从招标方应支付的费用中扣除）。</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6.清洗消毒过程中，因中标单位原因造成设备、设施损坏产生的相关损失，由中标人负责全额赔偿，并按要求恢复设备、设施正常运行。</w:t>
      </w:r>
    </w:p>
    <w:p>
      <w:pPr>
        <w:numPr>
          <w:ilvl w:val="0"/>
          <w:numId w:val="0"/>
        </w:numPr>
        <w:spacing w:line="360" w:lineRule="auto"/>
        <w:ind w:firstLine="480"/>
        <w:rPr>
          <w:rFonts w:hint="eastAsia" w:ascii="宋体" w:hAnsi="宋体" w:eastAsia="宋体" w:cs="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u w:val="none"/>
        </w:rPr>
        <w:t>如因清洗</w:t>
      </w:r>
      <w:r>
        <w:rPr>
          <w:rFonts w:hint="eastAsia" w:ascii="宋体" w:hAnsi="宋体" w:eastAsia="宋体" w:cs="宋体"/>
          <w:sz w:val="24"/>
          <w:u w:val="none"/>
          <w:lang w:eastAsia="zh-CN"/>
        </w:rPr>
        <w:t>、消毒</w:t>
      </w:r>
      <w:r>
        <w:rPr>
          <w:rFonts w:hint="eastAsia" w:ascii="宋体" w:hAnsi="宋体" w:eastAsia="宋体" w:cs="宋体"/>
          <w:sz w:val="24"/>
          <w:u w:val="none"/>
        </w:rPr>
        <w:t>未达到卫生标准（包括药物毒素超标等）给</w:t>
      </w:r>
      <w:r>
        <w:rPr>
          <w:rFonts w:hint="eastAsia" w:ascii="宋体" w:hAnsi="宋体" w:eastAsia="宋体" w:cs="宋体"/>
          <w:b w:val="0"/>
          <w:bCs/>
          <w:sz w:val="24"/>
          <w:szCs w:val="24"/>
          <w:lang w:val="en-US" w:eastAsia="zh-CN"/>
        </w:rPr>
        <w:t>招标方</w:t>
      </w:r>
      <w:r>
        <w:rPr>
          <w:rFonts w:hint="eastAsia" w:ascii="宋体" w:hAnsi="宋体" w:eastAsia="宋体" w:cs="宋体"/>
          <w:sz w:val="24"/>
          <w:u w:val="none"/>
        </w:rPr>
        <w:t>及第三方造成损失，由</w:t>
      </w:r>
      <w:r>
        <w:rPr>
          <w:rFonts w:hint="eastAsia" w:ascii="宋体" w:hAnsi="宋体" w:eastAsia="宋体" w:cs="宋体"/>
          <w:sz w:val="24"/>
          <w:u w:val="none"/>
          <w:lang w:eastAsia="zh-CN"/>
        </w:rPr>
        <w:t>中标单位</w:t>
      </w:r>
      <w:r>
        <w:rPr>
          <w:rFonts w:hint="eastAsia" w:ascii="宋体" w:hAnsi="宋体" w:eastAsia="宋体" w:cs="宋体"/>
          <w:sz w:val="24"/>
          <w:u w:val="none"/>
        </w:rPr>
        <w:t>负全部的赔偿责任</w:t>
      </w:r>
      <w:r>
        <w:rPr>
          <w:rFonts w:hint="eastAsia" w:ascii="宋体" w:hAnsi="宋体" w:eastAsia="宋体" w:cs="宋体"/>
          <w:sz w:val="24"/>
          <w:u w:val="none"/>
          <w:lang w:eastAsia="zh-CN"/>
        </w:rPr>
        <w:t>（</w:t>
      </w:r>
      <w:r>
        <w:rPr>
          <w:rFonts w:hint="eastAsia" w:ascii="宋体" w:hAnsi="宋体" w:eastAsia="宋体" w:cs="宋体"/>
          <w:sz w:val="24"/>
          <w:u w:val="none"/>
        </w:rPr>
        <w:t>包括直接和间接损失</w:t>
      </w:r>
      <w:r>
        <w:rPr>
          <w:rFonts w:hint="eastAsia" w:ascii="宋体" w:hAnsi="宋体" w:eastAsia="宋体" w:cs="宋体"/>
          <w:sz w:val="24"/>
          <w:u w:val="none"/>
          <w:lang w:eastAsia="zh-CN"/>
        </w:rPr>
        <w:t>）。</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服务期内</w:t>
      </w:r>
      <w:r>
        <w:rPr>
          <w:rFonts w:hint="eastAsia" w:ascii="宋体" w:hAnsi="宋体" w:eastAsia="宋体" w:cs="宋体"/>
          <w:sz w:val="24"/>
          <w:szCs w:val="24"/>
          <w:lang w:eastAsia="zh-CN"/>
        </w:rPr>
        <w:t>因清洗、消毒</w:t>
      </w:r>
      <w:r>
        <w:rPr>
          <w:rFonts w:hint="eastAsia" w:ascii="宋体" w:hAnsi="宋体" w:eastAsia="宋体" w:cs="宋体"/>
          <w:sz w:val="24"/>
          <w:szCs w:val="24"/>
        </w:rPr>
        <w:t>发生的一切事故</w:t>
      </w:r>
      <w:r>
        <w:rPr>
          <w:rFonts w:hint="eastAsia" w:ascii="宋体" w:hAnsi="宋体" w:eastAsia="宋体" w:cs="宋体"/>
          <w:kern w:val="0"/>
          <w:sz w:val="24"/>
          <w:szCs w:val="24"/>
        </w:rPr>
        <w:t>均由中标</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承担。</w:t>
      </w:r>
    </w:p>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七、中标单位服务内容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（一）清洗、消毒</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1.</w:t>
      </w:r>
      <w:r>
        <w:rPr>
          <w:rFonts w:hint="eastAsia" w:ascii="宋体" w:hAnsi="宋体" w:eastAsia="宋体" w:cs="宋体"/>
          <w:b w:val="0"/>
          <w:bCs/>
          <w:sz w:val="24"/>
          <w:szCs w:val="24"/>
          <w:lang w:val="en-US" w:eastAsia="zh-CN"/>
        </w:rPr>
        <w:t>确定清洗、消毒时间后，应提前一天告知招标方作业所需要的时间和停水时间，便于招标方通知用户做好储水准备。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lang w:val="en-US" w:eastAsia="zh-CN"/>
        </w:rPr>
        <w:t>2</w:t>
      </w:r>
      <w:r>
        <w:rPr>
          <w:rFonts w:hint="eastAsia" w:ascii="宋体" w:hAnsi="宋体" w:eastAsia="宋体" w:cs="宋体"/>
          <w:b w:val="0"/>
          <w:bCs/>
          <w:kern w:val="2"/>
          <w:sz w:val="24"/>
          <w:szCs w:val="24"/>
          <w:lang w:val="en-US" w:eastAsia="zh-CN" w:bidi="ar-SA"/>
        </w:rPr>
        <w:t>.</w:t>
      </w:r>
      <w:r>
        <w:rPr>
          <w:rFonts w:hint="eastAsia" w:ascii="宋体" w:hAnsi="宋体" w:eastAsia="宋体" w:cs="宋体"/>
          <w:color w:val="000000"/>
          <w:kern w:val="0"/>
          <w:sz w:val="24"/>
          <w:szCs w:val="24"/>
          <w:lang w:val="en-US" w:eastAsia="zh-CN" w:bidi="ar"/>
        </w:rPr>
        <w:t>水箱清洗前，关闭水箱进水阀门及联通管阀门，待水位下降至无水停机位置，关闭水泵，打开排水阀，放空水箱。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3.水箱排空后，开启进水阀对进水管道进行冲洗。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4.作业人员进入水箱前，须做缺氧试验，安装通风及照明装置，照明电源采用安全电压。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5.作业人员佩戴防护用品后进入水箱进行清洗作业，同时留一人在水箱外监护，随时与水箱内人员保持联系。</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6.清洗顺序依次从水箱顶部→四周箱壁（尤其是箱壁结合有折隙的地方）→箱底进行刷洗，使水箱壁达到用手触摸无腻滑感为止。</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7.对顶部、箱壁四周、箱底进行自上而下均匀喷洒消毒后，人员撤出，关闭人孔。待消毒 30 分钟后用清水将箱顶及箱壁冲洗干净，冲洗水从水箱排水阀排走。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8.清洗完毕后必须清点人数、设备、工具无误后，方可关闭水箱人孔。开启水箱进水阀缓慢进水，保证水箱水质清澈透明。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b w:val="0"/>
          <w:bCs/>
          <w:sz w:val="24"/>
          <w:szCs w:val="24"/>
          <w:lang w:val="en-US" w:eastAsia="zh-CN"/>
        </w:rPr>
        <w:t>对水箱周围卫生进行清扫。</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（二）水质检测：</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1.水箱清洗消毒后7日内取水送检，采样点应包括水箱进水、出水、水箱末梢水（1-2个采样点）。</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2.将水样送交疾病预防控制中心或有CMA认证的第三方水质检测机构进行检测。</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3.水质检测时，必测项目需包括色度、浑浊度、臭和味、肉眼可见物、pH、大肠菌群、细菌总数、余氯、余氯、氨氮、亚硝酸盐氮、耗氧量。</w:t>
      </w:r>
    </w:p>
    <w:p>
      <w:pPr>
        <w:numPr>
          <w:ilvl w:val="0"/>
          <w:numId w:val="0"/>
        </w:numPr>
        <w:spacing w:line="360" w:lineRule="auto"/>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4.疾病预防控制中心或第三方水质检测机构出具检测报告后2个工作日内，取水质检测合格报告送交相关管理处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检测报告必须有CMA水印</w:t>
      </w:r>
      <w:r>
        <w:rPr>
          <w:rFonts w:hint="eastAsia" w:ascii="宋体" w:hAnsi="宋体" w:eastAsia="宋体" w:cs="宋体"/>
          <w:sz w:val="24"/>
          <w:szCs w:val="24"/>
          <w:lang w:eastAsia="zh-CN"/>
        </w:rPr>
        <w:t>）</w:t>
      </w:r>
      <w:r>
        <w:rPr>
          <w:rFonts w:hint="eastAsia" w:ascii="宋体" w:hAnsi="宋体" w:eastAsia="宋体" w:cs="宋体"/>
          <w:b w:val="0"/>
          <w:bCs/>
          <w:sz w:val="24"/>
          <w:szCs w:val="24"/>
          <w:lang w:val="en-US" w:eastAsia="zh-CN"/>
        </w:rPr>
        <w:t>。</w:t>
      </w:r>
    </w:p>
    <w:p>
      <w:pPr>
        <w:numPr>
          <w:ilvl w:val="0"/>
          <w:numId w:val="0"/>
        </w:numPr>
        <w:spacing w:line="360" w:lineRule="auto"/>
        <w:ind w:leftChars="0"/>
        <w:jc w:val="left"/>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八、单次水箱清洗消毒检测预算金额0.5425万元，年度预算为2.17万元。</w:t>
      </w:r>
    </w:p>
    <w:p>
      <w:pPr>
        <w:numPr>
          <w:ilvl w:val="0"/>
          <w:numId w:val="0"/>
        </w:numPr>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eastAsia="zh-CN"/>
        </w:rPr>
        <w:t>九、</w:t>
      </w:r>
      <w:r>
        <w:rPr>
          <w:rFonts w:hint="eastAsia" w:ascii="宋体" w:hAnsi="宋体" w:eastAsia="宋体" w:cs="宋体"/>
          <w:b/>
          <w:bCs/>
          <w:kern w:val="2"/>
          <w:sz w:val="24"/>
          <w:szCs w:val="24"/>
          <w:lang w:val="en-US" w:eastAsia="zh-CN" w:bidi="ar-SA"/>
        </w:rPr>
        <w:t>付款方式</w:t>
      </w:r>
    </w:p>
    <w:p>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水箱清洗、消毒</w:t>
      </w:r>
      <w:r>
        <w:rPr>
          <w:rFonts w:hint="eastAsia" w:ascii="宋体" w:hAnsi="宋体" w:eastAsia="宋体" w:cs="宋体"/>
          <w:sz w:val="24"/>
          <w:szCs w:val="24"/>
        </w:rPr>
        <w:t>完工后</w:t>
      </w:r>
      <w:r>
        <w:rPr>
          <w:rFonts w:hint="eastAsia" w:ascii="宋体" w:hAnsi="宋体" w:eastAsia="宋体" w:cs="宋体"/>
          <w:sz w:val="24"/>
          <w:szCs w:val="24"/>
          <w:lang w:eastAsia="zh-CN"/>
        </w:rPr>
        <w:t>，中标单位</w:t>
      </w:r>
      <w:r>
        <w:rPr>
          <w:rFonts w:hint="eastAsia" w:ascii="宋体" w:hAnsi="宋体" w:eastAsia="宋体" w:cs="宋体"/>
          <w:sz w:val="24"/>
          <w:szCs w:val="24"/>
        </w:rPr>
        <w:t>出具书面验收</w:t>
      </w:r>
      <w:r>
        <w:rPr>
          <w:rFonts w:hint="eastAsia" w:ascii="宋体" w:hAnsi="宋体" w:eastAsia="宋体" w:cs="宋体"/>
          <w:sz w:val="24"/>
          <w:szCs w:val="24"/>
          <w:lang w:eastAsia="zh-CN"/>
        </w:rPr>
        <w:t>表</w:t>
      </w:r>
      <w:r>
        <w:rPr>
          <w:rFonts w:hint="eastAsia" w:ascii="宋体" w:hAnsi="宋体" w:eastAsia="宋体" w:cs="宋体"/>
          <w:sz w:val="24"/>
          <w:szCs w:val="24"/>
        </w:rPr>
        <w:t>，</w:t>
      </w:r>
      <w:r>
        <w:rPr>
          <w:rFonts w:hint="eastAsia" w:ascii="宋体" w:hAnsi="宋体" w:eastAsia="宋体" w:cs="宋体"/>
          <w:b w:val="0"/>
          <w:bCs/>
          <w:sz w:val="24"/>
          <w:szCs w:val="24"/>
          <w:lang w:val="en-US" w:eastAsia="zh-CN"/>
        </w:rPr>
        <w:t>招标方</w:t>
      </w:r>
      <w:r>
        <w:rPr>
          <w:rFonts w:hint="eastAsia" w:ascii="宋体" w:hAnsi="宋体" w:eastAsia="宋体" w:cs="宋体"/>
          <w:sz w:val="24"/>
          <w:szCs w:val="24"/>
        </w:rPr>
        <w:t>组织</w:t>
      </w:r>
      <w:r>
        <w:rPr>
          <w:rFonts w:hint="eastAsia" w:ascii="宋体" w:hAnsi="宋体" w:eastAsia="宋体" w:cs="宋体"/>
          <w:sz w:val="24"/>
          <w:szCs w:val="24"/>
          <w:lang w:eastAsia="zh-CN"/>
        </w:rPr>
        <w:t>对清洗消毒工作</w:t>
      </w:r>
      <w:r>
        <w:rPr>
          <w:rFonts w:hint="eastAsia" w:ascii="宋体" w:hAnsi="宋体" w:eastAsia="宋体" w:cs="宋体"/>
          <w:sz w:val="24"/>
          <w:szCs w:val="24"/>
        </w:rPr>
        <w:t>初步验收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并在验收单签字</w:t>
      </w:r>
      <w:r>
        <w:rPr>
          <w:rFonts w:hint="eastAsia" w:ascii="宋体" w:hAnsi="宋体" w:eastAsia="宋体" w:cs="宋体"/>
          <w:sz w:val="24"/>
          <w:szCs w:val="24"/>
        </w:rPr>
        <w:t>。</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取得</w:t>
      </w:r>
      <w:r>
        <w:rPr>
          <w:rFonts w:hint="eastAsia" w:ascii="宋体" w:hAnsi="宋体" w:eastAsia="宋体" w:cs="宋体"/>
          <w:sz w:val="24"/>
          <w:szCs w:val="24"/>
        </w:rPr>
        <w:t>水质合格检测报告</w:t>
      </w:r>
      <w:r>
        <w:rPr>
          <w:rFonts w:hint="eastAsia" w:ascii="宋体" w:hAnsi="宋体" w:eastAsia="宋体" w:cs="宋体"/>
          <w:sz w:val="24"/>
          <w:szCs w:val="24"/>
          <w:lang w:eastAsia="zh-CN"/>
        </w:rPr>
        <w:t>后</w:t>
      </w:r>
      <w:r>
        <w:rPr>
          <w:rFonts w:hint="eastAsia" w:ascii="宋体" w:hAnsi="宋体" w:eastAsia="宋体" w:cs="宋体"/>
          <w:sz w:val="24"/>
          <w:szCs w:val="24"/>
        </w:rPr>
        <w:t>，视为验收合格。</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二次供水设施清洗消毒、水质检测验收表</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管理处名称</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水箱容积（</w:t>
            </w:r>
            <w:r>
              <w:rPr>
                <w:rFonts w:hint="eastAsia" w:ascii="宋体" w:hAnsi="宋体" w:eastAsia="宋体" w:cs="宋体"/>
                <w:b w:val="0"/>
                <w:bCs/>
                <w:sz w:val="28"/>
                <w:szCs w:val="28"/>
                <w:lang w:val="en-US" w:eastAsia="zh-CN"/>
              </w:rPr>
              <w:t>m³</w:t>
            </w:r>
            <w:r>
              <w:rPr>
                <w:rFonts w:hint="eastAsia"/>
                <w:sz w:val="28"/>
                <w:szCs w:val="28"/>
                <w:vertAlign w:val="baseline"/>
                <w:lang w:eastAsia="zh-CN"/>
              </w:rPr>
              <w:t>）</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停水时间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清洗开始时间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清洗结束时间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消毒剂名称、浓度</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eastAsiaTheme="minorEastAsia"/>
                <w:sz w:val="28"/>
                <w:szCs w:val="28"/>
                <w:vertAlign w:val="baseline"/>
                <w:lang w:eastAsia="zh-CN"/>
              </w:rPr>
            </w:pPr>
            <w:r>
              <w:rPr>
                <w:rFonts w:hint="eastAsia"/>
                <w:sz w:val="28"/>
                <w:szCs w:val="28"/>
                <w:vertAlign w:val="baseline"/>
                <w:lang w:eastAsia="zh-CN"/>
              </w:rPr>
              <w:t>消毒开始时间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4" w:type="dxa"/>
          </w:tcPr>
          <w:p>
            <w:pPr>
              <w:jc w:val="center"/>
              <w:rPr>
                <w:rFonts w:hint="eastAsia"/>
                <w:sz w:val="28"/>
                <w:szCs w:val="28"/>
                <w:vertAlign w:val="baseline"/>
                <w:lang w:eastAsia="zh-CN"/>
              </w:rPr>
            </w:pPr>
            <w:r>
              <w:rPr>
                <w:rFonts w:hint="eastAsia"/>
                <w:sz w:val="28"/>
                <w:szCs w:val="28"/>
                <w:vertAlign w:val="baseline"/>
                <w:lang w:eastAsia="zh-CN"/>
              </w:rPr>
              <w:t>消毒结束时间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4" w:type="dxa"/>
          </w:tcPr>
          <w:p>
            <w:pPr>
              <w:jc w:val="center"/>
              <w:rPr>
                <w:rFonts w:hint="eastAsia"/>
                <w:sz w:val="28"/>
                <w:szCs w:val="28"/>
                <w:vertAlign w:val="baseline"/>
                <w:lang w:eastAsia="zh-CN"/>
              </w:rPr>
            </w:pPr>
            <w:r>
              <w:rPr>
                <w:rFonts w:hint="eastAsia"/>
                <w:sz w:val="28"/>
                <w:szCs w:val="28"/>
                <w:vertAlign w:val="baseline"/>
                <w:lang w:eastAsia="zh-CN"/>
              </w:rPr>
              <w:t>取水送检时间</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sz w:val="28"/>
                <w:szCs w:val="28"/>
                <w:vertAlign w:val="baseline"/>
                <w:lang w:eastAsia="zh-CN"/>
              </w:rPr>
            </w:pPr>
            <w:r>
              <w:rPr>
                <w:rFonts w:hint="eastAsia"/>
                <w:sz w:val="28"/>
                <w:szCs w:val="28"/>
                <w:vertAlign w:val="baseline"/>
                <w:lang w:eastAsia="zh-CN"/>
              </w:rPr>
              <w:t>操作人员</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sz w:val="28"/>
                <w:szCs w:val="28"/>
                <w:vertAlign w:val="baseline"/>
                <w:lang w:eastAsia="zh-CN"/>
              </w:rPr>
            </w:pPr>
            <w:r>
              <w:rPr>
                <w:rFonts w:hint="eastAsia"/>
                <w:sz w:val="28"/>
                <w:szCs w:val="28"/>
                <w:vertAlign w:val="baseline"/>
                <w:lang w:eastAsia="zh-CN"/>
              </w:rPr>
              <w:t>招标方初步验收人</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spacing w:line="240" w:lineRule="auto"/>
              <w:jc w:val="center"/>
              <w:rPr>
                <w:rFonts w:hint="eastAsia"/>
                <w:sz w:val="28"/>
                <w:szCs w:val="28"/>
                <w:vertAlign w:val="baseline"/>
                <w:lang w:eastAsia="zh-CN"/>
              </w:rPr>
            </w:pPr>
            <w:r>
              <w:rPr>
                <w:rFonts w:hint="eastAsia"/>
                <w:sz w:val="28"/>
                <w:szCs w:val="28"/>
                <w:vertAlign w:val="baseline"/>
                <w:lang w:eastAsia="zh-CN"/>
              </w:rPr>
              <w:t>水质检测结果</w:t>
            </w:r>
          </w:p>
        </w:tc>
        <w:tc>
          <w:tcPr>
            <w:tcW w:w="5558" w:type="dxa"/>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dxa"/>
          </w:tcPr>
          <w:p>
            <w:pPr>
              <w:jc w:val="center"/>
              <w:rPr>
                <w:rFonts w:hint="eastAsia"/>
                <w:sz w:val="28"/>
                <w:szCs w:val="28"/>
                <w:vertAlign w:val="baseline"/>
                <w:lang w:eastAsia="zh-CN"/>
              </w:rPr>
            </w:pPr>
            <w:r>
              <w:rPr>
                <w:rFonts w:hint="eastAsia"/>
                <w:sz w:val="28"/>
                <w:szCs w:val="28"/>
                <w:vertAlign w:val="baseline"/>
                <w:lang w:eastAsia="zh-CN"/>
              </w:rPr>
              <w:t>水质检测报告接收人</w:t>
            </w:r>
          </w:p>
        </w:tc>
        <w:tc>
          <w:tcPr>
            <w:tcW w:w="5558" w:type="dxa"/>
          </w:tcPr>
          <w:p>
            <w:pPr>
              <w:jc w:val="left"/>
              <w:rPr>
                <w:sz w:val="28"/>
                <w:szCs w:val="28"/>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验收合格后，中标单位出具合法的增值税专用发票（含税）后，</w:t>
      </w:r>
      <w:r>
        <w:rPr>
          <w:rFonts w:hint="eastAsia" w:ascii="宋体" w:hAnsi="宋体" w:eastAsia="宋体" w:cs="宋体"/>
          <w:b w:val="0"/>
          <w:bCs/>
          <w:sz w:val="24"/>
          <w:szCs w:val="24"/>
          <w:lang w:val="en-US" w:eastAsia="zh-CN"/>
        </w:rPr>
        <w:t>招标方</w:t>
      </w:r>
      <w:r>
        <w:rPr>
          <w:rFonts w:hint="eastAsia" w:ascii="宋体" w:hAnsi="宋体" w:eastAsia="宋体" w:cs="宋体"/>
          <w:kern w:val="2"/>
          <w:sz w:val="24"/>
          <w:szCs w:val="24"/>
          <w:lang w:val="en-US" w:eastAsia="zh-CN" w:bidi="ar-SA"/>
        </w:rPr>
        <w:t>转账支付。</w:t>
      </w:r>
    </w:p>
    <w:p>
      <w:pPr>
        <w:numPr>
          <w:ilvl w:val="0"/>
          <w:numId w:val="0"/>
        </w:numPr>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十、报价</w:t>
      </w:r>
    </w:p>
    <w:p>
      <w:pPr>
        <w:keepNext w:val="0"/>
        <w:keepLines w:val="0"/>
        <w:pageBreakBefore w:val="0"/>
        <w:tabs>
          <w:tab w:val="left" w:pos="4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sz w:val="24"/>
          <w:szCs w:val="24"/>
        </w:rPr>
        <w:t>1、</w:t>
      </w:r>
      <w:r>
        <w:rPr>
          <w:rFonts w:hint="eastAsia" w:ascii="宋体" w:hAnsi="宋体" w:eastAsia="宋体" w:cs="宋体"/>
          <w:kern w:val="2"/>
          <w:sz w:val="24"/>
          <w:szCs w:val="24"/>
          <w:lang w:val="en-US" w:eastAsia="zh-CN" w:bidi="ar-SA"/>
        </w:rPr>
        <w:t>投标单位按各管理处单次清洗、消毒、水质检测工作所需费用进行报价，以报价的总和作为定标依据，价低者得（报价不得高于单次服务预算价5425元，否则无效）。报价包含人工、水箱清洗、消毒、水质检测并出具报告、税金以及安全风险等一切费用。</w:t>
      </w:r>
    </w:p>
    <w:p>
      <w:pPr>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报价应建立在对项目服务范围、要求充分了解的基础上，成交后签订合同及履约过程中，投标</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不得要求增加合同外费用。</w:t>
      </w:r>
    </w:p>
    <w:p>
      <w:pPr>
        <w:numPr>
          <w:ilvl w:val="0"/>
          <w:numId w:val="0"/>
        </w:num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十一、合同签订</w:t>
      </w:r>
    </w:p>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1.合同期限1年。合同到期后，在年度预算能保证的前提下，经双方同意，可续签下一年合同且续签价格保持不变，最多续签两次，合同一年一签。</w:t>
      </w:r>
    </w:p>
    <w:p>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2.合同期内，如招标方自管水箱数量增加，中标单位根据招标方要求提供服务，费用据实结算，结算标准按水箱容积确定</w:t>
      </w:r>
      <w:r>
        <w:rPr>
          <w:rFonts w:hint="eastAsia" w:ascii="宋体" w:hAnsi="宋体" w:eastAsia="宋体" w:cs="宋体"/>
          <w:kern w:val="2"/>
          <w:sz w:val="24"/>
          <w:szCs w:val="24"/>
          <w:lang w:val="en-US" w:eastAsia="zh-CN" w:bidi="ar-SA"/>
        </w:rPr>
        <w:t>，并在补充协议</w:t>
      </w:r>
      <w:r>
        <w:rPr>
          <w:rFonts w:hint="eastAsia" w:ascii="宋体" w:hAnsi="宋体" w:eastAsia="宋体" w:cs="宋体"/>
          <w:b w:val="0"/>
          <w:bCs/>
          <w:sz w:val="24"/>
          <w:szCs w:val="24"/>
          <w:lang w:val="en-US" w:eastAsia="zh-CN"/>
        </w:rPr>
        <w:t>中具体说明：</w:t>
      </w:r>
    </w:p>
    <w:p>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（1）容积大于等于30m³，结算标准为</w:t>
      </w:r>
      <w:r>
        <w:rPr>
          <w:rFonts w:hint="eastAsia" w:ascii="宋体" w:hAnsi="宋体" w:eastAsia="宋体" w:cs="宋体"/>
          <w:kern w:val="2"/>
          <w:sz w:val="24"/>
          <w:szCs w:val="24"/>
          <w:lang w:val="en-US" w:eastAsia="zh-CN" w:bidi="ar-SA"/>
        </w:rPr>
        <w:t>报价书中海恒大厦、恒创公寓单次清洗消毒</w:t>
      </w:r>
      <w:r>
        <w:rPr>
          <w:rFonts w:hint="eastAsia" w:ascii="宋体" w:hAnsi="宋体" w:eastAsia="宋体" w:cs="宋体"/>
          <w:b w:val="0"/>
          <w:bCs/>
          <w:sz w:val="24"/>
          <w:szCs w:val="24"/>
          <w:vertAlign w:val="baseline"/>
          <w:lang w:val="en-US" w:eastAsia="zh-CN"/>
        </w:rPr>
        <w:t>及水质检测</w:t>
      </w:r>
      <w:r>
        <w:rPr>
          <w:rFonts w:hint="eastAsia" w:ascii="宋体" w:hAnsi="宋体" w:eastAsia="宋体" w:cs="宋体"/>
          <w:kern w:val="2"/>
          <w:sz w:val="24"/>
          <w:szCs w:val="24"/>
          <w:lang w:val="en-US" w:eastAsia="zh-CN" w:bidi="ar-SA"/>
        </w:rPr>
        <w:t>费用换算出的单价金额（费用（元/次）÷149.5（</w:t>
      </w:r>
      <w:r>
        <w:rPr>
          <w:rFonts w:hint="eastAsia" w:ascii="宋体" w:hAnsi="宋体" w:eastAsia="宋体" w:cs="宋体"/>
          <w:b w:val="0"/>
          <w:bCs/>
          <w:sz w:val="24"/>
          <w:szCs w:val="24"/>
          <w:lang w:val="en-US" w:eastAsia="zh-CN"/>
        </w:rPr>
        <w:t>m³</w:t>
      </w:r>
      <w:r>
        <w:rPr>
          <w:rFonts w:hint="eastAsia" w:ascii="宋体" w:hAnsi="宋体" w:eastAsia="宋体" w:cs="宋体"/>
          <w:kern w:val="2"/>
          <w:sz w:val="24"/>
          <w:szCs w:val="24"/>
          <w:lang w:val="en-US" w:eastAsia="zh-CN" w:bidi="ar-SA"/>
        </w:rPr>
        <w:t>））</w:t>
      </w:r>
      <w:r>
        <w:rPr>
          <w:rFonts w:hint="eastAsia" w:ascii="宋体" w:hAnsi="宋体" w:eastAsia="宋体" w:cs="宋体"/>
          <w:b w:val="0"/>
          <w:bCs/>
          <w:sz w:val="24"/>
          <w:szCs w:val="24"/>
          <w:lang w:val="en-US" w:eastAsia="zh-CN"/>
        </w:rPr>
        <w:t>；</w:t>
      </w:r>
    </w:p>
    <w:p>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（2）容积小于30m³，结算标准为</w:t>
      </w:r>
      <w:r>
        <w:rPr>
          <w:rFonts w:hint="eastAsia" w:ascii="宋体" w:hAnsi="宋体" w:eastAsia="宋体" w:cs="宋体"/>
          <w:kern w:val="2"/>
          <w:sz w:val="24"/>
          <w:szCs w:val="24"/>
          <w:lang w:val="en-US" w:eastAsia="zh-CN" w:bidi="ar-SA"/>
        </w:rPr>
        <w:t>报价书中海恒党群服务中心单次清洗消毒</w:t>
      </w:r>
      <w:r>
        <w:rPr>
          <w:rFonts w:hint="eastAsia" w:ascii="宋体" w:hAnsi="宋体" w:eastAsia="宋体" w:cs="宋体"/>
          <w:b w:val="0"/>
          <w:bCs/>
          <w:sz w:val="24"/>
          <w:szCs w:val="24"/>
          <w:vertAlign w:val="baseline"/>
          <w:lang w:val="en-US" w:eastAsia="zh-CN"/>
        </w:rPr>
        <w:t>及水质检测</w:t>
      </w:r>
      <w:r>
        <w:rPr>
          <w:rFonts w:hint="eastAsia" w:ascii="宋体" w:hAnsi="宋体" w:eastAsia="宋体" w:cs="宋体"/>
          <w:kern w:val="2"/>
          <w:sz w:val="24"/>
          <w:szCs w:val="24"/>
          <w:lang w:val="en-US" w:eastAsia="zh-CN" w:bidi="ar-SA"/>
        </w:rPr>
        <w:t>费用换算出的单价金额（费用（元/次）÷5.625（</w:t>
      </w:r>
      <w:r>
        <w:rPr>
          <w:rFonts w:hint="eastAsia" w:ascii="宋体" w:hAnsi="宋体" w:eastAsia="宋体" w:cs="宋体"/>
          <w:b w:val="0"/>
          <w:bCs/>
          <w:sz w:val="24"/>
          <w:szCs w:val="24"/>
          <w:lang w:val="en-US" w:eastAsia="zh-CN"/>
        </w:rPr>
        <w:t>m³</w:t>
      </w:r>
      <w:r>
        <w:rPr>
          <w:rFonts w:hint="eastAsia" w:ascii="宋体" w:hAnsi="宋体" w:eastAsia="宋体" w:cs="宋体"/>
          <w:kern w:val="2"/>
          <w:sz w:val="24"/>
          <w:szCs w:val="24"/>
          <w:lang w:val="en-US" w:eastAsia="zh-CN" w:bidi="ar-SA"/>
        </w:rPr>
        <w:t>））</w:t>
      </w:r>
    </w:p>
    <w:p>
      <w:pPr>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3.合同期内如有物业项目退出或水箱移交给其他单位管理，该项目相应服务</w:t>
      </w:r>
      <w:bookmarkStart w:id="8" w:name="_GoBack"/>
      <w:bookmarkEnd w:id="8"/>
      <w:r>
        <w:rPr>
          <w:rFonts w:hint="eastAsia" w:ascii="宋体" w:hAnsi="宋体" w:eastAsia="宋体" w:cs="宋体"/>
          <w:b w:val="0"/>
          <w:bCs/>
          <w:sz w:val="24"/>
          <w:szCs w:val="24"/>
          <w:lang w:val="en-US" w:eastAsia="zh-CN"/>
        </w:rPr>
        <w:t>自动终止。</w:t>
      </w:r>
    </w:p>
    <w:p>
      <w:pPr>
        <w:numPr>
          <w:ilvl w:val="0"/>
          <w:numId w:val="0"/>
        </w:numPr>
        <w:spacing w:line="360" w:lineRule="auto"/>
        <w:ind w:firstLine="480"/>
        <w:rPr>
          <w:rFonts w:hint="eastAsia" w:ascii="Times New Roman" w:hAnsi="Times New Roman" w:eastAsia="宋体" w:cs="Times New Roman"/>
          <w:b/>
          <w:color w:val="auto"/>
          <w:sz w:val="44"/>
          <w:szCs w:val="44"/>
          <w:highlight w:val="none"/>
          <w:lang w:val="en-US" w:eastAsia="zh-CN"/>
        </w:rPr>
      </w:pPr>
      <w:r>
        <w:rPr>
          <w:rFonts w:hint="eastAsia" w:ascii="宋体" w:hAnsi="宋体" w:eastAsia="宋体" w:cs="宋体"/>
          <w:b w:val="0"/>
          <w:bCs/>
          <w:sz w:val="24"/>
          <w:szCs w:val="24"/>
          <w:lang w:val="en-US" w:eastAsia="zh-CN"/>
        </w:rPr>
        <w:t>4.合同期内，中标单位若存在不按约定时间提供服务，或提供服务后招标方验收不合格情况，总次数达到3次时，招标方有权提前终止合同，且不承担任何违约责任。</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EA9518B"/>
    <w:rsid w:val="1EF02DBA"/>
    <w:rsid w:val="229D0F23"/>
    <w:rsid w:val="2560638D"/>
    <w:rsid w:val="2888575B"/>
    <w:rsid w:val="2DC35BE2"/>
    <w:rsid w:val="2DFD6DA8"/>
    <w:rsid w:val="2F5C3B54"/>
    <w:rsid w:val="3401034F"/>
    <w:rsid w:val="365F5108"/>
    <w:rsid w:val="38451629"/>
    <w:rsid w:val="39202096"/>
    <w:rsid w:val="3956631D"/>
    <w:rsid w:val="39A323C9"/>
    <w:rsid w:val="3D995F73"/>
    <w:rsid w:val="3DD40ACC"/>
    <w:rsid w:val="3E7A3FF6"/>
    <w:rsid w:val="3F7C42B6"/>
    <w:rsid w:val="40821E95"/>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6359495D"/>
    <w:rsid w:val="65374BCA"/>
    <w:rsid w:val="6562740E"/>
    <w:rsid w:val="65FC1861"/>
    <w:rsid w:val="662E5966"/>
    <w:rsid w:val="6747066A"/>
    <w:rsid w:val="68156F98"/>
    <w:rsid w:val="699F737A"/>
    <w:rsid w:val="6D892812"/>
    <w:rsid w:val="6EAC5D22"/>
    <w:rsid w:val="6F1E00AA"/>
    <w:rsid w:val="6FE07D2F"/>
    <w:rsid w:val="73136DD6"/>
    <w:rsid w:val="73922BF0"/>
    <w:rsid w:val="73B72B30"/>
    <w:rsid w:val="76271B88"/>
    <w:rsid w:val="76C41664"/>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7"/>
    <w:basedOn w:val="1"/>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semiHidden/>
    <w:unhideWhenUsed/>
    <w:qFormat/>
    <w:uiPriority w:val="99"/>
    <w:pPr>
      <w:jc w:val="left"/>
    </w:pPr>
  </w:style>
  <w:style w:type="paragraph" w:styleId="6">
    <w:name w:val="Body Text"/>
    <w:basedOn w:val="1"/>
    <w:autoRedefine/>
    <w:qFormat/>
    <w:uiPriority w:val="1"/>
    <w:pPr>
      <w:ind w:left="140"/>
    </w:pPr>
    <w:rPr>
      <w:rFonts w:ascii="宋体" w:hAnsi="宋体"/>
      <w:sz w:val="21"/>
      <w:szCs w:val="21"/>
    </w:rPr>
  </w:style>
  <w:style w:type="paragraph" w:styleId="7">
    <w:name w:val="Body Text Indent"/>
    <w:basedOn w:val="1"/>
    <w:next w:val="8"/>
    <w:autoRedefine/>
    <w:qFormat/>
    <w:uiPriority w:val="0"/>
    <w:pPr>
      <w:ind w:firstLine="645"/>
    </w:pPr>
    <w:rPr>
      <w:rFonts w:ascii="楷体_GB2312" w:eastAsia="楷体_GB2312"/>
      <w:kern w:val="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ind w:firstLine="645"/>
    </w:pPr>
    <w:rPr>
      <w:rFonts w:ascii="仿宋_GB2312" w:hAnsi="Arial" w:eastAsia="仿宋_GB2312"/>
      <w:color w:val="000000"/>
      <w:sz w:val="30"/>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spacing w:before="100" w:beforeAutospacing="1" w:after="100" w:afterAutospacing="1"/>
      <w:jc w:val="left"/>
    </w:pPr>
    <w:rPr>
      <w:kern w:val="0"/>
      <w:sz w:val="24"/>
      <w:szCs w:val="22"/>
    </w:rPr>
  </w:style>
  <w:style w:type="paragraph" w:styleId="16">
    <w:name w:val="annotation subject"/>
    <w:basedOn w:val="5"/>
    <w:next w:val="5"/>
    <w:link w:val="27"/>
    <w:autoRedefine/>
    <w:semiHidden/>
    <w:unhideWhenUsed/>
    <w:qFormat/>
    <w:uiPriority w:val="99"/>
    <w:rPr>
      <w:b/>
      <w:bCs/>
    </w:rPr>
  </w:style>
  <w:style w:type="paragraph" w:styleId="17">
    <w:name w:val="Body Text First Indent 2"/>
    <w:basedOn w:val="7"/>
    <w:next w:val="1"/>
    <w:autoRedefine/>
    <w:qFormat/>
    <w:uiPriority w:val="0"/>
    <w:pPr>
      <w:ind w:left="420" w:leftChars="200" w:firstLine="420" w:firstLineChars="200"/>
    </w:p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5"/>
    <w:autoRedefine/>
    <w:semiHidden/>
    <w:qFormat/>
    <w:uiPriority w:val="99"/>
  </w:style>
  <w:style w:type="character" w:customStyle="1" w:styleId="27">
    <w:name w:val="批注主题 Char"/>
    <w:basedOn w:val="26"/>
    <w:link w:val="16"/>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6</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2025-09-01T08:47:53Z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