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4"/>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3"/>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2774249"/>
      <w:bookmarkStart w:id="3" w:name="_Toc461056631"/>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eastAsiaTheme="minorEastAsia"/>
                <w:bCs/>
                <w:color w:val="000000"/>
                <w:u w:val="single"/>
                <w:lang w:val="en-US" w:eastAsia="zh-CN"/>
              </w:rPr>
            </w:pPr>
            <w:r>
              <w:rPr>
                <w:rFonts w:hint="eastAsia" w:hAnsi="宋体"/>
                <w:bCs/>
                <w:color w:val="000000"/>
                <w:lang w:val="en-US" w:eastAsia="zh-CN"/>
              </w:rPr>
              <w:t>费率</w:t>
            </w:r>
            <w:r>
              <w:rPr>
                <w:rFonts w:hint="eastAsia" w:hAnsi="宋体"/>
                <w:bCs/>
                <w:color w:val="000000"/>
              </w:rPr>
              <w:t>：</w:t>
            </w:r>
            <w:r>
              <w:rPr>
                <w:rFonts w:hint="eastAsia" w:hAnsi="宋体"/>
                <w:bCs/>
                <w:color w:val="000000"/>
                <w:u w:val="single"/>
              </w:rPr>
              <w:t xml:space="preserve">          </w:t>
            </w:r>
            <w:r>
              <w:rPr>
                <w:rFonts w:hint="eastAsia" w:hAnsi="宋体"/>
                <w:bCs/>
                <w:color w:val="000000"/>
                <w:u w:val="none"/>
                <w:lang w:val="en-US" w:eastAsia="zh-CN"/>
              </w:rPr>
              <w:t>%</w:t>
            </w:r>
          </w:p>
          <w:p>
            <w:pPr>
              <w:snapToGrid w:val="0"/>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p>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19"/>
        <w:ind w:left="0" w:leftChars="0" w:firstLine="0" w:firstLineChars="0"/>
        <w:rPr>
          <w:rFonts w:hAnsi="宋体"/>
          <w:b/>
          <w:bCs/>
          <w:color w:val="000000"/>
          <w:szCs w:val="28"/>
        </w:rPr>
      </w:pPr>
    </w:p>
    <w:p>
      <w:pPr>
        <w:pStyle w:val="19"/>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7"/>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8"/>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8"/>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8"/>
        <w:snapToGrid w:val="0"/>
        <w:spacing w:line="360" w:lineRule="auto"/>
        <w:jc w:val="left"/>
        <w:rPr>
          <w:rFonts w:hAnsi="宋体"/>
          <w:color w:val="000000"/>
          <w:sz w:val="24"/>
          <w:szCs w:val="28"/>
        </w:rPr>
      </w:pPr>
      <w:r>
        <w:rPr>
          <w:rFonts w:hint="eastAsia" w:hAnsi="宋体"/>
          <w:color w:val="000000"/>
          <w:sz w:val="24"/>
          <w:szCs w:val="28"/>
        </w:rPr>
        <w:t>注：</w:t>
      </w:r>
    </w:p>
    <w:p>
      <w:pPr>
        <w:pStyle w:val="8"/>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8648630"/>
      <w:bookmarkStart w:id="7" w:name="_Toc433835936"/>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int="eastAsia" w:hAnsi="宋体"/>
          <w:szCs w:val="24"/>
        </w:rPr>
      </w:pPr>
      <w:r>
        <w:rPr>
          <w:rFonts w:hint="eastAsia" w:hAnsi="宋体"/>
          <w:szCs w:val="24"/>
        </w:rPr>
        <w:t>1</w:t>
      </w:r>
      <w:r>
        <w:rPr>
          <w:rFonts w:hint="eastAsia" w:hAnsi="宋体"/>
          <w:szCs w:val="24"/>
          <w:lang w:eastAsia="zh-CN"/>
        </w:rPr>
        <w:t>.</w:t>
      </w:r>
      <w:r>
        <w:rPr>
          <w:rFonts w:hint="eastAsia" w:hAnsi="宋体"/>
          <w:szCs w:val="24"/>
        </w:rPr>
        <w:t>法人代表或代理人（授权委托书）。</w:t>
      </w:r>
    </w:p>
    <w:p>
      <w:pPr>
        <w:spacing w:line="360" w:lineRule="auto"/>
        <w:ind w:firstLine="420" w:firstLineChars="200"/>
        <w:rPr>
          <w:rFonts w:hint="eastAsia" w:hAnsi="宋体"/>
          <w:szCs w:val="24"/>
          <w:lang w:eastAsia="zh-CN"/>
        </w:rPr>
      </w:pPr>
      <w:r>
        <w:rPr>
          <w:rFonts w:hint="eastAsia" w:hAnsi="宋体"/>
          <w:szCs w:val="24"/>
        </w:rPr>
        <w:t>2</w:t>
      </w:r>
      <w:r>
        <w:rPr>
          <w:rFonts w:hint="eastAsia" w:hAnsi="宋体"/>
          <w:szCs w:val="24"/>
          <w:lang w:eastAsia="zh-CN"/>
        </w:rPr>
        <w:t>.</w:t>
      </w:r>
      <w:r>
        <w:rPr>
          <w:rFonts w:hint="eastAsia" w:hAnsi="宋体"/>
          <w:szCs w:val="24"/>
        </w:rPr>
        <w:t>供应商企业简介</w:t>
      </w:r>
      <w:r>
        <w:rPr>
          <w:rFonts w:hint="eastAsia" w:hAnsi="宋体"/>
          <w:szCs w:val="24"/>
          <w:lang w:eastAsia="zh-CN"/>
        </w:rPr>
        <w:t>。</w:t>
      </w:r>
    </w:p>
    <w:p>
      <w:pPr>
        <w:spacing w:line="360" w:lineRule="auto"/>
        <w:ind w:firstLine="420" w:firstLineChars="200"/>
        <w:rPr>
          <w:rFonts w:hint="eastAsia" w:hAnsi="宋体"/>
          <w:szCs w:val="24"/>
        </w:rPr>
      </w:pPr>
      <w:r>
        <w:rPr>
          <w:rFonts w:hint="eastAsia" w:hAnsi="宋体"/>
          <w:szCs w:val="24"/>
        </w:rPr>
        <w:t>3</w:t>
      </w:r>
      <w:r>
        <w:rPr>
          <w:rFonts w:hint="eastAsia" w:hAnsi="宋体"/>
          <w:szCs w:val="24"/>
          <w:lang w:eastAsia="zh-CN"/>
        </w:rPr>
        <w:t>.</w:t>
      </w:r>
      <w:r>
        <w:rPr>
          <w:rFonts w:hint="eastAsia" w:hAnsi="宋体"/>
          <w:szCs w:val="24"/>
        </w:rPr>
        <w:t>供应商单位营业执照、资质证书等有关资料复印件及综合评分资料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、报价资料，打印盖章装订成册</w:t>
      </w:r>
      <w:r>
        <w:rPr>
          <w:rFonts w:hint="eastAsia" w:hAnsi="宋体"/>
          <w:szCs w:val="24"/>
          <w:lang w:eastAsia="zh-CN"/>
        </w:rPr>
        <w:t>。</w:t>
      </w:r>
      <w:r>
        <w:rPr>
          <w:rFonts w:hint="eastAsia" w:hAnsi="宋体"/>
          <w:szCs w:val="24"/>
        </w:rPr>
        <w:t xml:space="preserve"> </w:t>
      </w:r>
    </w:p>
    <w:p>
      <w:pPr>
        <w:spacing w:line="360" w:lineRule="auto"/>
        <w:ind w:firstLine="420" w:firstLineChars="200"/>
        <w:rPr>
          <w:rFonts w:hint="eastAsia" w:hAnsi="宋体"/>
          <w:szCs w:val="24"/>
          <w:lang w:val="en-US" w:eastAsia="zh-CN"/>
        </w:rPr>
      </w:pPr>
      <w:r>
        <w:rPr>
          <w:rFonts w:hint="eastAsia" w:hAnsi="宋体"/>
          <w:szCs w:val="24"/>
        </w:rPr>
        <w:t>4</w:t>
      </w:r>
      <w:r>
        <w:rPr>
          <w:rFonts w:hint="eastAsia" w:hAnsi="宋体"/>
          <w:szCs w:val="24"/>
          <w:lang w:eastAsia="zh-CN"/>
        </w:rPr>
        <w:t>.</w:t>
      </w:r>
      <w:r>
        <w:rPr>
          <w:rFonts w:hint="eastAsia" w:hAnsi="宋体"/>
          <w:szCs w:val="24"/>
        </w:rPr>
        <w:t>供应商</w:t>
      </w:r>
      <w:r>
        <w:rPr>
          <w:rFonts w:hint="eastAsia" w:hAnsi="宋体"/>
          <w:szCs w:val="24"/>
          <w:lang w:val="en-US" w:eastAsia="zh-CN"/>
        </w:rPr>
        <w:t>认为需要提交的其他材料。</w:t>
      </w:r>
    </w:p>
    <w:p>
      <w:pPr>
        <w:spacing w:line="360" w:lineRule="auto"/>
        <w:ind w:firstLine="420" w:firstLineChars="200"/>
        <w:rPr>
          <w:rFonts w:hAnsi="宋体"/>
          <w:szCs w:val="24"/>
        </w:rPr>
      </w:pPr>
      <w:r>
        <w:rPr>
          <w:rFonts w:hint="eastAsia" w:hAnsi="宋体"/>
          <w:szCs w:val="24"/>
          <w:lang w:val="en-US" w:eastAsia="zh-CN"/>
        </w:rPr>
        <w:t>5</w:t>
      </w:r>
      <w:r>
        <w:rPr>
          <w:rFonts w:hint="eastAsia" w:hAnsi="宋体"/>
          <w:szCs w:val="24"/>
        </w:rPr>
        <w:t>、供应商在规定时间密封送达。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jc w:val="center"/>
        <w:rPr>
          <w:rFonts w:hint="eastAsia"/>
          <w:b/>
          <w:bCs/>
          <w:sz w:val="32"/>
          <w:szCs w:val="32"/>
          <w:lang w:val="en-US" w:eastAsia="zh-CN"/>
        </w:rPr>
      </w:pPr>
      <w:r>
        <w:rPr>
          <w:rFonts w:hint="eastAsia"/>
          <w:b/>
          <w:bCs/>
          <w:sz w:val="32"/>
          <w:szCs w:val="32"/>
          <w:lang w:val="en-US" w:eastAsia="zh-CN"/>
        </w:rPr>
        <w:t>采购需求</w:t>
      </w:r>
    </w:p>
    <w:p>
      <w:pPr>
        <w:jc w:val="center"/>
        <w:rPr>
          <w:rFonts w:hint="eastAsia"/>
          <w:b/>
          <w:bCs/>
          <w:sz w:val="32"/>
          <w:szCs w:val="32"/>
          <w:lang w:val="en-US" w:eastAsia="zh-CN"/>
        </w:rPr>
      </w:pPr>
    </w:p>
    <w:tbl>
      <w:tblPr>
        <w:tblStyle w:val="2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7"/>
        <w:gridCol w:w="6638"/>
      </w:tblGrid>
      <w:tr>
        <w:tblPrEx>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
                <w:color w:val="000000"/>
              </w:rPr>
            </w:pPr>
            <w:r>
              <w:rPr>
                <w:rFonts w:hint="eastAsia" w:hAnsi="宋体"/>
                <w:b/>
                <w:color w:val="000000"/>
              </w:rPr>
              <w:t>序号</w:t>
            </w:r>
          </w:p>
        </w:tc>
        <w:tc>
          <w:tcPr>
            <w:tcW w:w="1447" w:type="dxa"/>
            <w:vAlign w:val="center"/>
          </w:tcPr>
          <w:p>
            <w:pPr>
              <w:jc w:val="center"/>
              <w:rPr>
                <w:rFonts w:hAnsi="宋体"/>
                <w:b/>
                <w:color w:val="000000"/>
              </w:rPr>
            </w:pPr>
            <w:r>
              <w:rPr>
                <w:rFonts w:hint="eastAsia" w:hAnsi="宋体"/>
                <w:b/>
                <w:color w:val="000000"/>
              </w:rPr>
              <w:t>内容</w:t>
            </w:r>
          </w:p>
        </w:tc>
        <w:tc>
          <w:tcPr>
            <w:tcW w:w="6638" w:type="dxa"/>
            <w:vAlign w:val="center"/>
          </w:tcPr>
          <w:p>
            <w:pPr>
              <w:pStyle w:val="41"/>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rPr>
            </w:pPr>
            <w:r>
              <w:rPr>
                <w:rFonts w:hint="eastAsia" w:hAnsi="宋体"/>
                <w:bCs/>
                <w:color w:val="000000"/>
              </w:rPr>
              <w:t>1</w:t>
            </w:r>
          </w:p>
        </w:tc>
        <w:tc>
          <w:tcPr>
            <w:tcW w:w="1447" w:type="dxa"/>
            <w:vAlign w:val="center"/>
          </w:tcPr>
          <w:p>
            <w:pPr>
              <w:jc w:val="center"/>
              <w:rPr>
                <w:rFonts w:hint="default" w:hAnsi="宋体" w:eastAsia="宋体"/>
                <w:bCs/>
                <w:color w:val="000000"/>
                <w:lang w:val="en-US" w:eastAsia="zh-CN"/>
              </w:rPr>
            </w:pPr>
            <w:r>
              <w:rPr>
                <w:rFonts w:hint="eastAsia" w:hAnsi="宋体"/>
                <w:bCs/>
                <w:color w:val="000000"/>
                <w:lang w:val="en-US" w:eastAsia="zh-CN"/>
              </w:rPr>
              <w:t>项目名称</w:t>
            </w:r>
          </w:p>
        </w:tc>
        <w:tc>
          <w:tcPr>
            <w:tcW w:w="6638" w:type="dxa"/>
            <w:vAlign w:val="center"/>
          </w:tcPr>
          <w:p>
            <w:pPr>
              <w:spacing w:line="360" w:lineRule="exact"/>
              <w:jc w:val="left"/>
              <w:rPr>
                <w:b w:val="0"/>
                <w:bCs w:val="0"/>
                <w:color w:val="000000"/>
                <w:sz w:val="24"/>
                <w:szCs w:val="18"/>
              </w:rPr>
            </w:pPr>
            <w:r>
              <w:rPr>
                <w:rFonts w:hint="eastAsia" w:ascii="宋体" w:hAnsi="宋体" w:eastAsia="宋体"/>
                <w:sz w:val="24"/>
                <w:szCs w:val="18"/>
                <w:highlight w:val="none"/>
              </w:rPr>
              <w:t>2025高刘污水处理厂委托检测服务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rPr>
            </w:pPr>
            <w:r>
              <w:rPr>
                <w:rFonts w:hint="eastAsia" w:hAnsi="宋体"/>
                <w:bCs/>
                <w:color w:val="000000"/>
              </w:rPr>
              <w:t>2</w:t>
            </w:r>
          </w:p>
        </w:tc>
        <w:tc>
          <w:tcPr>
            <w:tcW w:w="1447" w:type="dxa"/>
            <w:vAlign w:val="center"/>
          </w:tcPr>
          <w:p>
            <w:pPr>
              <w:jc w:val="center"/>
              <w:rPr>
                <w:rFonts w:hint="eastAsia" w:hAnsi="宋体" w:eastAsia="宋体"/>
                <w:color w:val="000000"/>
                <w:sz w:val="21"/>
                <w:szCs w:val="21"/>
                <w:lang w:eastAsia="zh-CN"/>
              </w:rPr>
            </w:pPr>
            <w:r>
              <w:rPr>
                <w:rFonts w:hint="eastAsia" w:hAnsi="宋体"/>
                <w:color w:val="000000"/>
                <w:sz w:val="21"/>
                <w:szCs w:val="21"/>
              </w:rPr>
              <w:t>项目</w:t>
            </w:r>
            <w:r>
              <w:rPr>
                <w:rFonts w:hint="eastAsia" w:hAnsi="宋体"/>
                <w:color w:val="000000"/>
                <w:sz w:val="21"/>
                <w:szCs w:val="21"/>
                <w:lang w:val="en-US" w:eastAsia="zh-CN"/>
              </w:rPr>
              <w:t>概况</w:t>
            </w:r>
          </w:p>
        </w:tc>
        <w:tc>
          <w:tcPr>
            <w:tcW w:w="6638" w:type="dxa"/>
            <w:vAlign w:val="center"/>
          </w:tcPr>
          <w:p>
            <w:pPr>
              <w:spacing w:line="360" w:lineRule="auto"/>
              <w:rPr>
                <w:rFonts w:hint="default" w:eastAsia="宋体"/>
                <w:b w:val="0"/>
                <w:bCs w:val="0"/>
                <w:color w:val="000000"/>
                <w:sz w:val="24"/>
                <w:szCs w:val="24"/>
                <w:lang w:val="en-US" w:eastAsia="zh-CN"/>
              </w:rPr>
            </w:pPr>
            <w:r>
              <w:rPr>
                <w:rFonts w:hint="eastAsia" w:ascii="宋体"/>
                <w:bCs/>
                <w:sz w:val="24"/>
                <w:szCs w:val="28"/>
              </w:rPr>
              <w:t>高</w:t>
            </w:r>
            <w:r>
              <w:rPr>
                <w:rFonts w:hint="eastAsia"/>
                <w:bCs/>
                <w:sz w:val="24"/>
                <w:szCs w:val="28"/>
                <w:lang w:val="en-US" w:eastAsia="zh-CN"/>
              </w:rPr>
              <w:t>刘</w:t>
            </w:r>
            <w:r>
              <w:rPr>
                <w:rFonts w:hint="eastAsia" w:ascii="宋体"/>
                <w:bCs/>
                <w:sz w:val="24"/>
                <w:szCs w:val="28"/>
              </w:rPr>
              <w:t>污水处理厂项目位于合肥经开北区高刘街道，根据《排污单位自行监测技术指南 水处理)》(HJ 1083-2020),高刘污水处理厂排污许可自行监测规定等文件要求，为加强污染源监测的管理</w:t>
            </w:r>
            <w:r>
              <w:rPr>
                <w:rFonts w:hint="eastAsia"/>
                <w:bCs/>
                <w:sz w:val="24"/>
                <w:szCs w:val="28"/>
                <w:lang w:val="en-US" w:eastAsia="zh-CN"/>
              </w:rPr>
              <w:t>和管网来水水质的掌握，</w:t>
            </w:r>
            <w:r>
              <w:rPr>
                <w:rFonts w:hint="eastAsia" w:ascii="宋体"/>
                <w:bCs/>
                <w:sz w:val="24"/>
                <w:szCs w:val="28"/>
              </w:rPr>
              <w:t>确保出水稳定达标，拟对高刘污水处理厂自行</w:t>
            </w:r>
            <w:r>
              <w:rPr>
                <w:rFonts w:hint="eastAsia"/>
                <w:bCs/>
                <w:sz w:val="24"/>
                <w:szCs w:val="28"/>
                <w:lang w:val="en-US" w:eastAsia="zh-CN"/>
              </w:rPr>
              <w:t>监测</w:t>
            </w:r>
            <w:r>
              <w:rPr>
                <w:rFonts w:hint="eastAsia" w:ascii="宋体"/>
                <w:bCs/>
                <w:sz w:val="24"/>
                <w:szCs w:val="28"/>
              </w:rPr>
              <w:t>中手工</w:t>
            </w:r>
            <w:r>
              <w:rPr>
                <w:rFonts w:hint="eastAsia"/>
                <w:bCs/>
                <w:sz w:val="24"/>
                <w:szCs w:val="28"/>
                <w:lang w:val="en-US" w:eastAsia="zh-CN"/>
              </w:rPr>
              <w:t>检测</w:t>
            </w:r>
            <w:r>
              <w:rPr>
                <w:rFonts w:hint="eastAsia" w:ascii="宋体"/>
                <w:bCs/>
                <w:sz w:val="24"/>
                <w:szCs w:val="28"/>
              </w:rPr>
              <w:t>项目进行委托检测招标，经估算</w:t>
            </w:r>
            <w:r>
              <w:rPr>
                <w:rFonts w:hint="eastAsia"/>
                <w:bCs/>
                <w:sz w:val="24"/>
                <w:szCs w:val="28"/>
                <w:lang w:val="en-US" w:eastAsia="zh-CN"/>
              </w:rPr>
              <w:t>项目</w:t>
            </w:r>
            <w:r>
              <w:rPr>
                <w:rFonts w:hint="eastAsia" w:ascii="宋体"/>
                <w:bCs/>
                <w:sz w:val="24"/>
                <w:szCs w:val="28"/>
              </w:rPr>
              <w:t>费用</w:t>
            </w:r>
            <w:r>
              <w:rPr>
                <w:rFonts w:hint="eastAsia"/>
                <w:bCs/>
                <w:sz w:val="24"/>
                <w:szCs w:val="28"/>
                <w:lang w:val="en-US" w:eastAsia="zh-CN"/>
              </w:rPr>
              <w:t>9万</w:t>
            </w:r>
            <w:r>
              <w:rPr>
                <w:rFonts w:hint="eastAsia" w:ascii="宋体"/>
                <w:bCs/>
                <w:sz w:val="24"/>
                <w:szCs w:val="28"/>
              </w:rPr>
              <w:t>元，具体费用由实际发生为准。若标准有变动时，以国家颁布的最新版本为准。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rPr>
            </w:pPr>
            <w:r>
              <w:rPr>
                <w:rFonts w:hint="eastAsia" w:hAnsi="宋体"/>
                <w:bCs/>
                <w:color w:val="000000"/>
              </w:rPr>
              <w:t>3</w:t>
            </w:r>
          </w:p>
        </w:tc>
        <w:tc>
          <w:tcPr>
            <w:tcW w:w="1447" w:type="dxa"/>
            <w:vAlign w:val="center"/>
          </w:tcPr>
          <w:p>
            <w:pPr>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供应商资格</w:t>
            </w:r>
          </w:p>
        </w:tc>
        <w:tc>
          <w:tcPr>
            <w:tcW w:w="6638" w:type="dxa"/>
            <w:vAlign w:val="center"/>
          </w:tcPr>
          <w:p>
            <w:pPr>
              <w:widowControl/>
              <w:spacing w:line="360" w:lineRule="auto"/>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1、符合《中华人民共和国政府采购法》第二十二条规定。</w:t>
            </w:r>
          </w:p>
          <w:p>
            <w:pPr>
              <w:widowControl/>
              <w:spacing w:line="360" w:lineRule="auto"/>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2、供应商具有有效的检验检测机构资质认定证书（CMA）</w:t>
            </w:r>
            <w:r>
              <w:rPr>
                <w:rFonts w:hint="eastAsia"/>
                <w:bCs/>
                <w:color w:val="000000" w:themeColor="text1"/>
                <w:szCs w:val="24"/>
                <w:lang w:eastAsia="zh-CN"/>
                <w14:textFill>
                  <w14:solidFill>
                    <w14:schemeClr w14:val="tx1"/>
                  </w14:solidFill>
                </w14:textFill>
              </w:rPr>
              <w:t>（</w:t>
            </w:r>
            <w:r>
              <w:rPr>
                <w:rFonts w:hint="eastAsia"/>
                <w:bCs/>
                <w:color w:val="000000" w:themeColor="text1"/>
                <w:szCs w:val="24"/>
                <w:lang w:val="en-US" w:eastAsia="zh-CN"/>
                <w14:textFill>
                  <w14:solidFill>
                    <w14:schemeClr w14:val="tx1"/>
                  </w14:solidFill>
                </w14:textFill>
              </w:rPr>
              <w:t>检测能力范围需包含废水、噪声、废气、污泥等环境检测内容，具体内容见检测清单指标</w:t>
            </w:r>
            <w:r>
              <w:rPr>
                <w:rFonts w:hint="eastAsia"/>
                <w:bCs/>
                <w:color w:val="000000" w:themeColor="text1"/>
                <w:szCs w:val="24"/>
                <w:lang w:eastAsia="zh-CN"/>
                <w14:textFill>
                  <w14:solidFill>
                    <w14:schemeClr w14:val="tx1"/>
                  </w14:solidFill>
                </w14:textFill>
              </w:rPr>
              <w:t>）</w:t>
            </w:r>
            <w:r>
              <w:rPr>
                <w:rFonts w:hint="eastAsia"/>
                <w:bCs/>
                <w:color w:val="000000" w:themeColor="text1"/>
                <w:szCs w:val="24"/>
                <w14:textFill>
                  <w14:solidFill>
                    <w14:schemeClr w14:val="tx1"/>
                  </w14:solidFill>
                </w14:textFill>
              </w:rPr>
              <w:t>，且</w:t>
            </w:r>
            <w:r>
              <w:rPr>
                <w:rFonts w:hint="eastAsia"/>
                <w:bCs/>
                <w:color w:val="000000" w:themeColor="text1"/>
                <w:szCs w:val="24"/>
                <w:lang w:val="en-US" w:eastAsia="zh-CN"/>
                <w14:textFill>
                  <w14:solidFill>
                    <w14:schemeClr w14:val="tx1"/>
                  </w14:solidFill>
                </w14:textFill>
              </w:rPr>
              <w:t>近两年</w:t>
            </w:r>
            <w:r>
              <w:rPr>
                <w:rFonts w:hint="eastAsia"/>
                <w:bCs/>
                <w:color w:val="000000" w:themeColor="text1"/>
                <w:szCs w:val="24"/>
                <w14:textFill>
                  <w14:solidFill>
                    <w14:schemeClr w14:val="tx1"/>
                  </w14:solidFill>
                </w14:textFill>
              </w:rPr>
              <w:t>未受到生态环境或市场监管部门处罚；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int="eastAsia" w:hAnsi="宋体" w:eastAsia="宋体"/>
                <w:bCs/>
                <w:color w:val="000000"/>
                <w:lang w:val="en-US" w:eastAsia="zh-CN"/>
              </w:rPr>
            </w:pPr>
            <w:r>
              <w:rPr>
                <w:rFonts w:hint="eastAsia" w:hAnsi="宋体"/>
                <w:bCs/>
                <w:color w:val="000000"/>
                <w:lang w:val="en-US" w:eastAsia="zh-CN"/>
              </w:rPr>
              <w:t>4</w:t>
            </w:r>
          </w:p>
        </w:tc>
        <w:tc>
          <w:tcPr>
            <w:tcW w:w="1447" w:type="dxa"/>
            <w:vAlign w:val="center"/>
          </w:tcPr>
          <w:p>
            <w:pPr>
              <w:pStyle w:val="41"/>
              <w:widowControl w:val="0"/>
              <w:spacing w:before="0" w:beforeAutospacing="0" w:after="0" w:afterAutospacing="0"/>
              <w:rPr>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资金来源</w:t>
            </w:r>
          </w:p>
        </w:tc>
        <w:tc>
          <w:tcPr>
            <w:tcW w:w="6638" w:type="dxa"/>
            <w:vAlign w:val="center"/>
          </w:tcPr>
          <w:p>
            <w:pPr>
              <w:pStyle w:val="41"/>
              <w:widowControl w:val="0"/>
              <w:spacing w:before="0" w:beforeAutospacing="0" w:after="0" w:afterAutospacing="0"/>
              <w:jc w:val="both"/>
              <w:rPr>
                <w:b w:val="0"/>
                <w:bCs w:val="0"/>
                <w:color w:val="000000" w:themeColor="text1"/>
                <w:sz w:val="24"/>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w:t>
            </w:r>
            <w:r>
              <w:rPr>
                <w:rFonts w:hint="eastAsia"/>
                <w:b w:val="0"/>
                <w:bCs w:val="0"/>
                <w:color w:val="000000" w:themeColor="text1"/>
                <w:sz w:val="24"/>
                <w14:textFill>
                  <w14:solidFill>
                    <w14:schemeClr w14:val="tx1"/>
                  </w14:solidFill>
                </w14:textFill>
              </w:rPr>
              <w:t>采购人自筹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spacing w:line="500" w:lineRule="exact"/>
              <w:jc w:val="center"/>
              <w:rPr>
                <w:rFonts w:hint="eastAsia" w:hAnsi="宋体" w:eastAsia="宋体"/>
                <w:color w:val="000000"/>
                <w:lang w:val="en-US" w:eastAsia="zh-CN"/>
              </w:rPr>
            </w:pPr>
            <w:r>
              <w:rPr>
                <w:rFonts w:hint="eastAsia" w:hAnsi="宋体"/>
                <w:color w:val="000000"/>
                <w:lang w:val="en-US" w:eastAsia="zh-CN"/>
              </w:rPr>
              <w:t>5</w:t>
            </w:r>
          </w:p>
        </w:tc>
        <w:tc>
          <w:tcPr>
            <w:tcW w:w="1447" w:type="dxa"/>
          </w:tcPr>
          <w:p>
            <w:pPr>
              <w:spacing w:line="500" w:lineRule="exact"/>
              <w:jc w:val="center"/>
              <w:rPr>
                <w:rFonts w:hAnsi="宋体"/>
                <w:color w:val="000000" w:themeColor="text1"/>
                <w:lang w:val="zh-CN"/>
                <w14:textFill>
                  <w14:solidFill>
                    <w14:schemeClr w14:val="tx1"/>
                  </w14:solidFill>
                </w14:textFill>
              </w:rPr>
            </w:pPr>
            <w:r>
              <w:rPr>
                <w:rFonts w:hint="eastAsia" w:hAnsi="宋体"/>
                <w:color w:val="000000" w:themeColor="text1"/>
                <w14:textFill>
                  <w14:solidFill>
                    <w14:schemeClr w14:val="tx1"/>
                  </w14:solidFill>
                </w14:textFill>
              </w:rPr>
              <w:t>标段划分</w:t>
            </w:r>
          </w:p>
        </w:tc>
        <w:tc>
          <w:tcPr>
            <w:tcW w:w="6638" w:type="dxa"/>
            <w:vAlign w:val="center"/>
          </w:tcPr>
          <w:p>
            <w:pPr>
              <w:spacing w:line="500" w:lineRule="exact"/>
              <w:ind w:firstLine="105" w:firstLineChars="50"/>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vAlign w:val="center"/>
          </w:tcPr>
          <w:p>
            <w:pPr>
              <w:spacing w:line="500" w:lineRule="exact"/>
              <w:ind w:right="102"/>
              <w:jc w:val="center"/>
              <w:rPr>
                <w:rFonts w:hint="eastAsia" w:hAnsi="宋体" w:eastAsia="宋体"/>
                <w:color w:val="000000"/>
                <w:lang w:val="en-US" w:eastAsia="zh-CN"/>
              </w:rPr>
            </w:pPr>
            <w:r>
              <w:rPr>
                <w:rFonts w:hint="eastAsia" w:hAnsi="宋体"/>
                <w:color w:val="000000"/>
                <w:lang w:val="en-US" w:eastAsia="zh-CN"/>
              </w:rPr>
              <w:t>6</w:t>
            </w:r>
          </w:p>
        </w:tc>
        <w:tc>
          <w:tcPr>
            <w:tcW w:w="1447" w:type="dxa"/>
            <w:vAlign w:val="center"/>
          </w:tcPr>
          <w:p>
            <w:pPr>
              <w:spacing w:line="500" w:lineRule="exact"/>
              <w:jc w:val="center"/>
              <w:rPr>
                <w:rFonts w:hAnsi="宋体"/>
                <w:color w:val="000000" w:themeColor="text1"/>
                <w14:textFill>
                  <w14:solidFill>
                    <w14:schemeClr w14:val="tx1"/>
                  </w14:solidFill>
                </w14:textFill>
              </w:rPr>
            </w:pPr>
            <w:r>
              <w:rPr>
                <w:rFonts w:hint="eastAsia" w:hAnsi="宋体"/>
                <w:color w:val="000000" w:themeColor="text1"/>
                <w:lang w:val="zh-CN"/>
                <w14:textFill>
                  <w14:solidFill>
                    <w14:schemeClr w14:val="tx1"/>
                  </w14:solidFill>
                </w14:textFill>
              </w:rPr>
              <w:t>付款方式</w:t>
            </w:r>
          </w:p>
        </w:tc>
        <w:tc>
          <w:tcPr>
            <w:tcW w:w="6638" w:type="dxa"/>
          </w:tcPr>
          <w:p>
            <w:pPr>
              <w:pStyle w:val="34"/>
              <w:spacing w:line="500" w:lineRule="exact"/>
              <w:rPr>
                <w:rFonts w:hint="eastAsia" w:hAnsi="宋体" w:eastAsia="宋体" w:cs="宋体"/>
                <w:color w:val="000000" w:themeColor="text1"/>
                <w:szCs w:val="21"/>
                <w:lang w:val="en-US" w:eastAsia="zh-CN"/>
                <w14:textFill>
                  <w14:solidFill>
                    <w14:schemeClr w14:val="tx1"/>
                  </w14:solidFill>
                </w14:textFill>
              </w:rPr>
            </w:pPr>
            <w:r>
              <w:rPr>
                <w:rFonts w:hint="eastAsia" w:ascii="宋体" w:hAnsi="宋体"/>
                <w:color w:val="000000" w:themeColor="text1"/>
                <w:sz w:val="24"/>
                <w:szCs w:val="18"/>
                <w:lang w:val="en-US" w:eastAsia="zh-CN"/>
                <w14:textFill>
                  <w14:solidFill>
                    <w14:schemeClr w14:val="tx1"/>
                  </w14:solidFill>
                </w14:textFill>
              </w:rPr>
              <w:t>每季度</w:t>
            </w:r>
            <w:r>
              <w:rPr>
                <w:rFonts w:hint="eastAsia" w:ascii="宋体" w:hAnsi="宋体"/>
                <w:color w:val="000000" w:themeColor="text1"/>
                <w:sz w:val="24"/>
                <w:szCs w:val="18"/>
                <w14:textFill>
                  <w14:solidFill>
                    <w14:schemeClr w14:val="tx1"/>
                  </w14:solidFill>
                </w14:textFill>
              </w:rPr>
              <w:t>完成现场</w:t>
            </w:r>
            <w:r>
              <w:rPr>
                <w:rFonts w:hint="eastAsia" w:ascii="宋体" w:hAnsi="宋体"/>
                <w:color w:val="000000" w:themeColor="text1"/>
                <w:sz w:val="24"/>
                <w:szCs w:val="18"/>
                <w:lang w:val="en-US" w:eastAsia="zh-CN"/>
                <w14:textFill>
                  <w14:solidFill>
                    <w14:schemeClr w14:val="tx1"/>
                  </w14:solidFill>
                </w14:textFill>
              </w:rPr>
              <w:t>检测</w:t>
            </w:r>
            <w:r>
              <w:rPr>
                <w:rFonts w:hint="eastAsia" w:ascii="宋体" w:hAnsi="宋体"/>
                <w:color w:val="000000" w:themeColor="text1"/>
                <w:sz w:val="24"/>
                <w:szCs w:val="18"/>
                <w14:textFill>
                  <w14:solidFill>
                    <w14:schemeClr w14:val="tx1"/>
                  </w14:solidFill>
                </w14:textFill>
              </w:rPr>
              <w:t>服务后，按照合同条款规定价格予以支付</w:t>
            </w:r>
            <w:r>
              <w:rPr>
                <w:rFonts w:hint="eastAsia" w:ascii="宋体" w:hAnsi="宋体"/>
                <w:color w:val="000000" w:themeColor="text1"/>
                <w:sz w:val="24"/>
                <w:szCs w:val="18"/>
                <w:lang w:eastAsia="zh-CN"/>
                <w14:textFill>
                  <w14:solidFill>
                    <w14:schemeClr w14:val="tx1"/>
                  </w14:solidFill>
                </w14:textFill>
              </w:rPr>
              <w:t>。</w:t>
            </w:r>
            <w:r>
              <w:rPr>
                <w:rFonts w:hint="eastAsia" w:ascii="宋体" w:hAnsi="宋体"/>
                <w:color w:val="000000" w:themeColor="text1"/>
                <w:sz w:val="24"/>
                <w:szCs w:val="18"/>
                <w14:textFill>
                  <w14:solidFill>
                    <w14:schemeClr w14:val="tx1"/>
                  </w14:solidFill>
                </w14:textFill>
              </w:rPr>
              <w:t>税率：开具税务部门认可的、合法有效的技术服务发票</w:t>
            </w:r>
            <w:r>
              <w:rPr>
                <w:rFonts w:hint="eastAsia" w:ascii="宋体" w:hAnsi="宋体"/>
                <w:color w:val="000000" w:themeColor="text1"/>
                <w:sz w:val="24"/>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vAlign w:val="center"/>
          </w:tcPr>
          <w:p>
            <w:pPr>
              <w:spacing w:line="500" w:lineRule="exact"/>
              <w:jc w:val="center"/>
              <w:rPr>
                <w:rFonts w:hint="eastAsia" w:hAnsi="宋体" w:eastAsia="宋体"/>
                <w:color w:val="000000"/>
                <w:lang w:val="en-US" w:eastAsia="zh-CN"/>
              </w:rPr>
            </w:pPr>
            <w:r>
              <w:rPr>
                <w:rFonts w:hint="eastAsia" w:hAnsi="宋体"/>
                <w:color w:val="000000"/>
                <w:lang w:val="en-US" w:eastAsia="zh-CN"/>
              </w:rPr>
              <w:t>7</w:t>
            </w:r>
          </w:p>
        </w:tc>
        <w:tc>
          <w:tcPr>
            <w:tcW w:w="1447" w:type="dxa"/>
            <w:vAlign w:val="center"/>
          </w:tcPr>
          <w:p>
            <w:pPr>
              <w:spacing w:line="500" w:lineRule="exact"/>
              <w:jc w:val="center"/>
              <w:rPr>
                <w:rFonts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服务期限</w:t>
            </w:r>
          </w:p>
        </w:tc>
        <w:tc>
          <w:tcPr>
            <w:tcW w:w="6638" w:type="dxa"/>
            <w:vAlign w:val="center"/>
          </w:tcPr>
          <w:p>
            <w:pPr>
              <w:pStyle w:val="44"/>
              <w:spacing w:line="360" w:lineRule="auto"/>
              <w:ind w:firstLine="0" w:firstLineChars="0"/>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1、服务</w:t>
            </w:r>
            <w:r>
              <w:rPr>
                <w:rFonts w:hint="eastAsia" w:cs="仿宋_GB2312" w:asciiTheme="minorEastAsia" w:hAnsiTheme="minorEastAsia" w:eastAsiaTheme="minorEastAsia"/>
                <w:sz w:val="24"/>
                <w:szCs w:val="24"/>
                <w:highlight w:val="none"/>
              </w:rPr>
              <w:t>期限：1+</w:t>
            </w:r>
            <w:r>
              <w:rPr>
                <w:rFonts w:cs="仿宋_GB2312" w:asciiTheme="minorEastAsia" w:hAnsiTheme="minorEastAsia" w:eastAsiaTheme="minorEastAsia"/>
                <w:sz w:val="24"/>
                <w:szCs w:val="24"/>
                <w:highlight w:val="none"/>
              </w:rPr>
              <w:t>X</w:t>
            </w:r>
            <w:r>
              <w:rPr>
                <w:rFonts w:hint="eastAsia" w:cs="仿宋_GB2312" w:asciiTheme="minorEastAsia" w:hAnsiTheme="minorEastAsia" w:eastAsiaTheme="minorEastAsia"/>
                <w:sz w:val="24"/>
                <w:szCs w:val="24"/>
                <w:highlight w:val="none"/>
              </w:rPr>
              <w:t>年（X≤</w:t>
            </w:r>
            <w:r>
              <w:rPr>
                <w:rFonts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rPr>
              <w:t>），</w:t>
            </w:r>
            <w:r>
              <w:rPr>
                <w:rFonts w:cs="仿宋_GB2312" w:asciiTheme="minorEastAsia" w:hAnsiTheme="minorEastAsia" w:eastAsiaTheme="minorEastAsia"/>
                <w:sz w:val="24"/>
                <w:szCs w:val="24"/>
                <w:highlight w:val="none"/>
              </w:rPr>
              <w:t>合同期满后根据履约情况，经合同双方协商一致，可续签合同，合同金额、服务内容保持不变。</w:t>
            </w:r>
          </w:p>
          <w:p>
            <w:pPr>
              <w:spacing w:line="500" w:lineRule="exact"/>
              <w:rPr>
                <w:rFonts w:hAnsi="宋体"/>
                <w:color w:val="000000" w:themeColor="text1"/>
                <w14:textFill>
                  <w14:solidFill>
                    <w14:schemeClr w14:val="tx1"/>
                  </w14:solidFill>
                </w14:textFill>
              </w:rPr>
            </w:pPr>
            <w:r>
              <w:rPr>
                <w:rFonts w:hint="eastAsia" w:cs="宋体" w:asciiTheme="minorEastAsia" w:hAnsiTheme="minorEastAsia" w:eastAsiaTheme="minorEastAsia"/>
                <w:color w:val="000000"/>
                <w:szCs w:val="21"/>
                <w:highlight w:val="none"/>
              </w:rPr>
              <w:t>2、当出现以下因素时，采购人有权随时终止合同，中标供应商不得以任何理由提出索赔要求：（1）政策性调整；（2）因中标供应商原因发生安全事故</w:t>
            </w:r>
            <w:r>
              <w:rPr>
                <w:rFonts w:hint="eastAsia" w:asciiTheme="minorEastAsia" w:hAnsiTheme="minorEastAsia" w:eastAsiaTheme="minorEastAsia"/>
                <w:highlight w:val="none"/>
              </w:rPr>
              <w:t>。</w:t>
            </w:r>
            <w:r>
              <w:rPr>
                <w:rFonts w:asciiTheme="minorEastAsia" w:hAnsiTheme="minorEastAsia" w:eastAsiaTheme="minorEastAsia"/>
                <w:color w:val="FF000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vAlign w:val="center"/>
          </w:tcPr>
          <w:p>
            <w:pPr>
              <w:spacing w:line="500" w:lineRule="exact"/>
              <w:jc w:val="center"/>
              <w:rPr>
                <w:rFonts w:hint="default" w:hAnsi="宋体" w:eastAsia="宋体"/>
                <w:color w:val="000000"/>
                <w:lang w:val="en-US" w:eastAsia="zh-CN"/>
              </w:rPr>
            </w:pPr>
            <w:r>
              <w:rPr>
                <w:rFonts w:hint="eastAsia" w:hAnsi="宋体"/>
                <w:color w:val="000000"/>
                <w:lang w:val="en-US" w:eastAsia="zh-CN"/>
              </w:rPr>
              <w:t>8</w:t>
            </w:r>
          </w:p>
        </w:tc>
        <w:tc>
          <w:tcPr>
            <w:tcW w:w="1447" w:type="dxa"/>
            <w:vAlign w:val="center"/>
          </w:tcPr>
          <w:p>
            <w:pPr>
              <w:spacing w:line="500" w:lineRule="exact"/>
              <w:jc w:val="center"/>
              <w:rPr>
                <w:rFonts w:hAnsi="宋体"/>
                <w:color w:val="000000"/>
              </w:rPr>
            </w:pPr>
            <w:r>
              <w:rPr>
                <w:rFonts w:hint="eastAsia" w:hAnsi="宋体"/>
                <w:bCs/>
                <w:color w:val="000000"/>
              </w:rPr>
              <w:t>踏勘现场</w:t>
            </w:r>
          </w:p>
        </w:tc>
        <w:tc>
          <w:tcPr>
            <w:tcW w:w="6638" w:type="dxa"/>
            <w:vAlign w:val="center"/>
          </w:tcPr>
          <w:p>
            <w:pPr>
              <w:spacing w:line="500" w:lineRule="exact"/>
              <w:rPr>
                <w:rFonts w:hAnsi="宋体"/>
                <w:color w:val="000000"/>
                <w:lang w:val="zh-CN"/>
              </w:rPr>
            </w:pPr>
            <w:r>
              <w:rPr>
                <w:b/>
                <w:color w:val="000000"/>
              </w:rPr>
              <w:sym w:font="Wingdings" w:char="00FE"/>
            </w:r>
            <w:r>
              <w:rPr>
                <w:rFonts w:hint="eastAsia" w:hAnsi="宋体"/>
                <w:bCs/>
                <w:color w:val="000000"/>
              </w:rPr>
              <w:t>自行踏勘</w:t>
            </w:r>
            <w:r>
              <w:rPr>
                <w:rFonts w:hint="eastAsia" w:hAnsi="宋体"/>
                <w:color w:val="000000"/>
              </w:rPr>
              <w:t xml:space="preserve">  □采购人</w:t>
            </w:r>
            <w:r>
              <w:rPr>
                <w:rFonts w:hint="eastAsia" w:hAnsi="宋体"/>
                <w:color w:val="000000"/>
                <w:lang w:val="zh-CN"/>
              </w:rPr>
              <w:t>统一组织</w:t>
            </w:r>
          </w:p>
        </w:tc>
      </w:tr>
    </w:tbl>
    <w:p>
      <w:pPr>
        <w:bidi w:val="0"/>
        <w:rPr>
          <w:rFonts w:hint="eastAsia"/>
          <w:lang w:val="en-US" w:eastAsia="zh-CN"/>
        </w:rPr>
      </w:pPr>
      <w:bookmarkStart w:id="8" w:name="_GoBack"/>
      <w:bookmarkEnd w:id="8"/>
    </w:p>
    <w:p>
      <w:pPr>
        <w:bidi w:val="0"/>
        <w:jc w:val="center"/>
        <w:rPr>
          <w:rFonts w:hint="eastAsia"/>
          <w:b/>
          <w:bCs/>
          <w:sz w:val="32"/>
          <w:szCs w:val="32"/>
          <w:lang w:val="en-US" w:eastAsia="zh-CN"/>
        </w:rPr>
      </w:pPr>
      <w:r>
        <w:rPr>
          <w:rFonts w:hint="eastAsia"/>
          <w:b/>
          <w:bCs/>
          <w:sz w:val="32"/>
          <w:szCs w:val="32"/>
          <w:lang w:val="en-US" w:eastAsia="zh-CN"/>
        </w:rPr>
        <w:t>高刘污水处理厂委托检测</w:t>
      </w:r>
    </w:p>
    <w:p>
      <w:pPr>
        <w:spacing w:line="360" w:lineRule="auto"/>
        <w:rPr>
          <w:rFonts w:ascii="宋体"/>
          <w:b/>
          <w:bCs/>
          <w:sz w:val="24"/>
          <w:szCs w:val="24"/>
        </w:rPr>
      </w:pPr>
      <w:r>
        <w:rPr>
          <w:rFonts w:hint="eastAsia" w:ascii="宋体" w:hAnsi="宋体" w:cs="宋体"/>
          <w:b/>
          <w:bCs/>
          <w:sz w:val="28"/>
          <w:szCs w:val="28"/>
        </w:rPr>
        <w:t>一、项目概况：</w:t>
      </w:r>
    </w:p>
    <w:p>
      <w:pPr>
        <w:spacing w:line="360" w:lineRule="auto"/>
        <w:ind w:firstLine="480" w:firstLineChars="200"/>
        <w:rPr>
          <w:rFonts w:hint="eastAsia" w:ascii="宋体"/>
          <w:bCs/>
          <w:sz w:val="24"/>
          <w:szCs w:val="28"/>
        </w:rPr>
      </w:pPr>
      <w:r>
        <w:rPr>
          <w:rFonts w:hint="eastAsia" w:ascii="宋体"/>
          <w:bCs/>
          <w:sz w:val="24"/>
          <w:szCs w:val="28"/>
        </w:rPr>
        <w:t>高</w:t>
      </w:r>
      <w:r>
        <w:rPr>
          <w:rFonts w:hint="eastAsia"/>
          <w:bCs/>
          <w:sz w:val="24"/>
          <w:szCs w:val="28"/>
          <w:lang w:val="en-US" w:eastAsia="zh-CN"/>
        </w:rPr>
        <w:t>刘</w:t>
      </w:r>
      <w:r>
        <w:rPr>
          <w:rFonts w:hint="eastAsia" w:ascii="宋体"/>
          <w:bCs/>
          <w:sz w:val="24"/>
          <w:szCs w:val="28"/>
        </w:rPr>
        <w:t>污水处理厂项目位于合肥经开北区高刘街道，根据《排污单位自行监测技术指南 水处理)》(HJ 1083-2020),高刘污水处理厂排污许可自行监测规定等文件要求，为加强污染源监测的管理</w:t>
      </w:r>
      <w:r>
        <w:rPr>
          <w:rFonts w:hint="eastAsia"/>
          <w:bCs/>
          <w:sz w:val="24"/>
          <w:szCs w:val="28"/>
          <w:lang w:val="en-US" w:eastAsia="zh-CN"/>
        </w:rPr>
        <w:t>和管网来水水质的掌握</w:t>
      </w:r>
      <w:r>
        <w:rPr>
          <w:rFonts w:hint="eastAsia" w:ascii="宋体"/>
          <w:bCs/>
          <w:sz w:val="24"/>
          <w:szCs w:val="28"/>
        </w:rPr>
        <w:t>，确保出水稳定达标，拟对高刘污水处理厂自行</w:t>
      </w:r>
      <w:r>
        <w:rPr>
          <w:rFonts w:hint="eastAsia"/>
          <w:bCs/>
          <w:sz w:val="24"/>
          <w:szCs w:val="28"/>
          <w:lang w:val="en-US" w:eastAsia="zh-CN"/>
        </w:rPr>
        <w:t>监测</w:t>
      </w:r>
      <w:r>
        <w:rPr>
          <w:rFonts w:hint="eastAsia" w:ascii="宋体"/>
          <w:bCs/>
          <w:sz w:val="24"/>
          <w:szCs w:val="28"/>
        </w:rPr>
        <w:t>中手工</w:t>
      </w:r>
      <w:r>
        <w:rPr>
          <w:rFonts w:hint="eastAsia"/>
          <w:bCs/>
          <w:sz w:val="24"/>
          <w:szCs w:val="28"/>
          <w:lang w:val="en-US" w:eastAsia="zh-CN"/>
        </w:rPr>
        <w:t>检测</w:t>
      </w:r>
      <w:r>
        <w:rPr>
          <w:rFonts w:hint="eastAsia" w:ascii="宋体"/>
          <w:bCs/>
          <w:sz w:val="24"/>
          <w:szCs w:val="28"/>
        </w:rPr>
        <w:t>项目进行委托检测招标，经估算</w:t>
      </w:r>
      <w:r>
        <w:rPr>
          <w:rFonts w:hint="eastAsia"/>
          <w:bCs/>
          <w:sz w:val="24"/>
          <w:szCs w:val="28"/>
          <w:lang w:val="en-US" w:eastAsia="zh-CN"/>
        </w:rPr>
        <w:t>项目</w:t>
      </w:r>
      <w:r>
        <w:rPr>
          <w:rFonts w:hint="eastAsia" w:ascii="宋体"/>
          <w:bCs/>
          <w:sz w:val="24"/>
          <w:szCs w:val="28"/>
        </w:rPr>
        <w:t>费用</w:t>
      </w:r>
      <w:r>
        <w:rPr>
          <w:rFonts w:hint="eastAsia"/>
          <w:bCs/>
          <w:sz w:val="24"/>
          <w:szCs w:val="28"/>
          <w:lang w:val="en-US" w:eastAsia="zh-CN"/>
        </w:rPr>
        <w:t>9万</w:t>
      </w:r>
      <w:r>
        <w:rPr>
          <w:rFonts w:hint="eastAsia" w:ascii="宋体"/>
          <w:bCs/>
          <w:sz w:val="24"/>
          <w:szCs w:val="28"/>
        </w:rPr>
        <w:t>元，具体费用由实际发生为准。若标准有变动时，以国家颁布的最新版本为准。</w:t>
      </w:r>
    </w:p>
    <w:p>
      <w:pPr>
        <w:spacing w:line="360" w:lineRule="auto"/>
        <w:rPr>
          <w:rFonts w:hint="default" w:ascii="宋体" w:hAnsi="宋体" w:cs="宋体" w:eastAsiaTheme="minorEastAsia"/>
          <w:b/>
          <w:bCs/>
          <w:sz w:val="28"/>
          <w:szCs w:val="28"/>
          <w:lang w:val="en-US" w:eastAsia="zh-CN"/>
        </w:rPr>
      </w:pPr>
      <w:r>
        <w:rPr>
          <w:rFonts w:hint="eastAsia" w:ascii="宋体" w:hAnsi="宋体" w:cs="宋体"/>
          <w:b/>
          <w:bCs/>
          <w:sz w:val="28"/>
          <w:szCs w:val="28"/>
          <w:lang w:val="en-US" w:eastAsia="zh-CN"/>
        </w:rPr>
        <w:t>二</w:t>
      </w:r>
      <w:r>
        <w:rPr>
          <w:rFonts w:hint="eastAsia" w:ascii="宋体" w:hAnsi="宋体" w:cs="宋体"/>
          <w:b/>
          <w:bCs/>
          <w:sz w:val="28"/>
          <w:szCs w:val="28"/>
        </w:rPr>
        <w:t>、</w:t>
      </w:r>
      <w:r>
        <w:rPr>
          <w:rFonts w:hint="eastAsia" w:ascii="宋体" w:hAnsi="宋体" w:cs="宋体"/>
          <w:b/>
          <w:bCs/>
          <w:sz w:val="28"/>
          <w:szCs w:val="28"/>
          <w:lang w:val="en-US" w:eastAsia="zh-CN"/>
        </w:rPr>
        <w:t>委托内容</w:t>
      </w:r>
    </w:p>
    <w:p>
      <w:pPr>
        <w:spacing w:line="360" w:lineRule="auto"/>
        <w:ind w:firstLine="480" w:firstLineChars="200"/>
        <w:rPr>
          <w:rFonts w:hint="eastAsia" w:ascii="宋体"/>
          <w:bCs/>
          <w:sz w:val="24"/>
          <w:szCs w:val="28"/>
          <w:lang w:val="en-US" w:eastAsia="zh-CN"/>
        </w:rPr>
      </w:pPr>
      <w:r>
        <w:rPr>
          <w:rFonts w:hint="eastAsia" w:ascii="宋体"/>
          <w:bCs/>
          <w:sz w:val="24"/>
          <w:szCs w:val="28"/>
          <w:lang w:val="en-US" w:eastAsia="zh-CN"/>
        </w:rPr>
        <w:t>就水质进行检测，在取样结束十天内，检测方按照相关标准及规范及时进行检测并出具盖章纸质版检测报告两份，电子版一份。</w:t>
      </w:r>
    </w:p>
    <w:p>
      <w:pPr>
        <w:numPr>
          <w:ilvl w:val="0"/>
          <w:numId w:val="1"/>
        </w:num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权利与义务</w:t>
      </w:r>
    </w:p>
    <w:p>
      <w:pPr>
        <w:spacing w:line="360" w:lineRule="auto"/>
        <w:ind w:firstLine="482" w:firstLineChars="200"/>
        <w:rPr>
          <w:rFonts w:hint="default" w:ascii="宋体" w:eastAsia="宋体"/>
          <w:b/>
          <w:bCs/>
          <w:sz w:val="24"/>
          <w:szCs w:val="28"/>
          <w:lang w:val="en-US" w:eastAsia="zh-CN"/>
        </w:rPr>
      </w:pPr>
      <w:r>
        <w:rPr>
          <w:rFonts w:hint="eastAsia" w:ascii="宋体"/>
          <w:b/>
          <w:bCs/>
          <w:sz w:val="24"/>
          <w:szCs w:val="28"/>
        </w:rPr>
        <w:t>（一）</w:t>
      </w:r>
      <w:r>
        <w:rPr>
          <w:rFonts w:hint="eastAsia" w:ascii="宋体"/>
          <w:b/>
          <w:bCs/>
          <w:sz w:val="24"/>
          <w:szCs w:val="28"/>
          <w:lang w:val="en-US" w:eastAsia="zh-CN"/>
        </w:rPr>
        <w:t>委托方权利与义务</w:t>
      </w:r>
    </w:p>
    <w:p>
      <w:pPr>
        <w:spacing w:line="360" w:lineRule="auto"/>
        <w:ind w:firstLine="480" w:firstLineChars="200"/>
        <w:rPr>
          <w:rFonts w:hint="eastAsia" w:ascii="宋体"/>
          <w:bCs/>
          <w:sz w:val="24"/>
          <w:szCs w:val="28"/>
          <w:lang w:val="en-US" w:eastAsia="zh-CN"/>
        </w:rPr>
      </w:pPr>
      <w:r>
        <w:rPr>
          <w:rFonts w:hint="eastAsia" w:ascii="宋体"/>
          <w:bCs/>
          <w:sz w:val="24"/>
          <w:szCs w:val="28"/>
          <w:lang w:val="en-US" w:eastAsia="zh-CN"/>
        </w:rPr>
        <w:t>1、因委托方临时需要增加或删减检测项目，最终检测项目与上述不符时，则根据实际检测项自的增减计算最终检测费用；</w:t>
      </w:r>
    </w:p>
    <w:p>
      <w:pPr>
        <w:spacing w:line="360" w:lineRule="auto"/>
        <w:ind w:firstLine="480" w:firstLineChars="200"/>
        <w:rPr>
          <w:rFonts w:hint="eastAsia" w:ascii="宋体"/>
          <w:bCs/>
          <w:sz w:val="24"/>
          <w:szCs w:val="28"/>
          <w:lang w:val="en-US" w:eastAsia="zh-CN"/>
        </w:rPr>
      </w:pPr>
      <w:r>
        <w:rPr>
          <w:rFonts w:hint="eastAsia" w:ascii="宋体"/>
          <w:bCs/>
          <w:sz w:val="24"/>
          <w:szCs w:val="28"/>
          <w:lang w:val="en-US" w:eastAsia="zh-CN"/>
        </w:rPr>
        <w:t>2、检测方进行现场采样或检测，委托方应提供主要污染物、排污状况等必要的资料，以及厂休日和停电日期等相关信息，并应为采样人员提供适宜的工作条件，如提供检测用电(220V)，并安排熟悉厂区情况的人员配合检测方进行现场采样，进行现场采样时，公司应保持正常工作状态；</w:t>
      </w:r>
    </w:p>
    <w:p>
      <w:pPr>
        <w:spacing w:line="360" w:lineRule="auto"/>
        <w:ind w:firstLine="480" w:firstLineChars="200"/>
        <w:rPr>
          <w:rFonts w:hint="eastAsia" w:ascii="宋体"/>
          <w:bCs/>
          <w:sz w:val="24"/>
          <w:szCs w:val="28"/>
          <w:lang w:val="en-US" w:eastAsia="zh-CN"/>
        </w:rPr>
      </w:pPr>
      <w:r>
        <w:rPr>
          <w:rFonts w:hint="eastAsia" w:ascii="宋体"/>
          <w:bCs/>
          <w:sz w:val="24"/>
          <w:szCs w:val="28"/>
          <w:lang w:val="en-US" w:eastAsia="zh-CN"/>
        </w:rPr>
        <w:t>3、委托方不得因各种原因干涉检测方规范、公正的检测工作，并相应承担双方的保密义务。</w:t>
      </w:r>
    </w:p>
    <w:p>
      <w:pPr>
        <w:spacing w:line="360" w:lineRule="auto"/>
        <w:ind w:firstLine="482" w:firstLineChars="200"/>
        <w:rPr>
          <w:rFonts w:hint="eastAsia" w:ascii="宋体"/>
          <w:bCs/>
          <w:sz w:val="24"/>
          <w:szCs w:val="28"/>
          <w:lang w:val="en-US" w:eastAsia="zh-CN"/>
        </w:rPr>
      </w:pPr>
      <w:r>
        <w:rPr>
          <w:rFonts w:hint="eastAsia" w:ascii="宋体"/>
          <w:b/>
          <w:bCs/>
          <w:sz w:val="24"/>
          <w:szCs w:val="28"/>
          <w:lang w:val="en-US" w:eastAsia="zh-CN"/>
        </w:rPr>
        <w:t>（二）检测方权利和义务:</w:t>
      </w:r>
    </w:p>
    <w:p>
      <w:pPr>
        <w:spacing w:line="360" w:lineRule="auto"/>
        <w:ind w:firstLine="480" w:firstLineChars="200"/>
        <w:rPr>
          <w:rFonts w:hint="eastAsia" w:ascii="宋体"/>
          <w:bCs/>
          <w:sz w:val="24"/>
          <w:szCs w:val="28"/>
          <w:lang w:val="en-US" w:eastAsia="zh-CN"/>
        </w:rPr>
      </w:pPr>
      <w:r>
        <w:rPr>
          <w:rFonts w:hint="eastAsia" w:ascii="宋体"/>
          <w:bCs/>
          <w:sz w:val="24"/>
          <w:szCs w:val="28"/>
          <w:lang w:val="en-US" w:eastAsia="zh-CN"/>
        </w:rPr>
        <w:t>1、检测方应严格按国家相关法律、技术规范、标准及实验室检测工作程序进行检测，保证检测结果的公正性、科学性和准确性；</w:t>
      </w:r>
    </w:p>
    <w:p>
      <w:pPr>
        <w:spacing w:line="360" w:lineRule="auto"/>
        <w:ind w:firstLine="480" w:firstLineChars="200"/>
        <w:rPr>
          <w:rFonts w:hint="eastAsia" w:ascii="宋体"/>
          <w:bCs/>
          <w:sz w:val="24"/>
          <w:szCs w:val="28"/>
          <w:lang w:val="en-US" w:eastAsia="zh-CN"/>
        </w:rPr>
      </w:pPr>
      <w:r>
        <w:rPr>
          <w:rFonts w:hint="eastAsia" w:ascii="宋体"/>
          <w:bCs/>
          <w:sz w:val="24"/>
          <w:szCs w:val="28"/>
          <w:lang w:val="en-US" w:eastAsia="zh-CN"/>
        </w:rPr>
        <w:t>2、检测方应为委托方所提供的资料以及技术产品、生产工艺等承担保密义务，不得向第三方公布委托方的任何信息；</w:t>
      </w:r>
    </w:p>
    <w:p>
      <w:pPr>
        <w:spacing w:line="360" w:lineRule="auto"/>
        <w:ind w:firstLine="480" w:firstLineChars="200"/>
        <w:rPr>
          <w:rFonts w:hint="eastAsia" w:ascii="宋体"/>
          <w:bCs/>
          <w:sz w:val="24"/>
          <w:szCs w:val="28"/>
          <w:lang w:val="en-US" w:eastAsia="zh-CN"/>
        </w:rPr>
      </w:pPr>
      <w:r>
        <w:rPr>
          <w:rFonts w:hint="eastAsia" w:ascii="宋体"/>
          <w:bCs/>
          <w:sz w:val="24"/>
          <w:szCs w:val="28"/>
          <w:lang w:val="en-US" w:eastAsia="zh-CN"/>
        </w:rPr>
        <w:t>3、检测方应协助委托方评估其检测项目是否符合相关要求(委托方提供要求标准)，对委托方提出的有关检测结果的疑问，检测方应及时进行解释、复核。协助委托方建立监测记录档案和配合接受行政执法现场检查；</w:t>
      </w:r>
    </w:p>
    <w:p>
      <w:pPr>
        <w:spacing w:line="360" w:lineRule="auto"/>
        <w:ind w:firstLine="480" w:firstLineChars="200"/>
        <w:rPr>
          <w:rFonts w:hint="eastAsia" w:ascii="宋体"/>
          <w:bCs/>
          <w:sz w:val="24"/>
          <w:szCs w:val="28"/>
          <w:lang w:val="en-US" w:eastAsia="zh-CN"/>
        </w:rPr>
      </w:pPr>
      <w:r>
        <w:rPr>
          <w:rFonts w:hint="eastAsia" w:ascii="宋体"/>
          <w:bCs/>
          <w:sz w:val="24"/>
          <w:szCs w:val="28"/>
          <w:lang w:val="en-US" w:eastAsia="zh-CN"/>
        </w:rPr>
        <w:t>4、依据国家规范及质量控制要求执行，同时按照相关检测标准使用检测方在大型科学仪器设备共享服务平台登记的设备。</w:t>
      </w:r>
    </w:p>
    <w:p>
      <w:pPr>
        <w:numPr>
          <w:ilvl w:val="0"/>
          <w:numId w:val="0"/>
        </w:num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四、报价</w:t>
      </w:r>
      <w:r>
        <w:rPr>
          <w:rFonts w:hint="eastAsia" w:hAnsi="宋体" w:cs="宋体"/>
          <w:b/>
          <w:bCs/>
          <w:sz w:val="28"/>
          <w:szCs w:val="28"/>
          <w:lang w:val="en-US" w:eastAsia="zh-CN"/>
        </w:rPr>
        <w:t>清单</w:t>
      </w:r>
    </w:p>
    <w:tbl>
      <w:tblPr>
        <w:tblStyle w:val="2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095"/>
        <w:gridCol w:w="5480"/>
        <w:gridCol w:w="121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gridSpan w:val="2"/>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检测项目</w:t>
            </w:r>
          </w:p>
        </w:tc>
        <w:tc>
          <w:tcPr>
            <w:tcW w:w="5480"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检测标准与方法</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控制单价(元)</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55" w:type="dxa"/>
            <w:vMerge w:val="restart"/>
            <w:vAlign w:val="center"/>
          </w:tcPr>
          <w:p>
            <w:pPr>
              <w:numPr>
                <w:ilvl w:val="0"/>
                <w:numId w:val="0"/>
              </w:numPr>
              <w:spacing w:line="360" w:lineRule="auto"/>
              <w:jc w:val="both"/>
              <w:rPr>
                <w:rFonts w:hint="eastAsia"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进水</w:t>
            </w:r>
            <w:r>
              <w:rPr>
                <w:rFonts w:hint="eastAsia" w:ascii="宋体" w:hAnsi="宋体" w:cs="宋体"/>
                <w:b w:val="0"/>
                <w:bCs w:val="0"/>
                <w:sz w:val="21"/>
                <w:szCs w:val="21"/>
                <w:vertAlign w:val="baseline"/>
                <w:lang w:val="en-US" w:eastAsia="zh-CN"/>
              </w:rPr>
              <w:t>水质</w:t>
            </w:r>
          </w:p>
        </w:tc>
        <w:tc>
          <w:tcPr>
            <w:tcW w:w="1095" w:type="dxa"/>
            <w:vAlign w:val="center"/>
          </w:tcPr>
          <w:p>
            <w:pPr>
              <w:keepNext w:val="0"/>
              <w:keepLines w:val="0"/>
              <w:widowControl/>
              <w:suppressLineNumbers w:val="0"/>
              <w:jc w:val="center"/>
              <w:textAlignment w:val="center"/>
              <w:rPr>
                <w:rFonts w:hint="eastAsia"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COD</w:t>
            </w:r>
            <w:r>
              <w:rPr>
                <w:rFonts w:hint="eastAsia" w:ascii="宋体" w:hAnsi="宋体" w:cs="宋体"/>
                <w:b w:val="0"/>
                <w:bCs w:val="0"/>
                <w:sz w:val="21"/>
                <w:szCs w:val="21"/>
                <w:highlight w:val="none"/>
                <w:vertAlign w:val="subscript"/>
                <w:lang w:val="en-US" w:eastAsia="zh-CN"/>
              </w:rPr>
              <w:t>cr</w:t>
            </w:r>
          </w:p>
        </w:tc>
        <w:tc>
          <w:tcPr>
            <w:tcW w:w="5480" w:type="dxa"/>
            <w:vAlign w:val="top"/>
          </w:tcPr>
          <w:p>
            <w:pPr>
              <w:numPr>
                <w:ilvl w:val="0"/>
                <w:numId w:val="0"/>
              </w:numPr>
              <w:spacing w:line="360" w:lineRule="auto"/>
              <w:ind w:left="0" w:leftChars="0" w:firstLine="0" w:firstLineChars="0"/>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化学需氧量的测定 重铬酸盐法 HJ 828-2017</w:t>
            </w:r>
          </w:p>
        </w:tc>
        <w:tc>
          <w:tcPr>
            <w:tcW w:w="1215" w:type="dxa"/>
            <w:vAlign w:val="center"/>
          </w:tcPr>
          <w:p>
            <w:pPr>
              <w:numPr>
                <w:ilvl w:val="0"/>
                <w:numId w:val="0"/>
              </w:numPr>
              <w:spacing w:line="360" w:lineRule="auto"/>
              <w:ind w:left="0" w:leftChars="0" w:firstLine="0" w:firstLineChars="0"/>
              <w:jc w:val="center"/>
              <w:rPr>
                <w:rFonts w:hint="eastAsia"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80</w:t>
            </w:r>
          </w:p>
        </w:tc>
        <w:tc>
          <w:tcPr>
            <w:tcW w:w="1275" w:type="dxa"/>
            <w:vAlign w:val="center"/>
          </w:tcPr>
          <w:p>
            <w:pPr>
              <w:numPr>
                <w:ilvl w:val="0"/>
                <w:numId w:val="0"/>
              </w:numPr>
              <w:spacing w:line="360" w:lineRule="auto"/>
              <w:ind w:left="0" w:leftChars="0" w:firstLine="0" w:firstLineChars="0"/>
              <w:jc w:val="both"/>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dxa"/>
            <w:vMerge w:val="continue"/>
            <w:vAlign w:val="center"/>
          </w:tcPr>
          <w:p>
            <w:pPr>
              <w:numPr>
                <w:ilvl w:val="0"/>
                <w:numId w:val="0"/>
              </w:numPr>
              <w:spacing w:line="360" w:lineRule="auto"/>
              <w:jc w:val="both"/>
              <w:rPr>
                <w:rFonts w:hint="default" w:ascii="宋体" w:hAnsi="宋体" w:cs="宋体"/>
                <w:b w:val="0"/>
                <w:bCs w:val="0"/>
                <w:sz w:val="21"/>
                <w:szCs w:val="21"/>
                <w:vertAlign w:val="baseline"/>
                <w:lang w:val="en-US" w:eastAsia="zh-CN"/>
              </w:rPr>
            </w:pPr>
          </w:p>
        </w:tc>
        <w:tc>
          <w:tcPr>
            <w:tcW w:w="1095" w:type="dxa"/>
            <w:vAlign w:val="center"/>
          </w:tcPr>
          <w:p>
            <w:pPr>
              <w:keepNext w:val="0"/>
              <w:keepLines w:val="0"/>
              <w:widowControl/>
              <w:suppressLineNumbers w:val="0"/>
              <w:jc w:val="center"/>
              <w:textAlignment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BOD</w:t>
            </w:r>
            <w:r>
              <w:rPr>
                <w:rFonts w:hint="eastAsia" w:ascii="宋体" w:hAnsi="宋体" w:cs="宋体"/>
                <w:b w:val="0"/>
                <w:bCs w:val="0"/>
                <w:sz w:val="21"/>
                <w:szCs w:val="21"/>
                <w:highlight w:val="none"/>
                <w:vertAlign w:val="subscript"/>
                <w:lang w:val="en-US" w:eastAsia="zh-CN"/>
              </w:rPr>
              <w:t>5</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五日生化需氧量的测定 稀释与接种法 HJ 505-2009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145</w:t>
            </w:r>
          </w:p>
        </w:tc>
        <w:tc>
          <w:tcPr>
            <w:tcW w:w="1275" w:type="dxa"/>
            <w:vAlign w:val="center"/>
          </w:tcPr>
          <w:p>
            <w:pPr>
              <w:numPr>
                <w:ilvl w:val="0"/>
                <w:numId w:val="0"/>
              </w:numPr>
              <w:spacing w:line="360" w:lineRule="auto"/>
              <w:jc w:val="both"/>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55" w:type="dxa"/>
            <w:vMerge w:val="continue"/>
            <w:vAlign w:val="center"/>
          </w:tcPr>
          <w:p>
            <w:pPr>
              <w:numPr>
                <w:ilvl w:val="0"/>
                <w:numId w:val="0"/>
              </w:numPr>
              <w:spacing w:line="360" w:lineRule="auto"/>
              <w:jc w:val="both"/>
              <w:rPr>
                <w:rFonts w:hint="default" w:ascii="宋体" w:hAnsi="宋体" w:cs="宋体"/>
                <w:b w:val="0"/>
                <w:bCs w:val="0"/>
                <w:sz w:val="21"/>
                <w:szCs w:val="21"/>
                <w:vertAlign w:val="baseline"/>
                <w:lang w:val="en-US" w:eastAsia="zh-CN"/>
              </w:rPr>
            </w:pPr>
          </w:p>
        </w:tc>
        <w:tc>
          <w:tcPr>
            <w:tcW w:w="1095" w:type="dxa"/>
            <w:vAlign w:val="center"/>
          </w:tcPr>
          <w:p>
            <w:pPr>
              <w:keepNext w:val="0"/>
              <w:keepLines w:val="0"/>
              <w:widowControl/>
              <w:suppressLineNumbers w:val="0"/>
              <w:jc w:val="center"/>
              <w:textAlignment w:val="center"/>
              <w:rPr>
                <w:rFonts w:hint="default" w:ascii="宋体" w:hAnsi="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氨氮</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氨氮的测定 纳氏试剂分光光度法 HJ 535-2009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80</w:t>
            </w:r>
          </w:p>
        </w:tc>
        <w:tc>
          <w:tcPr>
            <w:tcW w:w="1275" w:type="dxa"/>
            <w:vAlign w:val="center"/>
          </w:tcPr>
          <w:p>
            <w:pPr>
              <w:numPr>
                <w:ilvl w:val="0"/>
                <w:numId w:val="0"/>
              </w:numPr>
              <w:spacing w:line="360" w:lineRule="auto"/>
              <w:jc w:val="both"/>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5" w:type="dxa"/>
            <w:vMerge w:val="continue"/>
            <w:vAlign w:val="center"/>
          </w:tcPr>
          <w:p>
            <w:pPr>
              <w:numPr>
                <w:ilvl w:val="0"/>
                <w:numId w:val="0"/>
              </w:numPr>
              <w:spacing w:line="360" w:lineRule="auto"/>
              <w:jc w:val="both"/>
              <w:rPr>
                <w:rFonts w:hint="default" w:ascii="宋体" w:hAnsi="宋体" w:cs="宋体"/>
                <w:b w:val="0"/>
                <w:bCs w:val="0"/>
                <w:sz w:val="21"/>
                <w:szCs w:val="21"/>
                <w:vertAlign w:val="baseline"/>
                <w:lang w:val="en-US" w:eastAsia="zh-CN"/>
              </w:rPr>
            </w:pPr>
          </w:p>
        </w:tc>
        <w:tc>
          <w:tcPr>
            <w:tcW w:w="1095" w:type="dxa"/>
            <w:vAlign w:val="center"/>
          </w:tcPr>
          <w:p>
            <w:pPr>
              <w:keepNext w:val="0"/>
              <w:keepLines w:val="0"/>
              <w:widowControl/>
              <w:suppressLineNumbers w:val="0"/>
              <w:jc w:val="center"/>
              <w:textAlignment w:val="center"/>
              <w:rPr>
                <w:rFonts w:hint="default" w:ascii="宋体" w:hAnsi="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总氮</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总氮的测定 碱性过硫酸钾消解紫外分光光度法 HJ 636-2012</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105</w:t>
            </w:r>
          </w:p>
        </w:tc>
        <w:tc>
          <w:tcPr>
            <w:tcW w:w="1275" w:type="dxa"/>
            <w:vAlign w:val="center"/>
          </w:tcPr>
          <w:p>
            <w:pPr>
              <w:numPr>
                <w:ilvl w:val="0"/>
                <w:numId w:val="0"/>
              </w:numPr>
              <w:spacing w:line="360" w:lineRule="auto"/>
              <w:jc w:val="both"/>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5" w:type="dxa"/>
            <w:vMerge w:val="continue"/>
            <w:vAlign w:val="center"/>
          </w:tcPr>
          <w:p>
            <w:pPr>
              <w:numPr>
                <w:ilvl w:val="0"/>
                <w:numId w:val="0"/>
              </w:numPr>
              <w:spacing w:line="360" w:lineRule="auto"/>
              <w:jc w:val="both"/>
              <w:rPr>
                <w:rFonts w:hint="default" w:ascii="宋体" w:hAnsi="宋体" w:cs="宋体"/>
                <w:b w:val="0"/>
                <w:bCs w:val="0"/>
                <w:sz w:val="21"/>
                <w:szCs w:val="21"/>
                <w:vertAlign w:val="baseline"/>
                <w:lang w:val="en-US" w:eastAsia="zh-CN"/>
              </w:rPr>
            </w:pPr>
          </w:p>
        </w:tc>
        <w:tc>
          <w:tcPr>
            <w:tcW w:w="1095" w:type="dxa"/>
            <w:vAlign w:val="center"/>
          </w:tcPr>
          <w:p>
            <w:pPr>
              <w:keepNext w:val="0"/>
              <w:keepLines w:val="0"/>
              <w:widowControl/>
              <w:suppressLineNumbers w:val="0"/>
              <w:jc w:val="center"/>
              <w:textAlignment w:val="center"/>
              <w:rPr>
                <w:rFonts w:hint="default" w:ascii="宋体" w:hAnsi="宋体" w:cs="宋体"/>
                <w:b w:val="0"/>
                <w:bCs w:val="0"/>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总磷</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总磷的测定 钼氨酸分光光度法 GB/T 11893-1989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85</w:t>
            </w:r>
          </w:p>
        </w:tc>
        <w:tc>
          <w:tcPr>
            <w:tcW w:w="1275" w:type="dxa"/>
            <w:vAlign w:val="center"/>
          </w:tcPr>
          <w:p>
            <w:pPr>
              <w:numPr>
                <w:ilvl w:val="0"/>
                <w:numId w:val="0"/>
              </w:numPr>
              <w:spacing w:line="360" w:lineRule="auto"/>
              <w:jc w:val="both"/>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5" w:type="dxa"/>
            <w:vMerge w:val="restart"/>
            <w:vAlign w:val="center"/>
          </w:tcPr>
          <w:p>
            <w:pPr>
              <w:numPr>
                <w:ilvl w:val="0"/>
                <w:numId w:val="0"/>
              </w:numPr>
              <w:spacing w:line="360" w:lineRule="auto"/>
              <w:jc w:val="center"/>
              <w:rPr>
                <w:rFonts w:hint="eastAsia"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出水</w:t>
            </w:r>
            <w:r>
              <w:rPr>
                <w:rFonts w:hint="eastAsia" w:ascii="宋体" w:hAnsi="宋体" w:cs="宋体"/>
                <w:b w:val="0"/>
                <w:bCs w:val="0"/>
                <w:sz w:val="21"/>
                <w:szCs w:val="21"/>
                <w:vertAlign w:val="baseline"/>
                <w:lang w:val="en-US" w:eastAsia="zh-CN"/>
              </w:rPr>
              <w:t>水质</w:t>
            </w:r>
          </w:p>
        </w:tc>
        <w:tc>
          <w:tcPr>
            <w:tcW w:w="1095" w:type="dxa"/>
            <w:vAlign w:val="top"/>
          </w:tcPr>
          <w:p>
            <w:pPr>
              <w:numPr>
                <w:ilvl w:val="0"/>
                <w:numId w:val="0"/>
              </w:numPr>
              <w:spacing w:line="360" w:lineRule="auto"/>
              <w:ind w:left="0" w:leftChars="0" w:firstLine="0" w:firstLineChars="0"/>
              <w:jc w:val="center"/>
              <w:rPr>
                <w:rFonts w:hint="eastAsia"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PH值</w:t>
            </w:r>
          </w:p>
        </w:tc>
        <w:tc>
          <w:tcPr>
            <w:tcW w:w="5480" w:type="dxa"/>
            <w:vAlign w:val="top"/>
          </w:tcPr>
          <w:p>
            <w:pPr>
              <w:numPr>
                <w:ilvl w:val="0"/>
                <w:numId w:val="0"/>
              </w:numPr>
              <w:spacing w:line="360" w:lineRule="auto"/>
              <w:ind w:left="0" w:leftChars="0" w:firstLine="0" w:firstLineChars="0"/>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PH的测定 玻璃电极法 GB/T 6920-1986</w:t>
            </w:r>
          </w:p>
        </w:tc>
        <w:tc>
          <w:tcPr>
            <w:tcW w:w="1215" w:type="dxa"/>
            <w:vAlign w:val="center"/>
          </w:tcPr>
          <w:p>
            <w:pPr>
              <w:numPr>
                <w:ilvl w:val="0"/>
                <w:numId w:val="0"/>
              </w:numPr>
              <w:spacing w:line="360" w:lineRule="auto"/>
              <w:ind w:left="0" w:leftChars="0" w:firstLine="0" w:firstLineChars="0"/>
              <w:jc w:val="center"/>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w:t>
            </w:r>
          </w:p>
        </w:tc>
        <w:tc>
          <w:tcPr>
            <w:tcW w:w="1275" w:type="dxa"/>
            <w:vAlign w:val="center"/>
          </w:tcPr>
          <w:p>
            <w:pPr>
              <w:numPr>
                <w:ilvl w:val="0"/>
                <w:numId w:val="0"/>
              </w:numPr>
              <w:spacing w:line="360" w:lineRule="auto"/>
              <w:ind w:left="0" w:leftChars="0" w:firstLine="0" w:firstLineChars="0"/>
              <w:jc w:val="center"/>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COD</w:t>
            </w:r>
            <w:r>
              <w:rPr>
                <w:rFonts w:hint="eastAsia" w:ascii="宋体" w:hAnsi="宋体" w:cs="宋体"/>
                <w:b w:val="0"/>
                <w:bCs w:val="0"/>
                <w:sz w:val="21"/>
                <w:szCs w:val="21"/>
                <w:highlight w:val="none"/>
                <w:vertAlign w:val="subscript"/>
                <w:lang w:val="en-US" w:eastAsia="zh-CN"/>
              </w:rPr>
              <w:t>cr</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化学需氧量的测定 重铬酸盐法 HJ 828-2017</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80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氨氮</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氨氮的测定 纳氏试剂分光光度法 HJ 535-2009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80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SS</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悬浮物的测定 重量法 GB/T 11901-1989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58</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BOD</w:t>
            </w:r>
            <w:r>
              <w:rPr>
                <w:rFonts w:hint="eastAsia" w:ascii="宋体" w:hAnsi="宋体" w:cs="宋体"/>
                <w:b w:val="0"/>
                <w:bCs w:val="0"/>
                <w:sz w:val="21"/>
                <w:szCs w:val="21"/>
                <w:highlight w:val="none"/>
                <w:vertAlign w:val="subscript"/>
                <w:lang w:val="en-US" w:eastAsia="zh-CN"/>
              </w:rPr>
              <w:t>5</w:t>
            </w:r>
          </w:p>
        </w:tc>
        <w:tc>
          <w:tcPr>
            <w:tcW w:w="5480" w:type="dxa"/>
            <w:vAlign w:val="top"/>
          </w:tcPr>
          <w:p>
            <w:pPr>
              <w:numPr>
                <w:ilvl w:val="0"/>
                <w:numId w:val="0"/>
              </w:numPr>
              <w:spacing w:line="360" w:lineRule="auto"/>
              <w:ind w:left="0" w:leftChars="0" w:firstLine="0" w:firstLineChars="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水质 五日生化需氧量的测定 稀释与接种法 HJ 505-2009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145</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总氮</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总氮的测定 碱性过硫酸钾消解紫外分光光度法 HJ 636-2012</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105</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总磷</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总磷的测定 钼氨酸分光光度法 GB/T 11893-1989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85</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石油类</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石油类和动植物油的测定 红外分光光度法 HJ 637-2012</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122</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动植物油</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石油类和动植物油的测定 红外分光光度法 HJ 637-2012</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122</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LAS</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阴离子表面活性的测定 亚甲蓝分光光度法 GB/T 7494-1987</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107</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铜</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铜、锌、铅、镉的测定 原子吸收分光光度法 GB/T 7475-1987</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锌</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铜、锌、铅、镉的测定 原子吸收分光光度法 GB/T 7475-1987</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铅</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铜、锌、铅、镉的测定 原子吸收分光光度法 GB/T 7475-1987</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镉</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铜、锌、铅、镉的测定 原子吸收分光光度法 GB/T 7475-1987</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镍</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镍的测定 原子吸收分光光度法 GB/T 11912-1989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色度</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色度的测定 铂钴比色法和稀释倍数法 GB/T 11903-1989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45</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砷</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汞、砷、硒、铋、锑的测定 原子荧光法 HJ 694-2014</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汞</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汞、砷、硒、铋、锑的测定 原子荧光法 HJ 694-2014</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烷基汞</w:t>
            </w:r>
          </w:p>
        </w:tc>
        <w:tc>
          <w:tcPr>
            <w:tcW w:w="5480" w:type="dxa"/>
            <w:vAlign w:val="top"/>
          </w:tcPr>
          <w:p>
            <w:pPr>
              <w:numPr>
                <w:ilvl w:val="0"/>
                <w:numId w:val="0"/>
              </w:numPr>
              <w:spacing w:line="360" w:lineRule="auto"/>
              <w:ind w:left="0" w:leftChars="0" w:firstLine="0" w:firstLineChars="0"/>
              <w:rPr>
                <w:rFonts w:hint="default"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水质 烷基汞的测定 </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220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总铬</w:t>
            </w:r>
          </w:p>
        </w:tc>
        <w:tc>
          <w:tcPr>
            <w:tcW w:w="5480" w:type="dxa"/>
            <w:vAlign w:val="top"/>
          </w:tcPr>
          <w:p>
            <w:pPr>
              <w:numPr>
                <w:ilvl w:val="0"/>
                <w:numId w:val="0"/>
              </w:numPr>
              <w:spacing w:line="360" w:lineRule="auto"/>
              <w:ind w:left="0" w:leftChars="0" w:firstLine="0" w:firstLineChars="0"/>
              <w:rPr>
                <w:rFonts w:hint="default"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 xml:space="preserve">水质 总铬的测定 </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六价铬</w:t>
            </w:r>
          </w:p>
        </w:tc>
        <w:tc>
          <w:tcPr>
            <w:tcW w:w="5480" w:type="dxa"/>
            <w:vAlign w:val="top"/>
          </w:tcPr>
          <w:p>
            <w:pPr>
              <w:numPr>
                <w:ilvl w:val="0"/>
                <w:numId w:val="0"/>
              </w:numPr>
              <w:spacing w:line="360" w:lineRule="auto"/>
              <w:ind w:left="0" w:leftChars="0" w:firstLine="0" w:firstLineChars="0"/>
              <w:rPr>
                <w:rFonts w:hint="default" w:ascii="宋体" w:hAnsi="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水质 六价铬的测定</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细菌总数</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多管发酵法 《水和废水监测分析方法》（第四版）国家环境保护局（2002）</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大肠杆菌</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多管发酵法 《水和废水监测分析方法》（第四版）国家环境保护局（2002）</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5" w:type="dxa"/>
            <w:vMerge w:val="restart"/>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雨水排口</w:t>
            </w:r>
          </w:p>
        </w:tc>
        <w:tc>
          <w:tcPr>
            <w:tcW w:w="1095" w:type="dxa"/>
            <w:vAlign w:val="center"/>
          </w:tcPr>
          <w:p>
            <w:pPr>
              <w:keepNext w:val="0"/>
              <w:keepLines w:val="0"/>
              <w:widowControl/>
              <w:suppressLineNumbers w:val="0"/>
              <w:jc w:val="center"/>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pH值</w:t>
            </w:r>
          </w:p>
        </w:tc>
        <w:tc>
          <w:tcPr>
            <w:tcW w:w="5480" w:type="dxa"/>
            <w:vAlign w:val="top"/>
          </w:tcPr>
          <w:p>
            <w:pPr>
              <w:numPr>
                <w:ilvl w:val="0"/>
                <w:numId w:val="0"/>
              </w:numPr>
              <w:spacing w:line="360" w:lineRule="auto"/>
              <w:ind w:left="0" w:leftChars="0" w:firstLine="0" w:firstLineChars="0"/>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PH的测定 玻璃电极法 GB/T 6920-1986</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10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18"/>
                <w:szCs w:val="18"/>
                <w:vertAlign w:val="baseline"/>
                <w:lang w:val="en-US" w:eastAsia="zh-CN"/>
              </w:rPr>
              <w:t>1次/降雨期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vAlign w:val="center"/>
          </w:tcPr>
          <w:p>
            <w:pPr>
              <w:keepNext w:val="0"/>
              <w:keepLines w:val="0"/>
              <w:widowControl/>
              <w:suppressLineNumbers w:val="0"/>
              <w:jc w:val="center"/>
              <w:textAlignment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SS</w:t>
            </w:r>
          </w:p>
        </w:tc>
        <w:tc>
          <w:tcPr>
            <w:tcW w:w="5480" w:type="dxa"/>
            <w:vAlign w:val="top"/>
          </w:tcPr>
          <w:p>
            <w:pPr>
              <w:numPr>
                <w:ilvl w:val="0"/>
                <w:numId w:val="0"/>
              </w:numPr>
              <w:spacing w:line="360" w:lineRule="auto"/>
              <w:ind w:left="0" w:leftChars="0" w:firstLine="0" w:firstLineChars="0"/>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悬浮物的测定 重量法 GB/T 11901-1989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58</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18"/>
                <w:szCs w:val="18"/>
                <w:vertAlign w:val="baseline"/>
                <w:lang w:val="en-US" w:eastAsia="zh-CN"/>
              </w:rPr>
              <w:t>1次/降雨期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vAlign w:val="center"/>
          </w:tcPr>
          <w:p>
            <w:pPr>
              <w:keepNext w:val="0"/>
              <w:keepLines w:val="0"/>
              <w:widowControl/>
              <w:suppressLineNumbers w:val="0"/>
              <w:jc w:val="center"/>
              <w:textAlignment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highlight w:val="none"/>
                <w:vertAlign w:val="baseline"/>
                <w:lang w:val="en-US" w:eastAsia="zh-CN"/>
              </w:rPr>
              <w:t>COD</w:t>
            </w:r>
            <w:r>
              <w:rPr>
                <w:rFonts w:hint="eastAsia" w:ascii="宋体" w:hAnsi="宋体" w:cs="宋体"/>
                <w:b w:val="0"/>
                <w:bCs w:val="0"/>
                <w:sz w:val="21"/>
                <w:szCs w:val="21"/>
                <w:highlight w:val="none"/>
                <w:vertAlign w:val="subscript"/>
                <w:lang w:val="en-US" w:eastAsia="zh-CN"/>
              </w:rPr>
              <w:t>cr</w:t>
            </w:r>
          </w:p>
        </w:tc>
        <w:tc>
          <w:tcPr>
            <w:tcW w:w="5480" w:type="dxa"/>
            <w:vAlign w:val="top"/>
          </w:tcPr>
          <w:p>
            <w:pPr>
              <w:numPr>
                <w:ilvl w:val="0"/>
                <w:numId w:val="0"/>
              </w:numPr>
              <w:spacing w:line="360" w:lineRule="auto"/>
              <w:ind w:left="0" w:leftChars="0" w:firstLine="0" w:firstLineChars="0"/>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化学需氧量的测定 重铬酸盐法 HJ 828-2017</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80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18"/>
                <w:szCs w:val="18"/>
                <w:vertAlign w:val="baseline"/>
                <w:lang w:val="en-US" w:eastAsia="zh-CN"/>
              </w:rPr>
              <w:t>1次/降雨期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vAlign w:val="center"/>
          </w:tcPr>
          <w:p>
            <w:pPr>
              <w:keepNext w:val="0"/>
              <w:keepLines w:val="0"/>
              <w:widowControl/>
              <w:suppressLineNumbers w:val="0"/>
              <w:jc w:val="center"/>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氨氮</w:t>
            </w:r>
          </w:p>
        </w:tc>
        <w:tc>
          <w:tcPr>
            <w:tcW w:w="5480" w:type="dxa"/>
            <w:vAlign w:val="top"/>
          </w:tcPr>
          <w:p>
            <w:pPr>
              <w:numPr>
                <w:ilvl w:val="0"/>
                <w:numId w:val="0"/>
              </w:numPr>
              <w:spacing w:line="360" w:lineRule="auto"/>
              <w:ind w:left="0" w:leftChars="0" w:firstLine="0" w:firstLineChars="0"/>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水质 氨氮的测定 纳氏试剂分光光度法 HJ 535-2009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80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18"/>
                <w:szCs w:val="18"/>
                <w:vertAlign w:val="baseline"/>
                <w:lang w:val="en-US" w:eastAsia="zh-CN"/>
              </w:rPr>
              <w:t>1次/降雨期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噪声</w:t>
            </w: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厂界昼夜噪声</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工业企业厂界噪声测量方法 GB/T 12348-2008</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145</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废气</w:t>
            </w: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臭气浓度</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空气质量 恶臭的测定 三点比较法式臭袋法 GB/T 14675-93</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350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氨气</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环境空气和废气 氨的测定 纳氏试剂分光光度法 HJ 533-2009</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硫化氢</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环境空气和废气 硫化氢 亚甲蓝分光光度法 GB/T 7494-1987</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105</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甲烷</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环境空气和废气 甲烷的测定</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污泥</w:t>
            </w: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总镉</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城市污水处理厂污泥检验方法 GJ/T 221-2005</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240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总汞</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城市污水处理厂污泥检验方法 GJ/T 221-2005</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240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总铅</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城市污水处理厂污泥检验方法 GJ/T 221-2005</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240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总铬</w:t>
            </w:r>
          </w:p>
        </w:tc>
        <w:tc>
          <w:tcPr>
            <w:tcW w:w="5480" w:type="dxa"/>
          </w:tcPr>
          <w:p>
            <w:pPr>
              <w:numPr>
                <w:ilvl w:val="0"/>
                <w:numId w:val="0"/>
              </w:numPr>
              <w:spacing w:line="360" w:lineRule="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城市污水处理厂污泥检验方法 GJ/T 221-2005</w:t>
            </w:r>
          </w:p>
        </w:tc>
        <w:tc>
          <w:tcPr>
            <w:tcW w:w="1215" w:type="dxa"/>
            <w:vAlign w:val="center"/>
          </w:tcPr>
          <w:p>
            <w:pPr>
              <w:numPr>
                <w:ilvl w:val="0"/>
                <w:numId w:val="0"/>
              </w:numPr>
              <w:spacing w:line="360" w:lineRule="auto"/>
              <w:ind w:left="0" w:leftChars="0" w:firstLine="0" w:firstLineChars="0"/>
              <w:jc w:val="center"/>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240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总砷</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城市污水处理厂污泥检验方法 GJ/T 221-2005</w:t>
            </w:r>
          </w:p>
        </w:tc>
        <w:tc>
          <w:tcPr>
            <w:tcW w:w="1215" w:type="dxa"/>
            <w:vAlign w:val="center"/>
          </w:tcPr>
          <w:p>
            <w:pPr>
              <w:numPr>
                <w:ilvl w:val="0"/>
                <w:numId w:val="0"/>
              </w:numPr>
              <w:spacing w:line="360" w:lineRule="auto"/>
              <w:ind w:left="0" w:leftChars="0" w:firstLine="0" w:firstLineChars="0"/>
              <w:jc w:val="center"/>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240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总镍</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城市污水处理厂污泥检验方法 GJ/T 221-2005</w:t>
            </w:r>
          </w:p>
        </w:tc>
        <w:tc>
          <w:tcPr>
            <w:tcW w:w="1215" w:type="dxa"/>
            <w:vAlign w:val="center"/>
          </w:tcPr>
          <w:p>
            <w:pPr>
              <w:numPr>
                <w:ilvl w:val="0"/>
                <w:numId w:val="0"/>
              </w:numPr>
              <w:spacing w:line="360" w:lineRule="auto"/>
              <w:ind w:left="0" w:leftChars="0" w:firstLine="0" w:firstLineChars="0"/>
              <w:jc w:val="center"/>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240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总锌</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城市污水处理厂污泥检验方法 GJ/T 221-2005</w:t>
            </w:r>
          </w:p>
        </w:tc>
        <w:tc>
          <w:tcPr>
            <w:tcW w:w="1215" w:type="dxa"/>
            <w:vAlign w:val="center"/>
          </w:tcPr>
          <w:p>
            <w:pPr>
              <w:numPr>
                <w:ilvl w:val="0"/>
                <w:numId w:val="0"/>
              </w:numPr>
              <w:spacing w:line="360" w:lineRule="auto"/>
              <w:ind w:left="0" w:leftChars="0" w:firstLine="0" w:firstLineChars="0"/>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240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Pr>
          <w:p>
            <w:pPr>
              <w:numPr>
                <w:ilvl w:val="0"/>
                <w:numId w:val="0"/>
              </w:numPr>
              <w:spacing w:line="360" w:lineRule="auto"/>
              <w:rPr>
                <w:rFonts w:hint="default" w:ascii="宋体" w:hAnsi="宋体" w:cs="宋体"/>
                <w:b w:val="0"/>
                <w:bCs w:val="0"/>
                <w:sz w:val="21"/>
                <w:szCs w:val="21"/>
                <w:vertAlign w:val="baseline"/>
                <w:lang w:val="en-US" w:eastAsia="zh-CN"/>
              </w:rPr>
            </w:pPr>
          </w:p>
        </w:tc>
        <w:tc>
          <w:tcPr>
            <w:tcW w:w="1095" w:type="dxa"/>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总铜</w:t>
            </w:r>
          </w:p>
        </w:tc>
        <w:tc>
          <w:tcPr>
            <w:tcW w:w="5480" w:type="dxa"/>
            <w:vAlign w:val="top"/>
          </w:tcPr>
          <w:p>
            <w:pPr>
              <w:numPr>
                <w:ilvl w:val="0"/>
                <w:numId w:val="0"/>
              </w:numPr>
              <w:spacing w:line="360" w:lineRule="auto"/>
              <w:ind w:left="0" w:leftChars="0" w:firstLine="0" w:firstLineChars="0"/>
              <w:rPr>
                <w:rFonts w:hint="default" w:ascii="宋体" w:hAnsi="宋体" w:cs="宋体" w:eastAsiaTheme="minorEastAsia"/>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城市污水处理厂污泥检验方法 GJ/T 221-2005</w:t>
            </w:r>
          </w:p>
        </w:tc>
        <w:tc>
          <w:tcPr>
            <w:tcW w:w="1215" w:type="dxa"/>
            <w:vAlign w:val="center"/>
          </w:tcPr>
          <w:p>
            <w:pPr>
              <w:numPr>
                <w:ilvl w:val="0"/>
                <w:numId w:val="0"/>
              </w:numPr>
              <w:spacing w:line="360" w:lineRule="auto"/>
              <w:ind w:left="0" w:leftChars="0" w:firstLine="0" w:firstLineChars="0"/>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240</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930" w:type="dxa"/>
            <w:gridSpan w:val="3"/>
            <w:vAlign w:val="center"/>
          </w:tcPr>
          <w:p>
            <w:pPr>
              <w:numPr>
                <w:ilvl w:val="0"/>
                <w:numId w:val="0"/>
              </w:numPr>
              <w:spacing w:line="360" w:lineRule="auto"/>
              <w:ind w:left="0" w:leftChars="0" w:firstLine="0" w:firstLineChars="0"/>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取样费</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300元/次</w:t>
            </w:r>
          </w:p>
        </w:tc>
        <w:tc>
          <w:tcPr>
            <w:tcW w:w="127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1次</w:t>
            </w:r>
            <w:r>
              <w:rPr>
                <w:rFonts w:hint="eastAsia" w:ascii="宋体" w:hAnsi="宋体" w:cs="宋体"/>
                <w:b w:val="0"/>
                <w:bCs w:val="0"/>
                <w:sz w:val="21"/>
                <w:szCs w:val="21"/>
                <w:vertAlign w:val="baseline"/>
                <w:lang w:val="en-US" w:eastAsia="zh-CN"/>
              </w:rPr>
              <w:t>/</w:t>
            </w:r>
            <w:r>
              <w:rPr>
                <w:rFonts w:hint="eastAsia" w:hAnsi="宋体" w:cs="宋体"/>
                <w:b w:val="0"/>
                <w:bCs w:val="0"/>
                <w:sz w:val="21"/>
                <w:szCs w:val="21"/>
                <w:vertAlign w:val="baseline"/>
                <w:lang w:val="en-US"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930" w:type="dxa"/>
            <w:gridSpan w:val="3"/>
            <w:vAlign w:val="center"/>
          </w:tcPr>
          <w:p>
            <w:pPr>
              <w:numPr>
                <w:ilvl w:val="0"/>
                <w:numId w:val="0"/>
              </w:numPr>
              <w:spacing w:line="360" w:lineRule="auto"/>
              <w:ind w:left="0" w:leftChars="0" w:firstLine="0" w:firstLineChars="0"/>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应急检测费（不参与折扣，按中标单价据实结算）</w:t>
            </w:r>
          </w:p>
        </w:tc>
        <w:tc>
          <w:tcPr>
            <w:tcW w:w="1215" w:type="dxa"/>
            <w:vAlign w:val="center"/>
          </w:tcPr>
          <w:p>
            <w:pPr>
              <w:numPr>
                <w:ilvl w:val="0"/>
                <w:numId w:val="0"/>
              </w:numPr>
              <w:spacing w:line="360" w:lineRule="auto"/>
              <w:jc w:val="center"/>
              <w:rPr>
                <w:rFonts w:hint="default" w:ascii="宋体"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15000元/年</w:t>
            </w:r>
          </w:p>
        </w:tc>
        <w:tc>
          <w:tcPr>
            <w:tcW w:w="1275" w:type="dxa"/>
            <w:vAlign w:val="center"/>
          </w:tcPr>
          <w:p>
            <w:pPr>
              <w:numPr>
                <w:ilvl w:val="0"/>
                <w:numId w:val="0"/>
              </w:numPr>
              <w:spacing w:line="360" w:lineRule="auto"/>
              <w:jc w:val="center"/>
              <w:rPr>
                <w:rFonts w:hint="default" w:hAnsi="宋体" w:cs="宋体"/>
                <w:b w:val="0"/>
                <w:bCs w:val="0"/>
                <w:sz w:val="21"/>
                <w:szCs w:val="21"/>
                <w:vertAlign w:val="baseline"/>
                <w:lang w:val="en-US" w:eastAsia="zh-CN"/>
              </w:rPr>
            </w:pPr>
            <w:r>
              <w:rPr>
                <w:rFonts w:hint="eastAsia" w:hAnsi="宋体" w:cs="宋体"/>
                <w:b w:val="0"/>
                <w:bCs w:val="0"/>
                <w:sz w:val="21"/>
                <w:szCs w:val="21"/>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0" w:type="dxa"/>
            <w:gridSpan w:val="5"/>
            <w:vAlign w:val="center"/>
          </w:tcPr>
          <w:p>
            <w:pPr>
              <w:numPr>
                <w:ilvl w:val="0"/>
                <w:numId w:val="0"/>
              </w:numPr>
              <w:spacing w:line="360" w:lineRule="auto"/>
              <w:jc w:val="both"/>
              <w:rPr>
                <w:rFonts w:hint="default"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合计</w:t>
            </w:r>
            <w:r>
              <w:rPr>
                <w:rFonts w:hint="eastAsia" w:hAnsi="宋体" w:cs="宋体"/>
                <w:b w:val="0"/>
                <w:bCs w:val="0"/>
                <w:sz w:val="21"/>
                <w:szCs w:val="21"/>
                <w:vertAlign w:val="baseline"/>
                <w:lang w:val="en-US" w:eastAsia="zh-CN"/>
              </w:rPr>
              <w:t>预算</w:t>
            </w:r>
            <w:r>
              <w:rPr>
                <w:rFonts w:hint="eastAsia" w:ascii="宋体" w:hAnsi="宋体" w:cs="宋体"/>
                <w:b w:val="0"/>
                <w:bCs w:val="0"/>
                <w:sz w:val="21"/>
                <w:szCs w:val="21"/>
                <w:vertAlign w:val="baseline"/>
                <w:lang w:val="en-US" w:eastAsia="zh-CN"/>
              </w:rPr>
              <w:t>金额</w:t>
            </w:r>
            <w:r>
              <w:rPr>
                <w:rFonts w:hint="eastAsia" w:hAnsi="宋体" w:cs="宋体"/>
                <w:b w:val="0"/>
                <w:bCs w:val="0"/>
                <w:sz w:val="21"/>
                <w:szCs w:val="21"/>
                <w:vertAlign w:val="baseline"/>
                <w:lang w:val="en-US" w:eastAsia="zh-CN"/>
              </w:rPr>
              <w:t>90458，中标后根据中标单价据实结算。</w:t>
            </w:r>
          </w:p>
          <w:p>
            <w:pPr>
              <w:numPr>
                <w:ilvl w:val="0"/>
                <w:numId w:val="0"/>
              </w:numPr>
              <w:spacing w:line="360" w:lineRule="auto"/>
              <w:jc w:val="both"/>
              <w:rPr>
                <w:rFonts w:hint="default" w:hAnsi="宋体" w:cs="宋体"/>
                <w:b w:val="0"/>
                <w:bCs w:val="0"/>
                <w:sz w:val="21"/>
                <w:szCs w:val="21"/>
                <w:vertAlign w:val="baseline"/>
                <w:lang w:val="en-US" w:eastAsia="zh-CN"/>
              </w:rPr>
            </w:pPr>
            <w:r>
              <w:rPr>
                <w:rFonts w:hint="default" w:hAnsi="宋体" w:cs="宋体"/>
                <w:b w:val="0"/>
                <w:bCs w:val="0"/>
                <w:sz w:val="21"/>
                <w:szCs w:val="21"/>
                <w:vertAlign w:val="baseline"/>
                <w:lang w:val="en-US" w:eastAsia="zh-CN"/>
              </w:rPr>
              <w:t>（</w:t>
            </w:r>
            <w:r>
              <w:rPr>
                <w:rFonts w:hint="eastAsia" w:hAnsi="宋体" w:cs="宋体"/>
                <w:b w:val="0"/>
                <w:bCs w:val="0"/>
                <w:sz w:val="21"/>
                <w:szCs w:val="21"/>
                <w:vertAlign w:val="baseline"/>
                <w:lang w:val="en-US" w:eastAsia="zh-CN"/>
              </w:rPr>
              <w:t>预算</w:t>
            </w:r>
            <w:r>
              <w:rPr>
                <w:rFonts w:hint="default" w:hAnsi="宋体" w:cs="宋体"/>
                <w:b w:val="0"/>
                <w:bCs w:val="0"/>
                <w:sz w:val="21"/>
                <w:szCs w:val="21"/>
                <w:vertAlign w:val="baseline"/>
                <w:lang w:val="en-US" w:eastAsia="zh-CN"/>
              </w:rPr>
              <w:t>以一年52周为周期的计算,雨水排口频次按每周1次计算）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0" w:type="dxa"/>
            <w:gridSpan w:val="5"/>
          </w:tcPr>
          <w:p>
            <w:pPr>
              <w:numPr>
                <w:ilvl w:val="0"/>
                <w:numId w:val="0"/>
              </w:numPr>
              <w:spacing w:line="360" w:lineRule="auto"/>
              <w:rPr>
                <w:rFonts w:hint="eastAsia" w:ascii="宋体"/>
                <w:b w:val="0"/>
                <w:bCs w:val="0"/>
                <w:sz w:val="21"/>
                <w:szCs w:val="21"/>
                <w:vertAlign w:val="baseline"/>
                <w:lang w:val="en-US" w:eastAsia="zh-CN"/>
              </w:rPr>
            </w:pPr>
            <w:r>
              <w:rPr>
                <w:rFonts w:hint="eastAsia" w:ascii="宋体"/>
                <w:b w:val="0"/>
                <w:bCs w:val="0"/>
                <w:sz w:val="21"/>
                <w:szCs w:val="21"/>
                <w:vertAlign w:val="baseline"/>
                <w:lang w:val="en-US" w:eastAsia="zh-CN"/>
              </w:rPr>
              <w:t>备注：①报价为含税金额，须提供增值税全额发票（按合同具体要求）；②包括所有消耗品、易损件和配件；③人员工资、保险等；④车辆保险、保养、折旧、油费等</w:t>
            </w:r>
            <w:r>
              <w:rPr>
                <w:rFonts w:hint="eastAsia"/>
                <w:b w:val="0"/>
                <w:bCs w:val="0"/>
                <w:sz w:val="21"/>
                <w:szCs w:val="21"/>
                <w:vertAlign w:val="baseline"/>
                <w:lang w:val="en-US" w:eastAsia="zh-CN"/>
              </w:rPr>
              <w:t>；⑤上述清单检测项目、检测频次均为预估量，实际量以业主单位确认为准，据实结算</w:t>
            </w:r>
            <w:r>
              <w:rPr>
                <w:rFonts w:hint="eastAsia" w:ascii="宋体"/>
                <w:b w:val="0"/>
                <w:bCs w:val="0"/>
                <w:sz w:val="21"/>
                <w:szCs w:val="21"/>
                <w:vertAlign w:val="baseline"/>
                <w:lang w:val="en-US" w:eastAsia="zh-CN"/>
              </w:rPr>
              <w:t>。</w:t>
            </w:r>
          </w:p>
        </w:tc>
      </w:tr>
    </w:tbl>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1B793"/>
    <w:multiLevelType w:val="singleLevel"/>
    <w:tmpl w:val="2931B79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9E823E8"/>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0338C6"/>
    <w:rsid w:val="2560638D"/>
    <w:rsid w:val="2888575B"/>
    <w:rsid w:val="296C096E"/>
    <w:rsid w:val="2DC35BE2"/>
    <w:rsid w:val="2DFD6DA8"/>
    <w:rsid w:val="2F5C3B54"/>
    <w:rsid w:val="3401034F"/>
    <w:rsid w:val="35F42D38"/>
    <w:rsid w:val="365F5108"/>
    <w:rsid w:val="36F271E0"/>
    <w:rsid w:val="38451629"/>
    <w:rsid w:val="39202096"/>
    <w:rsid w:val="3956631D"/>
    <w:rsid w:val="39A323C9"/>
    <w:rsid w:val="3C446F5E"/>
    <w:rsid w:val="3D995F73"/>
    <w:rsid w:val="3DD40ACC"/>
    <w:rsid w:val="3E333CC7"/>
    <w:rsid w:val="3E7A3FF6"/>
    <w:rsid w:val="3F7C42B6"/>
    <w:rsid w:val="40821E95"/>
    <w:rsid w:val="41986F96"/>
    <w:rsid w:val="42331D89"/>
    <w:rsid w:val="425C413F"/>
    <w:rsid w:val="42654155"/>
    <w:rsid w:val="427A6373"/>
    <w:rsid w:val="475C491A"/>
    <w:rsid w:val="49521D16"/>
    <w:rsid w:val="4A180A44"/>
    <w:rsid w:val="4A630034"/>
    <w:rsid w:val="4BF20535"/>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5C071983"/>
    <w:rsid w:val="6359495D"/>
    <w:rsid w:val="65374BCA"/>
    <w:rsid w:val="6562740E"/>
    <w:rsid w:val="65CA16B3"/>
    <w:rsid w:val="65FC1861"/>
    <w:rsid w:val="662E5966"/>
    <w:rsid w:val="6747066A"/>
    <w:rsid w:val="699F737A"/>
    <w:rsid w:val="6D892812"/>
    <w:rsid w:val="6EAC5D22"/>
    <w:rsid w:val="6F1E00AA"/>
    <w:rsid w:val="6FE07D2F"/>
    <w:rsid w:val="70E71E73"/>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3">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4">
    <w:name w:val="heading 7"/>
    <w:basedOn w:val="1"/>
    <w:autoRedefine/>
    <w:qFormat/>
    <w:uiPriority w:val="1"/>
    <w:pPr>
      <w:ind w:left="577"/>
      <w:outlineLvl w:val="6"/>
    </w:pPr>
    <w:rPr>
      <w:rFonts w:ascii="宋体" w:hAnsi="宋体"/>
      <w:b/>
      <w:bCs/>
      <w:sz w:val="21"/>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8"/>
    <w:autoRedefine/>
    <w:semiHidden/>
    <w:unhideWhenUsed/>
    <w:qFormat/>
    <w:uiPriority w:val="99"/>
    <w:pPr>
      <w:jc w:val="left"/>
    </w:pPr>
  </w:style>
  <w:style w:type="paragraph" w:styleId="6">
    <w:name w:val="Body Text"/>
    <w:basedOn w:val="1"/>
    <w:next w:val="1"/>
    <w:autoRedefine/>
    <w:qFormat/>
    <w:uiPriority w:val="1"/>
    <w:pPr>
      <w:ind w:left="140"/>
    </w:pPr>
    <w:rPr>
      <w:rFonts w:ascii="宋体" w:hAnsi="宋体"/>
      <w:sz w:val="21"/>
      <w:szCs w:val="21"/>
    </w:rPr>
  </w:style>
  <w:style w:type="paragraph" w:styleId="7">
    <w:name w:val="Body Text Indent"/>
    <w:basedOn w:val="1"/>
    <w:autoRedefine/>
    <w:qFormat/>
    <w:uiPriority w:val="0"/>
    <w:pPr>
      <w:ind w:firstLine="645"/>
    </w:pPr>
    <w:rPr>
      <w:rFonts w:ascii="楷体_GB2312" w:eastAsia="楷体_GB2312"/>
      <w:kern w:val="2"/>
      <w:sz w:val="32"/>
    </w:rPr>
  </w:style>
  <w:style w:type="paragraph" w:styleId="8">
    <w:name w:val="Plain Text"/>
    <w:basedOn w:val="1"/>
    <w:autoRedefine/>
    <w:qFormat/>
    <w:uiPriority w:val="0"/>
    <w:rPr>
      <w:rFonts w:hAnsi="Courier New"/>
      <w:kern w:val="2"/>
      <w:sz w:val="21"/>
    </w:rPr>
  </w:style>
  <w:style w:type="paragraph" w:styleId="9">
    <w:name w:val="Balloon Text"/>
    <w:basedOn w:val="1"/>
    <w:link w:val="30"/>
    <w:autoRedefine/>
    <w:semiHidden/>
    <w:unhideWhenUsed/>
    <w:qFormat/>
    <w:uiPriority w:val="99"/>
    <w:rPr>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envelope return"/>
    <w:basedOn w:val="1"/>
    <w:autoRedefine/>
    <w:unhideWhenUsed/>
    <w:qFormat/>
    <w:uiPriority w:val="99"/>
    <w:pPr>
      <w:snapToGrid w:val="0"/>
    </w:pPr>
    <w:rPr>
      <w:rFonts w:ascii="Arial" w:hAnsi="Arial"/>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5"/>
    <w:next w:val="5"/>
    <w:link w:val="29"/>
    <w:autoRedefine/>
    <w:semiHidden/>
    <w:unhideWhenUsed/>
    <w:qFormat/>
    <w:uiPriority w:val="99"/>
    <w:rPr>
      <w:b/>
      <w:bCs/>
    </w:rPr>
  </w:style>
  <w:style w:type="paragraph" w:styleId="18">
    <w:name w:val="Body Text First Indent"/>
    <w:basedOn w:val="6"/>
    <w:autoRedefine/>
    <w:unhideWhenUsed/>
    <w:qFormat/>
    <w:uiPriority w:val="99"/>
    <w:pPr>
      <w:ind w:firstLine="420" w:firstLineChars="100"/>
    </w:pPr>
  </w:style>
  <w:style w:type="paragraph" w:styleId="19">
    <w:name w:val="Body Text First Indent 2"/>
    <w:basedOn w:val="7"/>
    <w:autoRedefine/>
    <w:qFormat/>
    <w:uiPriority w:val="0"/>
    <w:pPr>
      <w:ind w:left="420" w:leftChars="200" w:firstLine="420" w:firstLineChars="200"/>
    </w:pPr>
  </w:style>
  <w:style w:type="table" w:styleId="21">
    <w:name w:val="Table Grid"/>
    <w:basedOn w:val="2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annotation reference"/>
    <w:basedOn w:val="22"/>
    <w:autoRedefine/>
    <w:semiHidden/>
    <w:unhideWhenUsed/>
    <w:qFormat/>
    <w:uiPriority w:val="99"/>
    <w:rPr>
      <w:sz w:val="21"/>
      <w:szCs w:val="21"/>
    </w:rPr>
  </w:style>
  <w:style w:type="paragraph" w:customStyle="1" w:styleId="2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5">
    <w:name w:val="页眉 Char"/>
    <w:basedOn w:val="22"/>
    <w:link w:val="12"/>
    <w:autoRedefine/>
    <w:qFormat/>
    <w:uiPriority w:val="99"/>
    <w:rPr>
      <w:sz w:val="18"/>
      <w:szCs w:val="18"/>
    </w:rPr>
  </w:style>
  <w:style w:type="character" w:customStyle="1" w:styleId="26">
    <w:name w:val="页脚 Char"/>
    <w:basedOn w:val="22"/>
    <w:link w:val="10"/>
    <w:autoRedefine/>
    <w:qFormat/>
    <w:uiPriority w:val="99"/>
    <w:rPr>
      <w:sz w:val="18"/>
      <w:szCs w:val="18"/>
    </w:rPr>
  </w:style>
  <w:style w:type="paragraph" w:customStyle="1" w:styleId="27">
    <w:name w:val="Char Char Char Char Char Char Char Char Char Char"/>
    <w:basedOn w:val="1"/>
    <w:autoRedefine/>
    <w:qFormat/>
    <w:uiPriority w:val="0"/>
    <w:rPr>
      <w:rFonts w:ascii="Tahoma" w:hAnsi="Tahoma" w:eastAsia="宋体" w:cs="仿宋_GB2312"/>
      <w:sz w:val="24"/>
      <w:szCs w:val="20"/>
    </w:rPr>
  </w:style>
  <w:style w:type="character" w:customStyle="1" w:styleId="28">
    <w:name w:val="批注文字 Char"/>
    <w:basedOn w:val="22"/>
    <w:link w:val="5"/>
    <w:autoRedefine/>
    <w:semiHidden/>
    <w:qFormat/>
    <w:uiPriority w:val="99"/>
  </w:style>
  <w:style w:type="character" w:customStyle="1" w:styleId="29">
    <w:name w:val="批注主题 Char"/>
    <w:basedOn w:val="28"/>
    <w:link w:val="17"/>
    <w:autoRedefine/>
    <w:semiHidden/>
    <w:qFormat/>
    <w:uiPriority w:val="99"/>
    <w:rPr>
      <w:b/>
      <w:bCs/>
    </w:rPr>
  </w:style>
  <w:style w:type="character" w:customStyle="1" w:styleId="30">
    <w:name w:val="批注框文本 Char"/>
    <w:basedOn w:val="22"/>
    <w:link w:val="9"/>
    <w:autoRedefine/>
    <w:semiHidden/>
    <w:qFormat/>
    <w:uiPriority w:val="99"/>
    <w:rPr>
      <w:sz w:val="18"/>
      <w:szCs w:val="18"/>
    </w:rPr>
  </w:style>
  <w:style w:type="paragraph" w:styleId="31">
    <w:name w:val="List Paragraph"/>
    <w:basedOn w:val="1"/>
    <w:autoRedefine/>
    <w:unhideWhenUsed/>
    <w:qFormat/>
    <w:uiPriority w:val="99"/>
    <w:pPr>
      <w:ind w:firstLine="420" w:firstLineChars="200"/>
    </w:pPr>
  </w:style>
  <w:style w:type="paragraph" w:customStyle="1" w:styleId="32">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3">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4">
    <w:name w:val="Char Char Char Char Char Char Char1 Char"/>
    <w:basedOn w:val="1"/>
    <w:autoRedefine/>
    <w:qFormat/>
    <w:uiPriority w:val="0"/>
    <w:rPr>
      <w:rFonts w:ascii="Tahoma" w:hAnsi="Tahoma"/>
      <w:sz w:val="24"/>
    </w:rPr>
  </w:style>
  <w:style w:type="character" w:customStyle="1" w:styleId="35">
    <w:name w:val="font21"/>
    <w:basedOn w:val="22"/>
    <w:autoRedefine/>
    <w:qFormat/>
    <w:uiPriority w:val="0"/>
    <w:rPr>
      <w:rFonts w:hint="eastAsia" w:ascii="宋体" w:hAnsi="宋体" w:eastAsia="宋体" w:cs="宋体"/>
      <w:b/>
      <w:bCs/>
      <w:color w:val="000000"/>
      <w:sz w:val="40"/>
      <w:szCs w:val="40"/>
      <w:u w:val="none"/>
    </w:rPr>
  </w:style>
  <w:style w:type="character" w:customStyle="1" w:styleId="36">
    <w:name w:val="font71"/>
    <w:basedOn w:val="22"/>
    <w:autoRedefine/>
    <w:qFormat/>
    <w:uiPriority w:val="0"/>
    <w:rPr>
      <w:rFonts w:hint="eastAsia" w:ascii="宋体" w:hAnsi="宋体" w:eastAsia="宋体" w:cs="宋体"/>
      <w:b/>
      <w:bCs/>
      <w:color w:val="000000"/>
      <w:sz w:val="40"/>
      <w:szCs w:val="40"/>
      <w:u w:val="single"/>
    </w:rPr>
  </w:style>
  <w:style w:type="character" w:customStyle="1" w:styleId="37">
    <w:name w:val="font91"/>
    <w:basedOn w:val="22"/>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8">
    <w:name w:val="font111"/>
    <w:basedOn w:val="22"/>
    <w:autoRedefine/>
    <w:qFormat/>
    <w:uiPriority w:val="0"/>
    <w:rPr>
      <w:rFonts w:hint="eastAsia" w:ascii="宋体" w:hAnsi="宋体" w:eastAsia="宋体" w:cs="宋体"/>
      <w:color w:val="000000"/>
      <w:sz w:val="40"/>
      <w:szCs w:val="40"/>
      <w:u w:val="single"/>
    </w:rPr>
  </w:style>
  <w:style w:type="character" w:customStyle="1" w:styleId="39">
    <w:name w:val="font141"/>
    <w:basedOn w:val="22"/>
    <w:autoRedefine/>
    <w:qFormat/>
    <w:uiPriority w:val="0"/>
    <w:rPr>
      <w:rFonts w:hint="eastAsia" w:ascii="宋体" w:hAnsi="宋体" w:eastAsia="宋体" w:cs="宋体"/>
      <w:color w:val="000000"/>
      <w:sz w:val="20"/>
      <w:szCs w:val="20"/>
      <w:u w:val="single"/>
    </w:rPr>
  </w:style>
  <w:style w:type="character" w:customStyle="1" w:styleId="40">
    <w:name w:val="font151"/>
    <w:basedOn w:val="22"/>
    <w:autoRedefine/>
    <w:qFormat/>
    <w:uiPriority w:val="0"/>
    <w:rPr>
      <w:rFonts w:hint="eastAsia" w:ascii="宋体" w:hAnsi="宋体" w:eastAsia="宋体" w:cs="宋体"/>
      <w:color w:val="000000"/>
      <w:sz w:val="20"/>
      <w:szCs w:val="20"/>
      <w:u w:val="single"/>
    </w:rPr>
  </w:style>
  <w:style w:type="paragraph" w:customStyle="1" w:styleId="41">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2">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3">
    <w:name w:val="00-表格正文"/>
    <w:basedOn w:val="1"/>
    <w:autoRedefine/>
    <w:qFormat/>
    <w:uiPriority w:val="0"/>
    <w:pPr>
      <w:widowControl/>
      <w:spacing w:line="360" w:lineRule="auto"/>
      <w:jc w:val="left"/>
    </w:pPr>
    <w:rPr>
      <w:rFonts w:ascii="黑体" w:hAnsi="黑体" w:eastAsia="仿宋" w:cs="宋体"/>
      <w:bCs/>
      <w:color w:val="000000"/>
      <w:szCs w:val="24"/>
    </w:rPr>
  </w:style>
  <w:style w:type="paragraph" w:customStyle="1" w:styleId="44">
    <w:name w:val="列出段落1"/>
    <w:basedOn w:val="1"/>
    <w:autoRedefine/>
    <w:unhideWhenUsed/>
    <w:qFormat/>
    <w:uiPriority w:val="99"/>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1</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2025-08-25T00:58:25Z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