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2774249"/>
      <w:bookmarkStart w:id="3" w:name="_Toc461056631"/>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Lines="50" w:line="360" w:lineRule="auto"/>
        <w:jc w:val="left"/>
        <w:rPr>
          <w:rFonts w:hAnsi="宋体"/>
          <w:b/>
          <w:bCs/>
          <w:color w:val="000000"/>
          <w:szCs w:val="28"/>
          <w:u w:val="single"/>
        </w:rPr>
      </w:pPr>
      <w:r>
        <w:rPr>
          <w:rFonts w:hint="eastAsia" w:hAnsi="宋体"/>
          <w:b/>
          <w:color w:val="000000"/>
          <w:szCs w:val="28"/>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b/>
                <w:color w:val="000000"/>
                <w:u w:val="single"/>
                <w:lang w:val="en-US"/>
              </w:rPr>
            </w:pPr>
            <w:r>
              <w:rPr>
                <w:rFonts w:hint="eastAsia" w:hAnsi="宋体"/>
                <w:bCs/>
                <w:color w:val="000000"/>
                <w:lang w:val="en-US" w:eastAsia="zh-CN"/>
              </w:rPr>
              <w:t xml:space="preserve">金额  </w:t>
            </w:r>
            <w:r>
              <w:rPr>
                <w:rFonts w:hint="eastAsia" w:hAnsi="宋体"/>
                <w:bCs/>
                <w:color w:val="000000"/>
                <w:u w:val="single"/>
                <w:lang w:val="en-US" w:eastAsia="zh-CN"/>
              </w:rPr>
              <w:t xml:space="preserve">               </w:t>
            </w:r>
            <w:r>
              <w:rPr>
                <w:rFonts w:hint="eastAsia" w:hAnsi="宋体"/>
                <w:bCs/>
                <w:color w:val="000000"/>
                <w:u w:val="none"/>
                <w:lang w:val="en-US" w:eastAsia="zh-CN"/>
              </w:rPr>
              <w:t xml:space="preserve">  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jc w:val="center"/>
        <w:rPr>
          <w:rFonts w:hAnsi="宋体"/>
          <w:b/>
          <w:color w:val="000000"/>
        </w:rPr>
      </w:pPr>
      <w:r>
        <w:rPr>
          <w:rFonts w:hint="eastAsia" w:hAnsi="宋体" w:cs="宋体"/>
          <w:b/>
          <w:color w:val="000000"/>
          <w:szCs w:val="24"/>
        </w:rPr>
        <w:t>（供应商可自行制作格式</w:t>
      </w:r>
      <w:r>
        <w:rPr>
          <w:rFonts w:hint="eastAsia" w:hAnsi="宋体" w:cs="宋体"/>
          <w:b/>
          <w:color w:val="000000"/>
          <w:szCs w:val="24"/>
          <w:lang w:eastAsia="zh-CN"/>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文件未作要求，不需此件）</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、报价资料等，打印盖章装订成册。</w:t>
      </w:r>
    </w:p>
    <w:p>
      <w:pPr>
        <w:spacing w:line="360" w:lineRule="auto"/>
        <w:ind w:firstLine="420" w:firstLineChars="200"/>
        <w:rPr>
          <w:rFonts w:hAnsi="宋体"/>
          <w:szCs w:val="24"/>
        </w:rPr>
      </w:pPr>
      <w:r>
        <w:rPr>
          <w:rFonts w:hint="eastAsia" w:hAnsi="宋体"/>
          <w:szCs w:val="24"/>
        </w:rPr>
        <w:t>3、</w:t>
      </w:r>
      <w:r>
        <w:rPr>
          <w:rFonts w:hint="eastAsia" w:hAnsi="宋体"/>
          <w:szCs w:val="24"/>
          <w:lang w:val="en-US" w:eastAsia="zh-CN"/>
        </w:rPr>
        <w:t>采购</w:t>
      </w:r>
      <w:r>
        <w:rPr>
          <w:rFonts w:hint="eastAsia" w:hAnsi="宋体"/>
          <w:szCs w:val="24"/>
        </w:rPr>
        <w:t>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bookmarkStart w:id="11" w:name="_GoBack"/>
      <w:bookmarkEnd w:id="11"/>
    </w:p>
    <w:p>
      <w:pPr>
        <w:numPr>
          <w:ilvl w:val="0"/>
          <w:numId w:val="0"/>
        </w:numPr>
        <w:spacing w:line="360" w:lineRule="auto"/>
        <w:ind w:firstLine="643" w:firstLineChars="200"/>
        <w:outlineLvl w:val="2"/>
        <w:rPr>
          <w:rFonts w:hint="eastAsia" w:ascii="宋体" w:hAnsi="宋体" w:eastAsia="宋体" w:cs="Times New Roman"/>
          <w:b/>
          <w:sz w:val="32"/>
          <w:szCs w:val="32"/>
        </w:rPr>
      </w:pPr>
      <w:bookmarkStart w:id="9" w:name="_Hlk23621890"/>
      <w:r>
        <w:rPr>
          <w:rFonts w:hint="eastAsia" w:ascii="宋体" w:hAnsi="宋体" w:eastAsia="宋体" w:cs="Times New Roman"/>
          <w:b/>
          <w:kern w:val="2"/>
          <w:sz w:val="32"/>
          <w:szCs w:val="32"/>
          <w:lang w:val="en-US" w:eastAsia="zh-CN" w:bidi="ar-SA"/>
        </w:rPr>
        <w:t>一、</w:t>
      </w:r>
      <w:r>
        <w:rPr>
          <w:rFonts w:hint="eastAsia" w:ascii="宋体" w:hAnsi="宋体" w:eastAsia="宋体" w:cs="Times New Roman"/>
          <w:b/>
          <w:sz w:val="32"/>
          <w:szCs w:val="32"/>
        </w:rPr>
        <w:t>前附表</w:t>
      </w:r>
    </w:p>
    <w:tbl>
      <w:tblPr>
        <w:tblStyle w:val="18"/>
        <w:tblW w:w="55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项目名称</w:t>
            </w:r>
          </w:p>
        </w:tc>
        <w:tc>
          <w:tcPr>
            <w:tcW w:w="3945" w:type="pct"/>
            <w:noWrap w:val="0"/>
            <w:vAlign w:val="center"/>
          </w:tcPr>
          <w:p>
            <w:pPr>
              <w:autoSpaceDE w:val="0"/>
              <w:autoSpaceDN w:val="0"/>
              <w:adjustRightInd w:val="0"/>
              <w:jc w:val="left"/>
              <w:rPr>
                <w:rFonts w:ascii="宋体" w:hAnsi="宋体" w:eastAsia="宋体" w:cs="Times New Roman"/>
                <w:sz w:val="24"/>
                <w:szCs w:val="20"/>
              </w:rPr>
            </w:pPr>
            <w:r>
              <w:rPr>
                <w:rFonts w:hint="eastAsia" w:ascii="宋体" w:hAnsi="宋体" w:eastAsia="宋体" w:cs="宋体"/>
                <w:kern w:val="2"/>
                <w:sz w:val="24"/>
                <w:szCs w:val="18"/>
                <w:lang w:val="en-US" w:eastAsia="zh-CN" w:bidi="ar-SA"/>
              </w:rPr>
              <w:t>2025年合肥经开区香怡物业自助售货机（小型）服务采购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项目概况</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Times New Roman"/>
                <w:sz w:val="24"/>
                <w:szCs w:val="20"/>
                <w:u w:val="single"/>
              </w:rPr>
            </w:pPr>
            <w:r>
              <w:rPr>
                <w:rFonts w:hint="eastAsia" w:ascii="宋体" w:hAnsi="宋体" w:eastAsia="宋体" w:cs="宋体"/>
                <w:kern w:val="2"/>
                <w:sz w:val="24"/>
                <w:szCs w:val="18"/>
                <w:lang w:val="en-US" w:eastAsia="zh-CN" w:bidi="ar-SA"/>
              </w:rPr>
              <w:t>为招标人</w:t>
            </w:r>
            <w:r>
              <w:rPr>
                <w:rFonts w:hint="eastAsia" w:ascii="宋体" w:hAnsi="宋体" w:eastAsia="宋体" w:cs="宋体"/>
                <w:kern w:val="0"/>
                <w:sz w:val="24"/>
                <w:szCs w:val="24"/>
                <w:highlight w:val="none"/>
                <w:lang w:val="en-US" w:eastAsia="zh-CN" w:bidi="ar-SA"/>
              </w:rPr>
              <w:t>有摆放需求的项目管理处（主要包括公租房、商业办公楼、居民小区等）提供自助售货服务</w:t>
            </w:r>
            <w:r>
              <w:rPr>
                <w:rFonts w:hint="eastAsia" w:ascii="宋体" w:hAnsi="宋体" w:eastAsia="宋体" w:cs="宋体"/>
                <w:kern w:val="2"/>
                <w:sz w:val="24"/>
                <w:szCs w:val="18"/>
                <w:lang w:val="en-US" w:eastAsia="zh-CN" w:bidi="ar-SA"/>
              </w:rPr>
              <w:t>。合同期内如有物业项目退出，该处服务同时终止。自助售货机（小型）投放数量约6台，尺寸</w:t>
            </w:r>
            <w:r>
              <w:rPr>
                <w:rFonts w:hint="eastAsia" w:ascii="宋体" w:hAnsi="宋体" w:eastAsia="宋体" w:cs="宋体"/>
                <w:sz w:val="24"/>
                <w:szCs w:val="18"/>
                <w:highlight w:val="none"/>
                <w:lang w:val="en-US" w:eastAsia="zh-CN"/>
              </w:rPr>
              <w:t>约为630mm（长）*600mm（宽）*2100mm（高）。。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0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项目是否分包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eastAsia="zh-CN"/>
              </w:rPr>
              <w:t>分包预算</w:t>
            </w:r>
          </w:p>
        </w:tc>
        <w:tc>
          <w:tcPr>
            <w:tcW w:w="3945" w:type="pct"/>
            <w:noWrap w:val="0"/>
            <w:vAlign w:val="center"/>
          </w:tcPr>
          <w:p>
            <w:pPr>
              <w:numPr>
                <w:ilvl w:val="0"/>
                <w:numId w:val="0"/>
              </w:num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投标人资格要求</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cs="宋体"/>
                <w:sz w:val="24"/>
                <w:szCs w:val="24"/>
              </w:rPr>
              <w:t>1</w:t>
            </w:r>
            <w:r>
              <w:rPr>
                <w:rFonts w:hint="eastAsia" w:ascii="宋体" w:hAnsi="宋体" w:eastAsia="宋体" w:cs="宋体"/>
                <w:kern w:val="2"/>
                <w:sz w:val="24"/>
                <w:szCs w:val="18"/>
                <w:lang w:val="en-US" w:eastAsia="zh-CN" w:bidi="ar-SA"/>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2.具有与本项目相适应的服务能力（营业执照经营范围中具有预包装食品销售，或类似范围），提供合法有效的营业执照（或事业单位法人证书）的扫描件，应完整的体现出营业执照（或事业单位法人证书）的全部内容；</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3.具有有效的食品经营许可证。</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付款方式</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服务地点</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服务期限（工期）</w:t>
            </w:r>
          </w:p>
        </w:tc>
        <w:tc>
          <w:tcPr>
            <w:tcW w:w="3945" w:type="pct"/>
            <w:noWrap w:val="0"/>
            <w:vAlign w:val="center"/>
          </w:tcPr>
          <w:p>
            <w:pPr>
              <w:autoSpaceDE w:val="0"/>
              <w:autoSpaceDN w:val="0"/>
              <w:adjustRightInd w:val="0"/>
              <w:spacing w:line="360" w:lineRule="auto"/>
              <w:jc w:val="left"/>
              <w:rPr>
                <w:rFonts w:ascii="宋体" w:hAnsi="宋体" w:eastAsia="宋体" w:cs="Times New Roman"/>
                <w:sz w:val="24"/>
                <w:szCs w:val="18"/>
              </w:rPr>
            </w:pPr>
            <w:r>
              <w:rPr>
                <w:rFonts w:hint="eastAsia" w:ascii="宋体" w:hAnsi="宋体" w:eastAsia="宋体" w:cs="宋体"/>
                <w:color w:val="auto"/>
                <w:sz w:val="24"/>
                <w:lang w:eastAsia="zh-CN"/>
              </w:rPr>
              <w:t>合同有效期</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年</w:t>
            </w:r>
            <w:r>
              <w:rPr>
                <w:rFonts w:hint="eastAsia" w:ascii="宋体" w:hAnsi="宋体" w:eastAsia="宋体"/>
                <w:b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是否接受联合体投标</w:t>
            </w:r>
          </w:p>
        </w:tc>
        <w:tc>
          <w:tcPr>
            <w:tcW w:w="3945" w:type="pct"/>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履约保证金退还时间</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合同到期后，如无续签，一次性返还中标人。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bookmarkStart w:id="10" w:name="_Hlk164610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bookmarkEnd w:id="9"/>
    <w:bookmarkEnd w:id="1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rPr>
      </w:pPr>
      <w:r>
        <w:rPr>
          <w:rFonts w:hint="eastAsia" w:ascii="宋体" w:hAnsi="宋体" w:eastAsia="宋体" w:cs="Times New Roman"/>
          <w:b/>
          <w:kern w:val="2"/>
          <w:sz w:val="32"/>
          <w:szCs w:val="32"/>
          <w:lang w:val="en-US" w:eastAsia="zh-CN" w:bidi="ar-SA"/>
        </w:rPr>
        <w:t>二、</w:t>
      </w:r>
      <w:r>
        <w:rPr>
          <w:rFonts w:hint="eastAsia" w:ascii="宋体" w:hAnsi="宋体" w:eastAsia="宋体" w:cs="Times New Roman"/>
          <w:b/>
          <w:sz w:val="32"/>
          <w:szCs w:val="32"/>
        </w:rPr>
        <w:t>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18"/>
          <w:lang w:val="en-US" w:eastAsia="zh-CN" w:bidi="ar-SA"/>
        </w:rPr>
      </w:pPr>
      <w:r>
        <w:rPr>
          <w:rFonts w:hint="default" w:ascii="宋体" w:hAnsi="宋体" w:eastAsia="宋体" w:cs="宋体"/>
          <w:kern w:val="2"/>
          <w:sz w:val="24"/>
          <w:szCs w:val="18"/>
          <w:lang w:eastAsia="zh-CN" w:bidi="ar-SA"/>
        </w:rPr>
        <w:t>本项目</w:t>
      </w:r>
      <w:r>
        <w:rPr>
          <w:rFonts w:hint="eastAsia" w:ascii="宋体" w:hAnsi="宋体" w:eastAsia="宋体" w:cs="宋体"/>
          <w:kern w:val="2"/>
          <w:sz w:val="24"/>
          <w:szCs w:val="18"/>
          <w:lang w:val="en-US" w:eastAsia="zh-CN" w:bidi="ar-SA"/>
        </w:rPr>
        <w:t>主要为招标人有摆放需求的项目管理处</w:t>
      </w:r>
      <w:r>
        <w:rPr>
          <w:rFonts w:hint="eastAsia" w:ascii="宋体" w:hAnsi="宋体" w:eastAsia="宋体" w:cs="宋体"/>
          <w:kern w:val="0"/>
          <w:sz w:val="24"/>
          <w:szCs w:val="24"/>
          <w:highlight w:val="none"/>
          <w:lang w:val="en-US" w:eastAsia="zh-CN" w:bidi="ar-SA"/>
        </w:rPr>
        <w:t>（主要包括公租房、商业办公楼、居民小区等）提供自助售货服务</w:t>
      </w:r>
      <w:r>
        <w:rPr>
          <w:rFonts w:hint="eastAsia" w:ascii="宋体" w:hAnsi="宋体" w:eastAsia="宋体" w:cs="宋体"/>
          <w:kern w:val="2"/>
          <w:sz w:val="24"/>
          <w:szCs w:val="18"/>
          <w:lang w:val="en-US" w:eastAsia="zh-CN" w:bidi="ar-SA"/>
        </w:rPr>
        <w:t>。合同期内如有物业项目退出，该处服务同时终止。自助售货机（小型）投放数量约6台，尺寸</w:t>
      </w:r>
      <w:r>
        <w:rPr>
          <w:rFonts w:hint="eastAsia" w:ascii="宋体" w:hAnsi="宋体" w:eastAsia="宋体" w:cs="宋体"/>
          <w:sz w:val="24"/>
          <w:szCs w:val="18"/>
          <w:highlight w:val="none"/>
          <w:lang w:val="en-US" w:eastAsia="zh-CN"/>
        </w:rPr>
        <w:t>约为630mm（长）*600mm（宽）*2100mm（高）。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lang w:eastAsia="zh-CN"/>
        </w:rPr>
      </w:pPr>
      <w:r>
        <w:rPr>
          <w:rFonts w:hint="eastAsia" w:ascii="宋体" w:hAnsi="宋体" w:eastAsia="宋体" w:cs="Times New Roman"/>
          <w:b/>
          <w:sz w:val="32"/>
          <w:szCs w:val="32"/>
        </w:rPr>
        <w:t>三、基本服务</w:t>
      </w:r>
      <w:r>
        <w:rPr>
          <w:rFonts w:hint="eastAsia" w:ascii="宋体" w:hAnsi="宋体" w:eastAsia="宋体" w:cs="Times New Roman"/>
          <w:b/>
          <w:sz w:val="32"/>
          <w:szCs w:val="32"/>
          <w:lang w:eastAsia="zh-CN"/>
        </w:rPr>
        <w:t>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（一）服务方式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1.自助售货设备经营范围：非开口饮品、预包装食品。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2.经营范围和经营的产品均需符合法律法规并取得国家相关部门颁发的许可证照。</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3.投放的自动售货机及其配套设施、自动售卖机内商品的财产所有权属于中标人。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4.中标人应接受招标人现场管理部门物业管理。如需招标人提供电源的，中标人应与各物业项目现场管理部门签订用电协议，确认电费标准并据实结算电费。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（二）服务需求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rPr>
      </w:pPr>
      <w:r>
        <w:rPr>
          <w:rFonts w:hint="eastAsia" w:ascii="宋体" w:hAnsi="宋体" w:eastAsia="宋体" w:cs="宋体"/>
          <w:color w:val="auto"/>
          <w:sz w:val="24"/>
          <w:lang w:val="en-US" w:eastAsia="zh-CN"/>
        </w:rPr>
        <w:t>1.合同期内，由中标人</w:t>
      </w:r>
      <w:r>
        <w:rPr>
          <w:rFonts w:hint="eastAsia" w:ascii="宋体" w:hAnsi="宋体" w:eastAsia="宋体" w:cs="宋体"/>
          <w:sz w:val="24"/>
          <w:szCs w:val="18"/>
          <w:highlight w:val="none"/>
          <w:lang w:eastAsia="zh-CN"/>
        </w:rPr>
        <w:t>全额投资摆放自助售货机，并负责</w:t>
      </w:r>
      <w:r>
        <w:rPr>
          <w:rFonts w:hint="eastAsia" w:ascii="宋体" w:hAnsi="宋体" w:eastAsia="宋体" w:cs="宋体"/>
          <w:sz w:val="24"/>
          <w:szCs w:val="18"/>
          <w:highlight w:val="none"/>
        </w:rPr>
        <w:t>线路铺设、设备安装调试、日常</w:t>
      </w:r>
      <w:r>
        <w:rPr>
          <w:rFonts w:hint="eastAsia" w:ascii="宋体" w:hAnsi="宋体" w:eastAsia="宋体" w:cs="宋体"/>
          <w:sz w:val="24"/>
          <w:szCs w:val="18"/>
          <w:highlight w:val="none"/>
          <w:lang w:eastAsia="zh-CN"/>
        </w:rPr>
        <w:t>管理</w:t>
      </w:r>
      <w:r>
        <w:rPr>
          <w:rFonts w:hint="eastAsia" w:ascii="宋体" w:hAnsi="宋体" w:eastAsia="宋体" w:cs="宋体"/>
          <w:sz w:val="24"/>
          <w:szCs w:val="18"/>
          <w:highlight w:val="none"/>
          <w:lang w:val="en-US" w:eastAsia="zh-CN"/>
        </w:rPr>
        <w:t>维护</w:t>
      </w:r>
      <w:r>
        <w:rPr>
          <w:rFonts w:hint="eastAsia" w:ascii="宋体" w:hAnsi="宋体" w:eastAsia="宋体" w:cs="宋体"/>
          <w:sz w:val="24"/>
          <w:szCs w:val="18"/>
          <w:highlight w:val="none"/>
        </w:rPr>
        <w:t>等工作。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2.自助售货机设备机器应符合现行的国家标准及行业标准，所安装机器必须具有原厂出具的质量合格证书。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3.中标人保障机器在安装和使用过程中的安全，若因机器原因发生的安全事故，由中标人全部承担。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4.机体上除中标人广告和海报外，不得张贴其他宣传品。机体广告和海报须经招标人现场管理部门审核同意后方可发布。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5.自助售货机应配备清晰易懂的指示牌，标注设备使用说明、收费标准、24小时故障报修电话、投诉电话、监管电话（即项目管理处电话）等信息。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6.中标人负责办妥自动售货机投放市场的相关审批手续及处理由自动售货机所引起的顾客投诉等问题。</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7.中标人须确保投放食品卫生安全,过期、变质食品不得投放。若因投放食品过期、变质等原因造成消费者受到伤害等，由中标人负责处理，并承担全部赔偿责任。招标人有权单方面解除合同，不承担任何违约责任，同时扣除全部履约保证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8.中标人在合同期内安装、维修、售卖等行为应符合招标人的管理要求。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9.中标人需按合同约定的具体缴费数值、日期，按时交纳各项费用。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ahoma"/>
          <w:b/>
          <w:sz w:val="32"/>
          <w:szCs w:val="32"/>
          <w:lang w:eastAsia="zh-CN"/>
        </w:rPr>
      </w:pPr>
      <w:r>
        <w:rPr>
          <w:rFonts w:hint="eastAsia" w:ascii="宋体" w:hAnsi="宋体" w:eastAsia="宋体" w:cs="Times New Roman"/>
          <w:b/>
          <w:sz w:val="32"/>
          <w:szCs w:val="32"/>
          <w:lang w:eastAsia="zh-CN"/>
        </w:rPr>
        <w:t>四</w:t>
      </w:r>
      <w:r>
        <w:rPr>
          <w:rFonts w:hint="eastAsia" w:ascii="宋体" w:hAnsi="宋体" w:eastAsia="宋体" w:cs="Times New Roman"/>
          <w:b/>
          <w:sz w:val="32"/>
          <w:szCs w:val="32"/>
        </w:rPr>
        <w:t>、</w:t>
      </w:r>
      <w:r>
        <w:rPr>
          <w:rFonts w:hint="eastAsia" w:ascii="宋体" w:hAnsi="宋体" w:eastAsia="宋体" w:cs="Tahoma"/>
          <w:b/>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18"/>
          <w:lang w:eastAsia="zh-CN"/>
        </w:rPr>
      </w:pPr>
      <w:r>
        <w:rPr>
          <w:rFonts w:hint="eastAsia" w:ascii="宋体" w:hAnsi="宋体" w:eastAsia="宋体"/>
          <w:b w:val="0"/>
          <w:bCs/>
          <w:sz w:val="24"/>
          <w:szCs w:val="18"/>
          <w:highlight w:val="none"/>
        </w:rPr>
        <w:t>本项目</w:t>
      </w:r>
      <w:r>
        <w:rPr>
          <w:rFonts w:hint="eastAsia" w:ascii="宋体" w:hAnsi="宋体" w:eastAsia="宋体"/>
          <w:b w:val="0"/>
          <w:bCs/>
          <w:sz w:val="24"/>
          <w:szCs w:val="18"/>
          <w:highlight w:val="none"/>
          <w:lang w:eastAsia="zh-CN"/>
        </w:rPr>
        <w:t>管理费底价为：</w:t>
      </w:r>
      <w:r>
        <w:rPr>
          <w:rFonts w:hint="eastAsia" w:ascii="宋体" w:hAnsi="宋体" w:eastAsia="宋体"/>
          <w:b w:val="0"/>
          <w:bCs/>
          <w:sz w:val="24"/>
          <w:szCs w:val="18"/>
          <w:highlight w:val="none"/>
          <w:lang w:val="en-US" w:eastAsia="zh-CN"/>
        </w:rPr>
        <w:t>1</w:t>
      </w:r>
      <w:r>
        <w:rPr>
          <w:rFonts w:hint="eastAsia" w:ascii="宋体" w:hAnsi="宋体" w:eastAsia="宋体"/>
          <w:b w:val="0"/>
          <w:bCs/>
          <w:sz w:val="24"/>
          <w:szCs w:val="18"/>
          <w:highlight w:val="none"/>
          <w:lang w:eastAsia="zh-CN"/>
        </w:rPr>
        <w:t>800元/台/年，投标人应根据上述价格报出单价，报价最高者确定为中标人。</w:t>
      </w:r>
      <w:r>
        <w:rPr>
          <w:rFonts w:hint="eastAsia" w:ascii="宋体" w:hAnsi="宋体" w:eastAsia="宋体"/>
          <w:b w:val="0"/>
          <w:bCs/>
          <w:sz w:val="24"/>
          <w:szCs w:val="18"/>
          <w:highlight w:val="none"/>
        </w:rPr>
        <w:t>投标人报价不得</w:t>
      </w:r>
      <w:r>
        <w:rPr>
          <w:rFonts w:hint="eastAsia" w:ascii="宋体" w:hAnsi="宋体" w:eastAsia="宋体"/>
          <w:b w:val="0"/>
          <w:bCs/>
          <w:sz w:val="24"/>
          <w:szCs w:val="18"/>
          <w:highlight w:val="none"/>
          <w:lang w:eastAsia="zh-CN"/>
        </w:rPr>
        <w:t>低于管理费底价</w:t>
      </w:r>
      <w:r>
        <w:rPr>
          <w:rFonts w:hint="eastAsia" w:ascii="宋体" w:hAnsi="宋体" w:eastAsia="宋体"/>
          <w:b w:val="0"/>
          <w:bCs/>
          <w:sz w:val="24"/>
          <w:szCs w:val="18"/>
          <w:highlight w:val="none"/>
        </w:rPr>
        <w:t>，</w:t>
      </w:r>
      <w:r>
        <w:rPr>
          <w:rFonts w:hint="eastAsia" w:ascii="宋体" w:hAnsi="宋体" w:eastAsia="宋体"/>
          <w:b w:val="0"/>
          <w:bCs/>
          <w:sz w:val="24"/>
          <w:szCs w:val="18"/>
          <w:highlight w:val="none"/>
          <w:lang w:val="en-US" w:eastAsia="zh-CN"/>
        </w:rPr>
        <w:t>否则报价无效</w:t>
      </w:r>
      <w:r>
        <w:rPr>
          <w:rFonts w:hint="eastAsia" w:ascii="宋体" w:hAnsi="宋体" w:eastAsia="宋体"/>
          <w:b w:val="0"/>
          <w:bCs/>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宋体" w:hAnsi="宋体" w:eastAsia="宋体" w:cs="Times New Roman"/>
          <w:b/>
          <w:sz w:val="32"/>
          <w:szCs w:val="32"/>
        </w:rPr>
      </w:pPr>
      <w:r>
        <w:rPr>
          <w:rFonts w:hint="eastAsia" w:ascii="宋体" w:hAnsi="宋体" w:eastAsia="宋体" w:cs="Times New Roman"/>
          <w:b/>
          <w:sz w:val="32"/>
          <w:szCs w:val="32"/>
          <w:lang w:eastAsia="zh-CN"/>
        </w:rPr>
        <w:t>五</w:t>
      </w:r>
      <w:r>
        <w:rPr>
          <w:rFonts w:hint="eastAsia" w:ascii="宋体" w:hAnsi="宋体" w:eastAsia="宋体" w:cs="Times New Roman"/>
          <w:b/>
          <w:sz w:val="32"/>
          <w:szCs w:val="32"/>
        </w:rPr>
        <w:t>、其他要求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eastAsia="zh-CN"/>
        </w:rPr>
      </w:pPr>
      <w:r>
        <w:rPr>
          <w:rFonts w:hint="eastAsia" w:ascii="宋体" w:hAnsi="宋体" w:eastAsia="宋体" w:cs="宋体"/>
          <w:kern w:val="2"/>
          <w:sz w:val="24"/>
          <w:szCs w:val="18"/>
          <w:lang w:val="en-US" w:eastAsia="zh-CN" w:bidi="ar-SA"/>
        </w:rPr>
        <w:t>1.</w:t>
      </w:r>
      <w:r>
        <w:rPr>
          <w:rFonts w:hint="eastAsia" w:ascii="宋体" w:hAnsi="宋体" w:eastAsia="宋体" w:cs="Times New Roman"/>
          <w:color w:val="auto"/>
          <w:kern w:val="2"/>
          <w:sz w:val="24"/>
          <w:szCs w:val="18"/>
          <w:highlight w:val="none"/>
          <w:lang w:val="en-US" w:eastAsia="zh-CN" w:bidi="ar-SA"/>
        </w:rPr>
        <w:t>中标人应在合同签订后3日内缴纳</w:t>
      </w:r>
      <w:r>
        <w:rPr>
          <w:rFonts w:hint="eastAsia" w:ascii="宋体" w:hAnsi="宋体" w:eastAsia="宋体" w:cs="Times New Roman"/>
          <w:b/>
          <w:bCs/>
          <w:color w:val="auto"/>
          <w:kern w:val="2"/>
          <w:sz w:val="24"/>
          <w:szCs w:val="18"/>
          <w:highlight w:val="none"/>
          <w:lang w:val="en-US" w:eastAsia="zh-CN" w:bidi="ar-SA"/>
        </w:rPr>
        <w:t>履约保证金</w:t>
      </w:r>
      <w:r>
        <w:rPr>
          <w:rFonts w:hint="eastAsia" w:ascii="宋体" w:hAnsi="宋体" w:eastAsia="宋体" w:cs="Times New Roman"/>
          <w:b/>
          <w:bCs/>
          <w:color w:val="auto"/>
          <w:kern w:val="2"/>
          <w:sz w:val="24"/>
          <w:szCs w:val="18"/>
          <w:highlight w:val="none"/>
          <w:u w:val="none"/>
          <w:lang w:val="en-US" w:eastAsia="zh-CN" w:bidi="ar-SA"/>
        </w:rPr>
        <w:t>5000</w:t>
      </w:r>
      <w:r>
        <w:rPr>
          <w:rFonts w:hint="eastAsia" w:ascii="宋体" w:hAnsi="宋体" w:eastAsia="宋体" w:cs="Times New Roman"/>
          <w:b/>
          <w:bCs/>
          <w:color w:val="auto"/>
          <w:kern w:val="2"/>
          <w:sz w:val="24"/>
          <w:szCs w:val="18"/>
          <w:highlight w:val="none"/>
          <w:lang w:val="en-US" w:eastAsia="zh-CN" w:bidi="ar-SA"/>
        </w:rPr>
        <w:t>元</w:t>
      </w:r>
      <w:r>
        <w:rPr>
          <w:rFonts w:hint="eastAsia" w:ascii="宋体" w:hAnsi="宋体" w:eastAsia="宋体" w:cs="Times New Roman"/>
          <w:color w:val="auto"/>
          <w:kern w:val="2"/>
          <w:sz w:val="24"/>
          <w:szCs w:val="18"/>
          <w:highlight w:val="none"/>
          <w:lang w:val="en-US" w:eastAsia="zh-CN" w:bidi="ar-SA"/>
        </w:rPr>
        <w:t>。中标人在服务过程中，给采购人（或服务对象）造成人、财、物损失的</w:t>
      </w:r>
      <w:r>
        <w:rPr>
          <w:rFonts w:hint="eastAsia" w:ascii="宋体" w:hAnsi="宋体" w:eastAsia="宋体" w:cs="宋体"/>
          <w:sz w:val="24"/>
          <w:szCs w:val="18"/>
        </w:rPr>
        <w:t>，</w:t>
      </w:r>
      <w:r>
        <w:rPr>
          <w:rFonts w:hint="eastAsia" w:ascii="宋体" w:hAnsi="宋体" w:eastAsia="宋体" w:cs="宋体"/>
          <w:sz w:val="24"/>
          <w:szCs w:val="18"/>
          <w:lang w:eastAsia="zh-CN"/>
        </w:rPr>
        <w:t>中标人应给与赔偿，如未赔偿，采购人有权从履约保证金中扣除相应损失金额，不足部分，中标人应另行补足。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2.管理费每年支付一次，采用“先支付后使用”原则，首期管理费在合同签订后3日内缴纳。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3.中标人投放设备的位置和数量应提交招标人审核同意后方可摆放，具体数量在合同中约定。合同期内，如投放设备数量增加或减少，设备管理费用按照中标单价据实结算。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szCs w:val="18"/>
        </w:rPr>
      </w:pPr>
      <w:r>
        <w:rPr>
          <w:rFonts w:hint="eastAsia" w:ascii="宋体" w:hAnsi="宋体" w:eastAsia="宋体" w:cs="宋体"/>
          <w:sz w:val="24"/>
          <w:szCs w:val="18"/>
          <w:lang w:val="en-US" w:eastAsia="zh-CN"/>
        </w:rPr>
        <w:t>4.招标人仅提供自助机设备安装位置，若安装后政府相关部门（如消防）提出禁止在相应位置摆放自助售货机的，招标人可根据实际情况进行位置调整或取消摆放，如取消摆放，管理费依据中标单价进行调整，招标人不承担任何责任（结算依据：单台自助售货设备结算价格=中标单价/365天×实际摆放天数）。若最终因政府相关部门要求取消所有售货机的，中标人应按要求撤场,视为双方互不违约,</w:t>
      </w:r>
      <w:r>
        <w:rPr>
          <w:rFonts w:hint="eastAsia" w:ascii="宋体" w:hAnsi="宋体" w:eastAsia="宋体" w:cs="宋体"/>
          <w:sz w:val="24"/>
          <w:szCs w:val="18"/>
          <w:highlight w:val="none"/>
          <w:lang w:val="en-US" w:eastAsia="zh-CN"/>
        </w:rPr>
        <w:t>合同无条件解除</w:t>
      </w:r>
      <w:r>
        <w:rPr>
          <w:rFonts w:hint="eastAsia" w:ascii="宋体" w:hAnsi="宋体" w:eastAsia="宋体" w:cs="宋体"/>
          <w:sz w:val="24"/>
          <w:szCs w:val="18"/>
          <w:lang w:val="en-US" w:eastAsia="zh-CN"/>
        </w:rPr>
        <w:t>，管理费据实结算。</w:t>
      </w:r>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60638D"/>
    <w:rsid w:val="2888575B"/>
    <w:rsid w:val="28C91D61"/>
    <w:rsid w:val="2DC35BE2"/>
    <w:rsid w:val="2DFD6DA8"/>
    <w:rsid w:val="2F5C3B54"/>
    <w:rsid w:val="3401034F"/>
    <w:rsid w:val="365F5108"/>
    <w:rsid w:val="36F271E0"/>
    <w:rsid w:val="38451629"/>
    <w:rsid w:val="39202096"/>
    <w:rsid w:val="3956631D"/>
    <w:rsid w:val="39A323C9"/>
    <w:rsid w:val="3D995F73"/>
    <w:rsid w:val="3DD40ACC"/>
    <w:rsid w:val="3E7A3FF6"/>
    <w:rsid w:val="3F7C42B6"/>
    <w:rsid w:val="40821E95"/>
    <w:rsid w:val="4096487B"/>
    <w:rsid w:val="42331D89"/>
    <w:rsid w:val="425C413F"/>
    <w:rsid w:val="42654155"/>
    <w:rsid w:val="427A6373"/>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ECA65E6"/>
    <w:rsid w:val="6359495D"/>
    <w:rsid w:val="64E35622"/>
    <w:rsid w:val="65374BCA"/>
    <w:rsid w:val="6562740E"/>
    <w:rsid w:val="65CA16B3"/>
    <w:rsid w:val="65FC1861"/>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6"/>
    <w:autoRedefine/>
    <w:semiHidden/>
    <w:unhideWhenUsed/>
    <w:qFormat/>
    <w:uiPriority w:val="99"/>
    <w:pPr>
      <w:jc w:val="left"/>
    </w:pPr>
  </w:style>
  <w:style w:type="paragraph" w:styleId="8">
    <w:name w:val="Body Text"/>
    <w:basedOn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7"/>
    <w:next w:val="7"/>
    <w:link w:val="27"/>
    <w:autoRedefine/>
    <w:semiHidden/>
    <w:unhideWhenUsed/>
    <w:qFormat/>
    <w:uiPriority w:val="99"/>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paragraph" w:customStyle="1" w:styleId="2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3">
    <w:name w:val="页眉 Char"/>
    <w:basedOn w:val="20"/>
    <w:link w:val="12"/>
    <w:autoRedefine/>
    <w:qFormat/>
    <w:uiPriority w:val="99"/>
    <w:rPr>
      <w:sz w:val="18"/>
      <w:szCs w:val="18"/>
    </w:rPr>
  </w:style>
  <w:style w:type="character" w:customStyle="1" w:styleId="24">
    <w:name w:val="页脚 Char"/>
    <w:basedOn w:val="20"/>
    <w:link w:val="11"/>
    <w:autoRedefine/>
    <w:qFormat/>
    <w:uiPriority w:val="99"/>
    <w:rPr>
      <w:sz w:val="18"/>
      <w:szCs w:val="18"/>
    </w:rPr>
  </w:style>
  <w:style w:type="paragraph" w:customStyle="1" w:styleId="25">
    <w:name w:val="Char Char Char Char Char Char Char Char Char Char"/>
    <w:basedOn w:val="1"/>
    <w:autoRedefine/>
    <w:qFormat/>
    <w:uiPriority w:val="0"/>
    <w:rPr>
      <w:rFonts w:ascii="Tahoma" w:hAnsi="Tahoma" w:eastAsia="宋体" w:cs="仿宋_GB2312"/>
      <w:sz w:val="24"/>
      <w:szCs w:val="20"/>
    </w:rPr>
  </w:style>
  <w:style w:type="character" w:customStyle="1" w:styleId="26">
    <w:name w:val="批注文字 Char"/>
    <w:basedOn w:val="20"/>
    <w:link w:val="7"/>
    <w:autoRedefine/>
    <w:semiHidden/>
    <w:qFormat/>
    <w:uiPriority w:val="99"/>
  </w:style>
  <w:style w:type="character" w:customStyle="1" w:styleId="27">
    <w:name w:val="批注主题 Char"/>
    <w:basedOn w:val="26"/>
    <w:link w:val="17"/>
    <w:autoRedefine/>
    <w:semiHidden/>
    <w:qFormat/>
    <w:uiPriority w:val="99"/>
    <w:rPr>
      <w:b/>
      <w:bCs/>
    </w:rPr>
  </w:style>
  <w:style w:type="character" w:customStyle="1" w:styleId="28">
    <w:name w:val="批注框文本 Char"/>
    <w:basedOn w:val="20"/>
    <w:link w:val="10"/>
    <w:autoRedefine/>
    <w:semiHidden/>
    <w:qFormat/>
    <w:uiPriority w:val="99"/>
    <w:rPr>
      <w:sz w:val="18"/>
      <w:szCs w:val="18"/>
    </w:rPr>
  </w:style>
  <w:style w:type="paragraph" w:styleId="29">
    <w:name w:val="List Paragraph"/>
    <w:basedOn w:val="1"/>
    <w:autoRedefine/>
    <w:unhideWhenUsed/>
    <w:qFormat/>
    <w:uiPriority w:val="99"/>
    <w:pPr>
      <w:ind w:firstLine="420" w:firstLineChars="200"/>
    </w:pPr>
  </w:style>
  <w:style w:type="paragraph" w:customStyle="1" w:styleId="30">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1">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
    <w:name w:val="Char Char Char Char Char Char Char1 Char"/>
    <w:basedOn w:val="1"/>
    <w:autoRedefine/>
    <w:qFormat/>
    <w:uiPriority w:val="0"/>
    <w:rPr>
      <w:rFonts w:ascii="Tahoma" w:hAnsi="Tahoma"/>
      <w:sz w:val="24"/>
    </w:rPr>
  </w:style>
  <w:style w:type="character" w:customStyle="1" w:styleId="33">
    <w:name w:val="font21"/>
    <w:basedOn w:val="20"/>
    <w:autoRedefine/>
    <w:qFormat/>
    <w:uiPriority w:val="0"/>
    <w:rPr>
      <w:rFonts w:hint="eastAsia" w:ascii="宋体" w:hAnsi="宋体" w:eastAsia="宋体" w:cs="宋体"/>
      <w:b/>
      <w:bCs/>
      <w:color w:val="000000"/>
      <w:sz w:val="40"/>
      <w:szCs w:val="40"/>
      <w:u w:val="none"/>
    </w:rPr>
  </w:style>
  <w:style w:type="character" w:customStyle="1" w:styleId="34">
    <w:name w:val="font71"/>
    <w:basedOn w:val="20"/>
    <w:autoRedefine/>
    <w:qFormat/>
    <w:uiPriority w:val="0"/>
    <w:rPr>
      <w:rFonts w:hint="eastAsia" w:ascii="宋体" w:hAnsi="宋体" w:eastAsia="宋体" w:cs="宋体"/>
      <w:b/>
      <w:bCs/>
      <w:color w:val="000000"/>
      <w:sz w:val="40"/>
      <w:szCs w:val="40"/>
      <w:u w:val="single"/>
    </w:rPr>
  </w:style>
  <w:style w:type="character" w:customStyle="1" w:styleId="35">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6">
    <w:name w:val="font111"/>
    <w:basedOn w:val="20"/>
    <w:autoRedefine/>
    <w:qFormat/>
    <w:uiPriority w:val="0"/>
    <w:rPr>
      <w:rFonts w:hint="eastAsia" w:ascii="宋体" w:hAnsi="宋体" w:eastAsia="宋体" w:cs="宋体"/>
      <w:color w:val="000000"/>
      <w:sz w:val="40"/>
      <w:szCs w:val="40"/>
      <w:u w:val="single"/>
    </w:rPr>
  </w:style>
  <w:style w:type="character" w:customStyle="1" w:styleId="37">
    <w:name w:val="font141"/>
    <w:basedOn w:val="20"/>
    <w:autoRedefine/>
    <w:qFormat/>
    <w:uiPriority w:val="0"/>
    <w:rPr>
      <w:rFonts w:hint="eastAsia" w:ascii="宋体" w:hAnsi="宋体" w:eastAsia="宋体" w:cs="宋体"/>
      <w:color w:val="000000"/>
      <w:sz w:val="20"/>
      <w:szCs w:val="20"/>
      <w:u w:val="single"/>
    </w:rPr>
  </w:style>
  <w:style w:type="character" w:customStyle="1" w:styleId="38">
    <w:name w:val="font151"/>
    <w:basedOn w:val="20"/>
    <w:autoRedefine/>
    <w:qFormat/>
    <w:uiPriority w:val="0"/>
    <w:rPr>
      <w:rFonts w:hint="eastAsia" w:ascii="宋体" w:hAnsi="宋体" w:eastAsia="宋体" w:cs="宋体"/>
      <w:color w:val="000000"/>
      <w:sz w:val="20"/>
      <w:szCs w:val="20"/>
      <w:u w:val="single"/>
    </w:rPr>
  </w:style>
  <w:style w:type="paragraph" w:customStyle="1" w:styleId="39">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0">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0</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2025-08-05T06:22:45Z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