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left"/>
        <w:rPr>
          <w:rFonts w:hAnsi="DotumChe" w:cs="宋体"/>
          <w:b/>
          <w:color w:val="000000"/>
          <w:spacing w:val="20"/>
          <w:sz w:val="32"/>
          <w:szCs w:val="32"/>
          <w:highlight w:val="none"/>
        </w:rPr>
      </w:pPr>
      <w:r>
        <w:rPr>
          <w:rFonts w:hint="eastAsia" w:hAnsi="DotumChe" w:cs="宋体"/>
          <w:b/>
          <w:color w:val="000000"/>
          <w:spacing w:val="20"/>
          <w:sz w:val="32"/>
          <w:szCs w:val="32"/>
          <w:highlight w:val="none"/>
        </w:rPr>
        <w:t>项目名称：2024年公用公司排水设施（机械类）维保服务</w:t>
      </w:r>
    </w:p>
    <w:p>
      <w:pPr>
        <w:autoSpaceDE w:val="0"/>
        <w:autoSpaceDN w:val="0"/>
        <w:adjustRightInd w:val="0"/>
        <w:jc w:val="left"/>
        <w:rPr>
          <w:rFonts w:hint="eastAsia" w:hAnsi="DotumChe" w:eastAsia="宋体" w:cs="宋体"/>
          <w:b/>
          <w:color w:val="000000"/>
          <w:spacing w:val="20"/>
          <w:sz w:val="32"/>
          <w:szCs w:val="32"/>
          <w:highlight w:val="none"/>
          <w:lang w:eastAsia="zh-CN"/>
        </w:rPr>
      </w:pPr>
      <w:r>
        <w:rPr>
          <w:rFonts w:hint="eastAsia" w:hAnsi="DotumChe" w:cs="宋体"/>
          <w:b/>
          <w:color w:val="000000"/>
          <w:spacing w:val="20"/>
          <w:sz w:val="32"/>
          <w:szCs w:val="32"/>
          <w:highlight w:val="none"/>
        </w:rPr>
        <w:t>项目编号：GYGSZB-202</w:t>
      </w:r>
      <w:r>
        <w:rPr>
          <w:rFonts w:hint="eastAsia" w:hAnsi="DotumChe" w:cs="宋体"/>
          <w:b/>
          <w:color w:val="000000"/>
          <w:spacing w:val="20"/>
          <w:sz w:val="32"/>
          <w:szCs w:val="32"/>
          <w:highlight w:val="none"/>
          <w:lang w:val="en-US" w:eastAsia="zh-CN"/>
        </w:rPr>
        <w:t>4</w:t>
      </w:r>
      <w:r>
        <w:rPr>
          <w:rFonts w:hint="eastAsia" w:hAnsi="DotumChe" w:cs="宋体"/>
          <w:b/>
          <w:color w:val="000000"/>
          <w:spacing w:val="20"/>
          <w:sz w:val="32"/>
          <w:szCs w:val="32"/>
          <w:highlight w:val="none"/>
        </w:rPr>
        <w:t>00</w:t>
      </w:r>
      <w:r>
        <w:rPr>
          <w:rFonts w:hint="eastAsia" w:hAnsi="DotumChe" w:cs="宋体"/>
          <w:b/>
          <w:color w:val="000000"/>
          <w:spacing w:val="20"/>
          <w:sz w:val="32"/>
          <w:szCs w:val="32"/>
          <w:highlight w:val="none"/>
          <w:lang w:val="en-US" w:eastAsia="zh-CN"/>
        </w:rPr>
        <w:t>1</w:t>
      </w:r>
    </w:p>
    <w:p>
      <w:pPr>
        <w:tabs>
          <w:tab w:val="left" w:pos="2410"/>
        </w:tabs>
        <w:autoSpaceDE w:val="0"/>
        <w:autoSpaceDN w:val="0"/>
        <w:adjustRightInd w:val="0"/>
        <w:snapToGrid w:val="0"/>
        <w:spacing w:line="360" w:lineRule="auto"/>
        <w:jc w:val="left"/>
        <w:rPr>
          <w:rFonts w:hAnsi="DotumChe" w:cs="宋体"/>
          <w:b/>
          <w:color w:val="000000"/>
          <w:spacing w:val="20"/>
          <w:sz w:val="32"/>
          <w:szCs w:val="32"/>
          <w:highlight w:val="none"/>
        </w:rPr>
      </w:pPr>
      <w:r>
        <w:rPr>
          <w:rFonts w:hint="eastAsia" w:hAnsi="DotumChe" w:cs="宋体"/>
          <w:b/>
          <w:color w:val="000000"/>
          <w:spacing w:val="20"/>
          <w:sz w:val="32"/>
          <w:szCs w:val="32"/>
          <w:highlight w:val="none"/>
        </w:rPr>
        <w:t>采购时间：202</w:t>
      </w:r>
      <w:r>
        <w:rPr>
          <w:rFonts w:hint="eastAsia" w:hAnsi="DotumChe" w:cs="宋体"/>
          <w:b/>
          <w:color w:val="000000"/>
          <w:spacing w:val="20"/>
          <w:sz w:val="32"/>
          <w:szCs w:val="32"/>
          <w:highlight w:val="none"/>
          <w:lang w:val="en-US" w:eastAsia="zh-CN"/>
        </w:rPr>
        <w:t>4</w:t>
      </w:r>
      <w:r>
        <w:rPr>
          <w:rFonts w:hint="eastAsia" w:hAnsi="DotumChe" w:cs="宋体"/>
          <w:b/>
          <w:color w:val="000000"/>
          <w:spacing w:val="20"/>
          <w:sz w:val="32"/>
          <w:szCs w:val="32"/>
          <w:highlight w:val="none"/>
        </w:rPr>
        <w:t>年</w:t>
      </w:r>
      <w:r>
        <w:rPr>
          <w:rFonts w:hint="eastAsia" w:hAnsi="DotumChe" w:cs="宋体"/>
          <w:b/>
          <w:color w:val="000000"/>
          <w:spacing w:val="20"/>
          <w:sz w:val="32"/>
          <w:szCs w:val="32"/>
          <w:highlight w:val="none"/>
          <w:lang w:val="en-US" w:eastAsia="zh-CN"/>
        </w:rPr>
        <w:t>1</w:t>
      </w:r>
      <w:r>
        <w:rPr>
          <w:rFonts w:hint="eastAsia" w:hAnsi="DotumChe" w:cs="宋体"/>
          <w:b/>
          <w:color w:val="000000"/>
          <w:spacing w:val="20"/>
          <w:sz w:val="32"/>
          <w:szCs w:val="32"/>
          <w:highlight w:val="none"/>
        </w:rPr>
        <w:t>月</w:t>
      </w:r>
    </w:p>
    <w:p>
      <w:pPr>
        <w:pStyle w:val="24"/>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2"/>
        <w:tabs>
          <w:tab w:val="right" w:leader="dot" w:pos="9628"/>
        </w:tabs>
        <w:spacing w:line="360" w:lineRule="auto"/>
        <w:rPr>
          <w:rStyle w:val="72"/>
          <w:color w:val="000000"/>
          <w:sz w:val="28"/>
          <w:szCs w:val="28"/>
          <w:highlight w:val="none"/>
          <w:u w:val="none"/>
        </w:rPr>
      </w:pPr>
      <w:bookmarkStart w:id="0" w:name="_Hlt519045295"/>
      <w:bookmarkEnd w:id="0"/>
      <w:bookmarkStart w:id="1" w:name="_Hlt526418134"/>
      <w:bookmarkEnd w:id="1"/>
      <w:bookmarkStart w:id="2" w:name="_Hlt533241375"/>
      <w:bookmarkEnd w:id="2"/>
      <w:r>
        <w:rPr>
          <w:rStyle w:val="72"/>
          <w:rFonts w:hint="eastAsia"/>
          <w:color w:val="000000"/>
          <w:sz w:val="28"/>
          <w:szCs w:val="28"/>
          <w:highlight w:val="none"/>
          <w:u w:val="none"/>
        </w:rPr>
        <w:t>一、投标公告......... .... .... .... ................................3</w:t>
      </w:r>
    </w:p>
    <w:p>
      <w:pPr>
        <w:pStyle w:val="42"/>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72"/>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2"/>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72"/>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4"/>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72"/>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4"/>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72"/>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2"/>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72"/>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4"/>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72"/>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4"/>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72"/>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4"/>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72"/>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2"/>
        <w:tabs>
          <w:tab w:val="right" w:leader="dot" w:pos="8965"/>
        </w:tabs>
        <w:rPr>
          <w:rStyle w:val="72"/>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72"/>
          <w:rFonts w:hint="eastAsia" w:hAnsi="宋体"/>
          <w:color w:val="000000"/>
          <w:sz w:val="28"/>
          <w:szCs w:val="28"/>
          <w:highlight w:val="none"/>
        </w:rPr>
        <w:t>四</w:t>
      </w:r>
      <w:r>
        <w:rPr>
          <w:rStyle w:val="72"/>
          <w:rFonts w:hAnsi="宋体"/>
          <w:color w:val="000000"/>
          <w:sz w:val="28"/>
          <w:szCs w:val="28"/>
          <w:highlight w:val="none"/>
        </w:rPr>
        <w:t>、</w:t>
      </w:r>
      <w:r>
        <w:rPr>
          <w:rStyle w:val="72"/>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2"/>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72"/>
          <w:rFonts w:hint="eastAsia" w:hAnsi="宋体"/>
          <w:color w:val="000000"/>
          <w:sz w:val="28"/>
          <w:szCs w:val="28"/>
          <w:highlight w:val="none"/>
        </w:rPr>
        <w:t>五、采购</w:t>
      </w:r>
      <w:bookmarkStart w:id="3" w:name="_Hlt527617983"/>
      <w:bookmarkStart w:id="4" w:name="_Hlt527617982"/>
      <w:r>
        <w:rPr>
          <w:rStyle w:val="72"/>
          <w:rFonts w:hint="eastAsia" w:hAnsi="宋体"/>
          <w:color w:val="000000"/>
          <w:sz w:val="28"/>
          <w:szCs w:val="28"/>
          <w:highlight w:val="none"/>
        </w:rPr>
        <w:t>需</w:t>
      </w:r>
      <w:bookmarkEnd w:id="3"/>
      <w:bookmarkEnd w:id="4"/>
      <w:r>
        <w:rPr>
          <w:rStyle w:val="72"/>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2"/>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72"/>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2"/>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2"/>
        <w:tabs>
          <w:tab w:val="right" w:leader="dot" w:pos="9628"/>
        </w:tabs>
        <w:spacing w:before="0" w:after="0" w:line="480" w:lineRule="auto"/>
        <w:jc w:val="center"/>
        <w:outlineLvl w:val="0"/>
        <w:rPr>
          <w:rFonts w:hAnsi="宋体" w:cs="宋体"/>
          <w:bCs/>
          <w:caps w:val="0"/>
          <w:color w:val="000000"/>
          <w:sz w:val="28"/>
          <w:highlight w:val="none"/>
        </w:rPr>
      </w:pPr>
    </w:p>
    <w:p>
      <w:pPr>
        <w:pStyle w:val="42"/>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widowControl/>
        <w:spacing w:line="440" w:lineRule="exact"/>
        <w:ind w:firstLine="438" w:firstLineChars="200"/>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合肥经济技术开发区公用事业发展有限公司 （以下简称公用公司）</w:t>
      </w:r>
      <w:r>
        <w:rPr>
          <w:rFonts w:hint="eastAsia" w:hAnsi="宋体" w:cs="宋体"/>
          <w:color w:val="000000"/>
          <w:highlight w:val="none"/>
        </w:rPr>
        <w:t>“2024年公用公司排水设施（机械类）维保服务”项目进行公开招标，欢迎符合条件的单位参加报价。</w:t>
      </w:r>
    </w:p>
    <w:p>
      <w:pPr>
        <w:autoSpaceDE w:val="0"/>
        <w:autoSpaceDN w:val="0"/>
        <w:adjustRightInd w:val="0"/>
        <w:spacing w:line="360" w:lineRule="auto"/>
        <w:ind w:firstLine="215" w:firstLineChars="98"/>
        <w:jc w:val="left"/>
        <w:rPr>
          <w:rFonts w:hAnsi="宋体"/>
          <w:b/>
          <w:bCs/>
          <w:color w:val="000000"/>
          <w:szCs w:val="18"/>
          <w:highlight w:val="none"/>
        </w:rPr>
      </w:pPr>
      <w:r>
        <w:rPr>
          <w:rFonts w:hint="eastAsia" w:hAnsi="宋体"/>
          <w:b/>
          <w:bCs/>
          <w:color w:val="000000"/>
          <w:szCs w:val="18"/>
          <w:highlight w:val="none"/>
        </w:rPr>
        <w:t>（一）项目名称及内容</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1、项目编号： GYGSZB-202</w:t>
      </w:r>
      <w:r>
        <w:rPr>
          <w:rFonts w:hint="eastAsia" w:hAnsi="宋体"/>
          <w:color w:val="000000"/>
          <w:szCs w:val="18"/>
          <w:highlight w:val="none"/>
          <w:lang w:val="en-US" w:eastAsia="zh-CN"/>
        </w:rPr>
        <w:t>4</w:t>
      </w:r>
      <w:r>
        <w:rPr>
          <w:rFonts w:hint="eastAsia" w:hAnsi="宋体"/>
          <w:color w:val="000000"/>
          <w:szCs w:val="18"/>
          <w:highlight w:val="none"/>
        </w:rPr>
        <w:t>00</w:t>
      </w:r>
      <w:r>
        <w:rPr>
          <w:rFonts w:hint="eastAsia" w:hAnsi="宋体"/>
          <w:color w:val="000000"/>
          <w:szCs w:val="18"/>
          <w:highlight w:val="none"/>
          <w:lang w:val="en-US" w:eastAsia="zh-CN"/>
        </w:rPr>
        <w:t>1</w:t>
      </w:r>
    </w:p>
    <w:p>
      <w:pPr>
        <w:autoSpaceDE w:val="0"/>
        <w:autoSpaceDN w:val="0"/>
        <w:adjustRightInd w:val="0"/>
        <w:spacing w:line="360" w:lineRule="auto"/>
        <w:ind w:firstLine="438" w:firstLineChars="200"/>
        <w:jc w:val="left"/>
        <w:rPr>
          <w:rFonts w:hAnsi="宋体" w:cs="宋体"/>
          <w:b/>
          <w:color w:val="000000"/>
          <w:highlight w:val="none"/>
        </w:rPr>
      </w:pPr>
      <w:r>
        <w:rPr>
          <w:rFonts w:hint="eastAsia" w:hAnsi="宋体"/>
          <w:color w:val="000000"/>
          <w:szCs w:val="18"/>
          <w:highlight w:val="none"/>
        </w:rPr>
        <w:t>2、项目名称：</w:t>
      </w:r>
      <w:r>
        <w:rPr>
          <w:rFonts w:hint="eastAsia" w:hAnsi="宋体" w:cs="宋体"/>
          <w:color w:val="000000"/>
          <w:highlight w:val="none"/>
        </w:rPr>
        <w:t>2024年公用公司排水设施（机械类）维保服务</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4、项目单位：合肥经济技术开发区公用事业发展有限公司 （以下简称公用公司）</w:t>
      </w:r>
    </w:p>
    <w:p>
      <w:pPr>
        <w:autoSpaceDE w:val="0"/>
        <w:autoSpaceDN w:val="0"/>
        <w:adjustRightInd w:val="0"/>
        <w:spacing w:line="360" w:lineRule="auto"/>
        <w:ind w:firstLine="398" w:firstLineChars="182"/>
        <w:jc w:val="left"/>
        <w:rPr>
          <w:rFonts w:hAnsi="宋体"/>
          <w:szCs w:val="18"/>
          <w:highlight w:val="none"/>
        </w:rPr>
      </w:pPr>
      <w:r>
        <w:rPr>
          <w:rFonts w:hint="eastAsia" w:hAnsi="宋体"/>
          <w:color w:val="000000"/>
          <w:szCs w:val="18"/>
          <w:highlight w:val="none"/>
        </w:rPr>
        <w:t>5、项目概况：</w:t>
      </w:r>
      <w:r>
        <w:rPr>
          <w:rFonts w:hint="eastAsia" w:ascii="宋体" w:hAnsi="宋体" w:eastAsia="宋体" w:cs="Times New Roman"/>
          <w:sz w:val="24"/>
          <w:szCs w:val="20"/>
          <w:highlight w:val="none"/>
        </w:rPr>
        <w:t>公用公司所管理的泵站、水闸、水处理设施的机械类设备，在日常运行中需按设备要求进行定期保养，出现故障须快速维修或更换配件，保障设备随时能够正常使用，需采购一家技术熟练、业务范围广的服务单位，提供排水设施（机械类）维保服务。</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7、项目预算：2</w:t>
      </w:r>
      <w:r>
        <w:rPr>
          <w:rFonts w:hint="eastAsia" w:hAnsi="宋体"/>
          <w:color w:val="000000"/>
          <w:szCs w:val="18"/>
          <w:highlight w:val="none"/>
          <w:lang w:val="en-US" w:eastAsia="zh-CN"/>
        </w:rPr>
        <w:t>8.3</w:t>
      </w:r>
      <w:r>
        <w:rPr>
          <w:rFonts w:hint="eastAsia" w:hAnsi="宋体"/>
          <w:color w:val="000000"/>
          <w:szCs w:val="18"/>
          <w:highlight w:val="none"/>
        </w:rPr>
        <w:t>万元。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8、项目类别：服务类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autoSpaceDE w:val="0"/>
        <w:autoSpaceDN w:val="0"/>
        <w:adjustRightInd w:val="0"/>
        <w:spacing w:line="360" w:lineRule="auto"/>
        <w:jc w:val="left"/>
        <w:rPr>
          <w:rFonts w:hint="eastAsia" w:ascii="宋体" w:hAnsi="宋体"/>
          <w:sz w:val="24"/>
          <w:szCs w:val="22"/>
          <w:highlight w:val="none"/>
          <w:lang w:val="en-US" w:eastAsia="zh-CN"/>
        </w:rPr>
      </w:pPr>
      <w:r>
        <w:rPr>
          <w:rFonts w:hint="eastAsia" w:hAnsi="宋体"/>
          <w:color w:val="000000"/>
          <w:szCs w:val="18"/>
          <w:highlight w:val="none"/>
        </w:rPr>
        <w:t>2、</w:t>
      </w:r>
      <w:r>
        <w:rPr>
          <w:rFonts w:hint="eastAsia" w:ascii="宋体" w:hAnsi="宋体"/>
          <w:sz w:val="24"/>
          <w:szCs w:val="22"/>
          <w:highlight w:val="none"/>
          <w:lang w:val="en-US" w:eastAsia="zh-CN"/>
        </w:rPr>
        <w:t>经营范围需包含“电机、电泵、水处理设备”销售、维修。</w:t>
      </w:r>
    </w:p>
    <w:p>
      <w:pPr>
        <w:spacing w:line="360" w:lineRule="auto"/>
        <w:rPr>
          <w:rFonts w:hAnsi="宋体"/>
          <w:color w:val="000000"/>
          <w:szCs w:val="18"/>
          <w:highlight w:val="none"/>
        </w:rPr>
      </w:pPr>
      <w:r>
        <w:rPr>
          <w:rFonts w:hint="eastAsia" w:hAnsi="宋体"/>
          <w:color w:val="000000"/>
          <w:szCs w:val="18"/>
          <w:highlight w:val="none"/>
        </w:rPr>
        <w:t>3、</w:t>
      </w:r>
      <w:r>
        <w:rPr>
          <w:rFonts w:hint="eastAsia" w:ascii="宋体" w:hAnsi="宋体" w:eastAsia="宋体" w:cs="宋体"/>
          <w:sz w:val="24"/>
          <w:szCs w:val="24"/>
          <w:highlight w:val="none"/>
        </w:rPr>
        <w:t>投标人指定的项目负责人需具有高级机电工程师或高级电工资格证书。</w:t>
      </w:r>
    </w:p>
    <w:p>
      <w:pPr>
        <w:autoSpaceDE w:val="0"/>
        <w:autoSpaceDN w:val="0"/>
        <w:adjustRightInd w:val="0"/>
        <w:spacing w:line="360" w:lineRule="auto"/>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color w:val="000000"/>
          <w:szCs w:val="18"/>
          <w:highlight w:val="none"/>
          <w:u w:val="single"/>
        </w:rPr>
      </w:pPr>
      <w:r>
        <w:rPr>
          <w:rFonts w:hint="eastAsia" w:hAnsi="宋体"/>
          <w:color w:val="000000"/>
          <w:szCs w:val="18"/>
          <w:highlight w:val="none"/>
        </w:rPr>
        <w:t>1、开标时间：202</w:t>
      </w:r>
      <w:r>
        <w:rPr>
          <w:rFonts w:hint="eastAsia" w:hAnsi="宋体"/>
          <w:color w:val="000000"/>
          <w:szCs w:val="18"/>
          <w:highlight w:val="none"/>
          <w:lang w:val="en-US" w:eastAsia="zh-CN"/>
        </w:rPr>
        <w:t>4</w:t>
      </w:r>
      <w:r>
        <w:rPr>
          <w:rFonts w:hint="eastAsia" w:hAnsi="宋体"/>
          <w:color w:val="000000"/>
          <w:szCs w:val="18"/>
          <w:highlight w:val="none"/>
        </w:rPr>
        <w:t xml:space="preserve">年 </w:t>
      </w:r>
      <w:r>
        <w:rPr>
          <w:rFonts w:hint="eastAsia" w:hAnsi="宋体"/>
          <w:color w:val="000000"/>
          <w:szCs w:val="18"/>
          <w:highlight w:val="none"/>
          <w:lang w:val="en-US" w:eastAsia="zh-CN"/>
        </w:rPr>
        <w:t>1</w:t>
      </w:r>
      <w:r>
        <w:rPr>
          <w:rFonts w:hint="eastAsia" w:hAnsi="宋体"/>
          <w:color w:val="000000"/>
          <w:szCs w:val="18"/>
          <w:highlight w:val="none"/>
        </w:rPr>
        <w:t xml:space="preserve">  月 </w:t>
      </w:r>
      <w:r>
        <w:rPr>
          <w:rFonts w:hint="eastAsia" w:hAnsi="宋体"/>
          <w:color w:val="000000"/>
          <w:szCs w:val="18"/>
          <w:highlight w:val="none"/>
          <w:lang w:val="en-US" w:eastAsia="zh-CN"/>
        </w:rPr>
        <w:t>24</w:t>
      </w:r>
      <w:r>
        <w:rPr>
          <w:rFonts w:hint="eastAsia" w:hAnsi="宋体"/>
          <w:color w:val="000000"/>
          <w:szCs w:val="18"/>
          <w:highlight w:val="none"/>
        </w:rPr>
        <w:t xml:space="preserve">  日</w:t>
      </w:r>
      <w:r>
        <w:rPr>
          <w:rFonts w:hint="eastAsia" w:hAnsi="宋体"/>
          <w:color w:val="000000"/>
          <w:szCs w:val="18"/>
          <w:highlight w:val="none"/>
          <w:lang w:val="en-US" w:eastAsia="zh-CN"/>
        </w:rPr>
        <w:t>9</w:t>
      </w:r>
      <w:r>
        <w:rPr>
          <w:rFonts w:hint="eastAsia" w:hAnsi="宋体"/>
          <w:color w:val="000000"/>
          <w:szCs w:val="18"/>
          <w:highlight w:val="none"/>
        </w:rPr>
        <w:t xml:space="preserve">：00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2、开标地点：合肥经济技术开发区繁华大道266号合肥经济技术开发区公用事业发展有限公司314开标室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（一）项目单位：合肥经济技术开发区公用事业发展有限公司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w:t>
      </w:r>
    </w:p>
    <w:p>
      <w:pPr>
        <w:widowControl/>
        <w:spacing w:line="440" w:lineRule="exact"/>
        <w:ind w:firstLine="438" w:firstLineChars="200"/>
        <w:jc w:val="left"/>
        <w:rPr>
          <w:rFonts w:hAnsi="宋体" w:cs="宋体"/>
          <w:highlight w:val="none"/>
        </w:rPr>
      </w:pPr>
      <w:r>
        <w:rPr>
          <w:rFonts w:hint="eastAsia" w:hAnsi="宋体" w:cs="宋体"/>
          <w:highlight w:val="none"/>
        </w:rPr>
        <w:t xml:space="preserve">项目采购联系人：张静 </w:t>
      </w:r>
      <w:r>
        <w:rPr>
          <w:rFonts w:hAnsi="宋体" w:cs="宋体"/>
          <w:highlight w:val="none"/>
        </w:rPr>
        <w:t xml:space="preserve"> </w:t>
      </w:r>
      <w:r>
        <w:rPr>
          <w:rFonts w:hint="eastAsia" w:hAnsi="宋体" w:cs="宋体"/>
          <w:highlight w:val="none"/>
        </w:rPr>
        <w:t xml:space="preserve">   电话：0551-6381</w:t>
      </w:r>
      <w:r>
        <w:rPr>
          <w:rFonts w:hAnsi="宋体" w:cs="宋体"/>
          <w:highlight w:val="none"/>
        </w:rPr>
        <w:t>1071</w:t>
      </w:r>
      <w:r>
        <w:rPr>
          <w:rFonts w:hint="eastAsia" w:hAnsi="宋体" w:cs="宋体"/>
          <w:color w:val="000000"/>
          <w:szCs w:val="21"/>
          <w:highlight w:val="none"/>
        </w:rPr>
        <w:t xml:space="preserve">  </w:t>
      </w:r>
    </w:p>
    <w:p>
      <w:pPr>
        <w:widowControl/>
        <w:spacing w:line="440" w:lineRule="exact"/>
        <w:ind w:firstLine="438"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方杉林</w:t>
      </w:r>
      <w:r>
        <w:rPr>
          <w:rFonts w:hAnsi="宋体" w:cs="宋体"/>
          <w:highlight w:val="none"/>
        </w:rPr>
        <w:t xml:space="preserve"> </w:t>
      </w:r>
      <w:r>
        <w:rPr>
          <w:rFonts w:hint="eastAsia" w:hAnsi="宋体" w:cs="宋体"/>
          <w:highlight w:val="none"/>
        </w:rPr>
        <w:t xml:space="preserve">  电话：0551-6381</w:t>
      </w:r>
      <w:r>
        <w:rPr>
          <w:rFonts w:hint="eastAsia" w:hAnsi="宋体" w:cs="宋体"/>
          <w:highlight w:val="none"/>
          <w:lang w:val="en-US" w:eastAsia="zh-CN"/>
        </w:rPr>
        <w:t>5855</w:t>
      </w:r>
      <w:r>
        <w:rPr>
          <w:rFonts w:hint="eastAsia" w:hAnsi="宋体" w:cs="宋体"/>
          <w:color w:val="000000"/>
          <w:szCs w:val="21"/>
          <w:highlight w:val="none"/>
        </w:rPr>
        <w:t xml:space="preserve">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s="宋体"/>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5"/>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4"/>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4"/>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合肥经济技术开发区公用事业发展有限公司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4"/>
              <w:widowControl w:val="0"/>
              <w:spacing w:before="0" w:beforeAutospacing="0" w:after="0" w:afterAutospacing="0" w:line="360" w:lineRule="auto"/>
              <w:jc w:val="both"/>
              <w:rPr>
                <w:rFonts w:hint="eastAsia" w:eastAsia="宋体"/>
                <w:b w:val="0"/>
                <w:bCs w:val="0"/>
                <w:color w:val="000000"/>
                <w:sz w:val="24"/>
                <w:szCs w:val="24"/>
                <w:highlight w:val="none"/>
                <w:lang w:eastAsia="zh-CN"/>
              </w:rPr>
            </w:pPr>
            <w:r>
              <w:rPr>
                <w:rFonts w:hint="eastAsia"/>
                <w:b w:val="0"/>
                <w:bCs w:val="0"/>
                <w:color w:val="000000"/>
                <w:sz w:val="24"/>
                <w:szCs w:val="18"/>
                <w:highlight w:val="none"/>
              </w:rPr>
              <w:t>2024年公用公司排水设施（机械类）维保服务GYGSZB-202</w:t>
            </w:r>
            <w:r>
              <w:rPr>
                <w:rFonts w:hint="eastAsia"/>
                <w:b w:val="0"/>
                <w:bCs w:val="0"/>
                <w:color w:val="000000"/>
                <w:sz w:val="24"/>
                <w:szCs w:val="18"/>
                <w:highlight w:val="none"/>
                <w:lang w:val="en-US" w:eastAsia="zh-CN"/>
              </w:rPr>
              <w:t>4</w:t>
            </w:r>
            <w:r>
              <w:rPr>
                <w:rFonts w:hint="eastAsia"/>
                <w:b w:val="0"/>
                <w:bCs w:val="0"/>
                <w:color w:val="000000"/>
                <w:sz w:val="24"/>
                <w:szCs w:val="18"/>
                <w:highlight w:val="none"/>
              </w:rPr>
              <w:t>00</w:t>
            </w:r>
            <w:r>
              <w:rPr>
                <w:rFonts w:hint="eastAsia"/>
                <w:b w:val="0"/>
                <w:bCs w:val="0"/>
                <w:color w:val="000000"/>
                <w:sz w:val="24"/>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highlight w:val="none"/>
              </w:rPr>
            </w:pPr>
            <w:r>
              <w:rPr>
                <w:rFonts w:hint="eastAsia" w:hAnsi="宋体"/>
                <w:highlight w:val="none"/>
              </w:rPr>
              <w:t>供应商资格</w:t>
            </w:r>
          </w:p>
        </w:tc>
        <w:tc>
          <w:tcPr>
            <w:tcW w:w="7223" w:type="dxa"/>
            <w:vAlign w:val="center"/>
          </w:tcPr>
          <w:p>
            <w:pPr>
              <w:autoSpaceDE w:val="0"/>
              <w:autoSpaceDN w:val="0"/>
              <w:adjustRightInd w:val="0"/>
              <w:spacing w:line="360" w:lineRule="auto"/>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spacing w:line="360" w:lineRule="auto"/>
              <w:rPr>
                <w:rFonts w:hint="eastAsia" w:ascii="宋体" w:hAnsi="宋体" w:eastAsia="宋体" w:cs="宋体"/>
                <w:sz w:val="24"/>
                <w:szCs w:val="24"/>
                <w:highlight w:val="none"/>
              </w:rPr>
            </w:pPr>
            <w:r>
              <w:rPr>
                <w:rFonts w:hint="eastAsia" w:hAnsi="宋体" w:eastAsia="宋体"/>
                <w:color w:val="000000"/>
                <w:szCs w:val="18"/>
                <w:highlight w:val="none"/>
                <w:lang w:val="en-US" w:eastAsia="zh-CN"/>
              </w:rPr>
              <w:t>2</w:t>
            </w:r>
            <w:r>
              <w:rPr>
                <w:rFonts w:hint="eastAsia" w:ascii="宋体" w:hAnsi="宋体" w:eastAsia="宋体" w:cs="宋体"/>
                <w:sz w:val="24"/>
                <w:szCs w:val="24"/>
                <w:highlight w:val="none"/>
              </w:rPr>
              <w:t>、投标人指定的项目负责人需具有高级机电工程师或高级电工资格证书。</w:t>
            </w:r>
          </w:p>
          <w:p>
            <w:pPr>
              <w:spacing w:line="360" w:lineRule="auto"/>
              <w:rPr>
                <w:b/>
                <w:bCs/>
                <w:color w:val="000000"/>
                <w:szCs w:val="24"/>
                <w:highlight w:val="none"/>
              </w:rPr>
            </w:pPr>
            <w:r>
              <w:rPr>
                <w:rFonts w:hint="eastAsia" w:ascii="宋体" w:hAnsi="宋体" w:eastAsia="宋体" w:cs="宋体"/>
                <w:sz w:val="24"/>
                <w:szCs w:val="24"/>
                <w:highlight w:val="none"/>
                <w:lang w:val="en-US" w:eastAsia="zh-CN"/>
              </w:rPr>
              <w:t>3、</w:t>
            </w:r>
            <w:r>
              <w:rPr>
                <w:rFonts w:hint="eastAsia" w:ascii="宋体" w:hAnsi="宋体"/>
                <w:sz w:val="24"/>
                <w:szCs w:val="22"/>
                <w:highlight w:val="none"/>
                <w:lang w:val="en-US" w:eastAsia="zh-CN"/>
              </w:rPr>
              <w:t>经营范围需包含“电机、电泵、水处理设备”销售、维修。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4"/>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4"/>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4"/>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vAlign w:val="center"/>
          </w:tcPr>
          <w:p>
            <w:pPr>
              <w:autoSpaceDE w:val="0"/>
              <w:autoSpaceDN w:val="0"/>
              <w:adjustRightInd w:val="0"/>
              <w:spacing w:line="360" w:lineRule="auto"/>
              <w:jc w:val="left"/>
              <w:rPr>
                <w:rFonts w:ascii="宋体" w:hAnsi="宋体" w:eastAsia="宋体" w:cs="Times New Roman"/>
                <w:sz w:val="24"/>
                <w:szCs w:val="18"/>
                <w:highlight w:val="none"/>
                <w:lang w:val="en-US" w:eastAsia="zh-CN" w:bidi="ar-SA"/>
              </w:rPr>
            </w:pPr>
            <w:r>
              <w:rPr>
                <w:rFonts w:hint="eastAsia" w:ascii="宋体" w:hAnsi="宋体" w:eastAsia="宋体" w:cs="Times New Roman"/>
                <w:sz w:val="24"/>
                <w:szCs w:val="18"/>
                <w:highlight w:val="none"/>
              </w:rPr>
              <w:t>采购人各项目负责人通过任务单方式向中标人下达维保工作任务，中标人每季度将发生的工作量按投标报价结算，同采购人维修结果确认单一起报送采购人，采购人审核后按决算价支付70%费用。采购人收到决算后一周内将决算报第三方审计。审计完成后30日内支付至审计额的95%，其余部分质保期满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pStyle w:val="185"/>
              <w:numPr>
                <w:ilvl w:val="0"/>
                <w:numId w:val="2"/>
              </w:numPr>
              <w:spacing w:line="360" w:lineRule="auto"/>
              <w:ind w:firstLine="0" w:firstLineChars="0"/>
              <w:rPr>
                <w:rFonts w:hint="eastAsia" w:ascii="宋体" w:hAnsi="宋体"/>
                <w:sz w:val="24"/>
                <w:szCs w:val="24"/>
                <w:highlight w:val="none"/>
              </w:rPr>
            </w:pPr>
            <w:r>
              <w:rPr>
                <w:rFonts w:hint="eastAsia" w:ascii="宋体" w:hAnsi="宋体"/>
                <w:sz w:val="24"/>
                <w:highlight w:val="none"/>
                <w:lang w:val="zh-CN"/>
              </w:rPr>
              <w:t>合同期</w:t>
            </w:r>
            <w:r>
              <w:rPr>
                <w:rFonts w:hint="eastAsia" w:ascii="宋体" w:hAnsi="宋体"/>
                <w:sz w:val="24"/>
                <w:szCs w:val="24"/>
                <w:highlight w:val="none"/>
              </w:rPr>
              <w:t>2</w:t>
            </w:r>
            <w:r>
              <w:rPr>
                <w:rFonts w:ascii="宋体" w:hAnsi="宋体"/>
                <w:sz w:val="24"/>
                <w:szCs w:val="24"/>
                <w:highlight w:val="none"/>
              </w:rPr>
              <w:t>02</w:t>
            </w:r>
            <w:r>
              <w:rPr>
                <w:rFonts w:hint="eastAsia" w:ascii="宋体" w:hAnsi="宋体"/>
                <w:sz w:val="24"/>
                <w:szCs w:val="24"/>
                <w:highlight w:val="none"/>
                <w:lang w:val="en-US" w:eastAsia="zh-CN"/>
              </w:rPr>
              <w:t>4</w:t>
            </w:r>
            <w:r>
              <w:rPr>
                <w:rFonts w:hint="eastAsia" w:ascii="宋体" w:hAnsi="宋体"/>
                <w:sz w:val="24"/>
                <w:szCs w:val="24"/>
                <w:highlight w:val="none"/>
              </w:rPr>
              <w:t>年</w:t>
            </w:r>
            <w:r>
              <w:rPr>
                <w:rFonts w:hint="eastAsia" w:ascii="宋体" w:hAnsi="宋体"/>
                <w:sz w:val="24"/>
                <w:szCs w:val="24"/>
                <w:highlight w:val="none"/>
                <w:lang w:val="en-US" w:eastAsia="zh-CN"/>
              </w:rPr>
              <w:t>2</w:t>
            </w:r>
            <w:r>
              <w:rPr>
                <w:rFonts w:hint="eastAsia" w:ascii="宋体" w:hAnsi="宋体"/>
                <w:sz w:val="24"/>
                <w:szCs w:val="24"/>
                <w:highlight w:val="none"/>
              </w:rPr>
              <w:t>月</w:t>
            </w:r>
            <w:r>
              <w:rPr>
                <w:rFonts w:hint="eastAsia" w:ascii="宋体" w:hAnsi="宋体"/>
                <w:sz w:val="24"/>
                <w:szCs w:val="24"/>
                <w:highlight w:val="none"/>
                <w:lang w:val="en-US" w:eastAsia="zh-CN"/>
              </w:rPr>
              <w:t>29</w:t>
            </w:r>
            <w:r>
              <w:rPr>
                <w:rFonts w:hint="eastAsia" w:ascii="宋体" w:hAnsi="宋体"/>
                <w:sz w:val="24"/>
                <w:szCs w:val="24"/>
                <w:highlight w:val="none"/>
              </w:rPr>
              <w:t>日至2</w:t>
            </w:r>
            <w:r>
              <w:rPr>
                <w:rFonts w:ascii="宋体" w:hAnsi="宋体"/>
                <w:sz w:val="24"/>
                <w:szCs w:val="24"/>
                <w:highlight w:val="none"/>
              </w:rPr>
              <w:t>02</w:t>
            </w:r>
            <w:r>
              <w:rPr>
                <w:rFonts w:hint="eastAsia" w:ascii="宋体" w:hAnsi="宋体"/>
                <w:sz w:val="24"/>
                <w:szCs w:val="24"/>
                <w:highlight w:val="none"/>
                <w:lang w:val="en-US" w:eastAsia="zh-CN"/>
              </w:rPr>
              <w:t>5</w:t>
            </w:r>
            <w:r>
              <w:rPr>
                <w:rFonts w:hint="eastAsia" w:ascii="宋体" w:hAnsi="宋体"/>
                <w:sz w:val="24"/>
                <w:szCs w:val="24"/>
                <w:highlight w:val="none"/>
              </w:rPr>
              <w:t>年</w:t>
            </w:r>
            <w:r>
              <w:rPr>
                <w:rFonts w:hint="eastAsia" w:ascii="宋体" w:hAnsi="宋体"/>
                <w:sz w:val="24"/>
                <w:szCs w:val="24"/>
                <w:highlight w:val="none"/>
                <w:lang w:val="en-US" w:eastAsia="zh-CN"/>
              </w:rPr>
              <w:t>2</w:t>
            </w:r>
            <w:r>
              <w:rPr>
                <w:rFonts w:hint="eastAsia" w:ascii="宋体" w:hAnsi="宋体"/>
                <w:sz w:val="24"/>
                <w:szCs w:val="24"/>
                <w:highlight w:val="none"/>
              </w:rPr>
              <w:t>月</w:t>
            </w:r>
            <w:r>
              <w:rPr>
                <w:rFonts w:hint="eastAsia" w:ascii="宋体" w:hAnsi="宋体"/>
                <w:sz w:val="24"/>
                <w:szCs w:val="24"/>
                <w:highlight w:val="none"/>
                <w:lang w:val="en-US" w:eastAsia="zh-CN"/>
              </w:rPr>
              <w:t>28</w:t>
            </w:r>
            <w:r>
              <w:rPr>
                <w:rFonts w:hint="eastAsia" w:ascii="宋体" w:hAnsi="宋体"/>
                <w:sz w:val="24"/>
                <w:szCs w:val="24"/>
                <w:highlight w:val="none"/>
              </w:rPr>
              <w:t>日，合同期内合同金额全部完成视为本合同结束。</w:t>
            </w:r>
          </w:p>
          <w:p>
            <w:pPr>
              <w:pStyle w:val="185"/>
              <w:numPr>
                <w:ilvl w:val="0"/>
                <w:numId w:val="2"/>
              </w:numPr>
              <w:spacing w:line="360" w:lineRule="auto"/>
              <w:ind w:firstLine="0" w:firstLineChars="0"/>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服务</w:t>
            </w:r>
            <w:r>
              <w:rPr>
                <w:rFonts w:hint="eastAsia" w:cs="仿宋_GB2312" w:asciiTheme="minorEastAsia" w:hAnsiTheme="minorEastAsia" w:eastAsiaTheme="minorEastAsia"/>
                <w:sz w:val="24"/>
                <w:szCs w:val="24"/>
                <w:highlight w:val="none"/>
              </w:rPr>
              <w:t>期限：</w:t>
            </w:r>
            <w:r>
              <w:rPr>
                <w:rFonts w:hint="eastAsia" w:ascii="宋体" w:hAnsi="宋体"/>
                <w:sz w:val="24"/>
                <w:highlight w:val="none"/>
                <w:lang w:val="zh-CN"/>
              </w:rPr>
              <w:t>本项目</w:t>
            </w:r>
            <w:r>
              <w:rPr>
                <w:rFonts w:hint="eastAsia" w:ascii="宋体" w:hAnsi="宋体"/>
                <w:sz w:val="24"/>
                <w:highlight w:val="none"/>
              </w:rPr>
              <w:t>成交后试用期三个月，如果在试用期内不能满足招标文件规定的服务要求，采购人有权终止合同。</w:t>
            </w:r>
            <w:r>
              <w:rPr>
                <w:rFonts w:hint="eastAsia" w:ascii="宋体" w:hAnsi="宋体"/>
                <w:sz w:val="24"/>
                <w:highlight w:val="none"/>
                <w:lang w:val="zh-CN"/>
              </w:rPr>
              <w:t>服务为期一年或到达预算金额后自动终止，自合同签订之日起生效。合同期满后经甲方考核合格后双方一致同意，</w:t>
            </w:r>
            <w:r>
              <w:rPr>
                <w:rFonts w:cs="仿宋_GB2312" w:asciiTheme="minorEastAsia" w:hAnsiTheme="minorEastAsia" w:eastAsiaTheme="minorEastAsia"/>
                <w:sz w:val="24"/>
                <w:szCs w:val="24"/>
                <w:highlight w:val="none"/>
              </w:rPr>
              <w:t>可续签合同，</w:t>
            </w:r>
            <w:r>
              <w:rPr>
                <w:rFonts w:hint="eastAsia" w:cs="仿宋_GB2312" w:asciiTheme="minorEastAsia" w:hAnsiTheme="minorEastAsia" w:eastAsiaTheme="minorEastAsia"/>
                <w:sz w:val="24"/>
                <w:szCs w:val="24"/>
                <w:highlight w:val="none"/>
                <w:lang w:val="en-US" w:eastAsia="zh-CN"/>
              </w:rPr>
              <w:t>续签次数≤2，</w:t>
            </w:r>
            <w:r>
              <w:rPr>
                <w:rFonts w:cs="仿宋_GB2312" w:asciiTheme="minorEastAsia" w:hAnsiTheme="minorEastAsia" w:eastAsiaTheme="minorEastAsia"/>
                <w:sz w:val="24"/>
                <w:szCs w:val="24"/>
                <w:highlight w:val="none"/>
              </w:rPr>
              <w:t>合同金额、服务内容保持不变。</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r>
              <w:rPr>
                <w:rFonts w:asciiTheme="minorEastAsia" w:hAnsiTheme="minorEastAsia" w:eastAsiaTheme="minorEastAsia"/>
                <w:color w:val="FF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color w:val="FF0000"/>
                <w:szCs w:val="24"/>
                <w:highlight w:val="none"/>
                <w:u w:val="single"/>
              </w:rPr>
              <w:t>0</w:t>
            </w:r>
            <w:r>
              <w:rPr>
                <w:rFonts w:hint="eastAsia" w:hAnsi="宋体" w:cs="宋体"/>
                <w:b/>
                <w:color w:val="000000"/>
                <w:szCs w:val="24"/>
                <w:highlight w:val="none"/>
              </w:rPr>
              <w:t>元</w:t>
            </w:r>
            <w:r>
              <w:rPr>
                <w:rFonts w:hint="eastAsia" w:hAnsi="宋体"/>
                <w:b/>
                <w:color w:val="000000"/>
                <w:szCs w:val="28"/>
                <w:highlight w:val="none"/>
              </w:rPr>
              <w:t>。</w:t>
            </w:r>
            <w:r>
              <w:rPr>
                <w:rFonts w:hint="eastAsia" w:hAnsi="宋体"/>
                <w:color w:val="000000"/>
                <w:highlight w:val="none"/>
              </w:rPr>
              <w:t>投标保证金应当在投标截止时间前足额到达招标公告指定账号。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7"/>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4</w:t>
            </w:r>
            <w:r>
              <w:rPr>
                <w:rFonts w:hint="eastAsia" w:hAnsi="宋体"/>
                <w:b/>
                <w:bCs/>
                <w:color w:val="000000"/>
                <w:highlight w:val="none"/>
              </w:rPr>
              <w:t xml:space="preserve">年 </w:t>
            </w:r>
            <w:r>
              <w:rPr>
                <w:rFonts w:hint="eastAsia" w:hAnsi="宋体"/>
                <w:b/>
                <w:bCs/>
                <w:color w:val="000000"/>
                <w:highlight w:val="none"/>
                <w:lang w:val="en-US" w:eastAsia="zh-CN"/>
              </w:rPr>
              <w:t>1</w:t>
            </w:r>
            <w:r>
              <w:rPr>
                <w:rFonts w:hint="eastAsia" w:hAnsi="宋体"/>
                <w:b/>
                <w:bCs/>
                <w:color w:val="000000"/>
                <w:highlight w:val="none"/>
              </w:rPr>
              <w:t xml:space="preserve"> 月 </w:t>
            </w:r>
            <w:r>
              <w:rPr>
                <w:rFonts w:hint="eastAsia" w:hAnsi="宋体"/>
                <w:b/>
                <w:bCs/>
                <w:color w:val="000000"/>
                <w:highlight w:val="none"/>
                <w:lang w:val="en-US" w:eastAsia="zh-CN"/>
              </w:rPr>
              <w:t>23</w:t>
            </w:r>
            <w:r>
              <w:rPr>
                <w:rFonts w:hint="eastAsia" w:hAnsi="宋体"/>
                <w:b/>
                <w:bCs/>
                <w:color w:val="000000"/>
                <w:highlight w:val="none"/>
              </w:rPr>
              <w:t xml:space="preserve"> 日17:30时前接受网上答疑（逾期不予受理），疑问的提出与答疑获取详见招标文件第三章投标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eastAsia" w:hAnsi="宋体"/>
                <w:color w:val="000000"/>
                <w:highlight w:val="none"/>
              </w:rPr>
            </w:pPr>
            <w:r>
              <w:rPr>
                <w:rFonts w:hint="eastAsia" w:hAnsi="宋体"/>
                <w:color w:val="000000"/>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156" w:beforeLines="50" w:after="156" w:afterLines="50" w:line="360" w:lineRule="auto"/>
              <w:jc w:val="left"/>
              <w:rPr>
                <w:rFonts w:hAnsi="宋体" w:cs="宋体"/>
                <w:color w:val="000000"/>
                <w:szCs w:val="24"/>
                <w:highlight w:val="none"/>
              </w:rPr>
            </w:pPr>
            <w:r>
              <w:rPr>
                <w:rFonts w:hint="eastAsia" w:hAnsi="宋体" w:cs="宋体"/>
                <w:color w:val="000000"/>
                <w:szCs w:val="24"/>
                <w:highlight w:val="none"/>
              </w:rPr>
              <w:t>本项目无履约保证金。</w:t>
            </w:r>
          </w:p>
          <w:p>
            <w:pPr>
              <w:spacing w:before="156" w:beforeLines="50" w:after="156" w:afterLines="50" w:line="360" w:lineRule="auto"/>
              <w:jc w:val="left"/>
              <w:rPr>
                <w:rFonts w:hAnsi="宋体" w:cs="宋体"/>
                <w:color w:val="000000"/>
                <w:szCs w:val="24"/>
                <w:highlight w:val="none"/>
              </w:rPr>
            </w:pPr>
            <w:r>
              <w:rPr>
                <w:rFonts w:hint="eastAsia" w:hAnsi="宋体" w:cs="宋体"/>
                <w:color w:val="000000"/>
                <w:szCs w:val="24"/>
                <w:highlight w:val="none"/>
              </w:rPr>
              <w:t>成交价的</w:t>
            </w:r>
            <w:r>
              <w:rPr>
                <w:rFonts w:hint="eastAsia" w:hAnsi="宋体" w:cs="宋体"/>
                <w:color w:val="000000"/>
                <w:szCs w:val="24"/>
                <w:highlight w:val="none"/>
                <w:u w:val="single"/>
              </w:rPr>
              <w:t xml:space="preserve"> 0 </w:t>
            </w:r>
            <w:r>
              <w:rPr>
                <w:rFonts w:hint="eastAsia" w:hAnsi="宋体" w:cs="宋体"/>
                <w:color w:val="000000"/>
                <w:szCs w:val="24"/>
                <w:highlight w:val="none"/>
              </w:rPr>
              <w:t>%（保留到百位数）；</w:t>
            </w:r>
          </w:p>
          <w:p>
            <w:pPr>
              <w:spacing w:line="360" w:lineRule="auto"/>
              <w:rPr>
                <w:rFonts w:hAnsi="宋体"/>
                <w:color w:val="000000"/>
                <w:highlight w:val="none"/>
              </w:rPr>
            </w:pPr>
            <w:r>
              <w:rPr>
                <w:rFonts w:hint="eastAsia" w:hAnsi="宋体"/>
                <w:color w:val="000000"/>
                <w:highlight w:val="none"/>
              </w:rPr>
              <w:t>期限：项目竣工验收合格后一月内无息返还。</w:t>
            </w:r>
            <w:bookmarkStart w:id="206" w:name="_GoBack"/>
            <w:bookmarkEnd w:id="206"/>
          </w:p>
          <w:p>
            <w:pPr>
              <w:spacing w:line="360" w:lineRule="auto"/>
              <w:rPr>
                <w:rFonts w:hAnsi="宋体"/>
                <w:color w:val="000000"/>
                <w:highlight w:val="none"/>
              </w:rPr>
            </w:pPr>
            <w:r>
              <w:rPr>
                <w:rFonts w:hint="eastAsia" w:hAnsi="宋体"/>
                <w:color w:val="000000"/>
                <w:highlight w:val="none"/>
              </w:rPr>
              <w:t>收受方式为：□</w:t>
            </w:r>
            <w:r>
              <w:rPr>
                <w:rFonts w:hint="eastAsia" w:hAnsi="宋体"/>
                <w:color w:val="000000"/>
                <w:highlight w:val="none"/>
                <w:u w:val="single"/>
              </w:rPr>
              <w:t>转账/电汇</w:t>
            </w:r>
            <w:r>
              <w:rPr>
                <w:rFonts w:hint="eastAsia" w:hAnsi="宋体"/>
                <w:color w:val="000000"/>
                <w:highlight w:val="none"/>
              </w:rPr>
              <w:t>，</w:t>
            </w:r>
          </w:p>
          <w:p>
            <w:pPr>
              <w:spacing w:line="360" w:lineRule="auto"/>
              <w:rPr>
                <w:rFonts w:hAnsi="宋体"/>
                <w:color w:val="000000"/>
                <w:szCs w:val="24"/>
                <w:highlight w:val="none"/>
              </w:rPr>
            </w:pPr>
            <w:r>
              <w:rPr>
                <w:rFonts w:hint="eastAsia" w:hAnsi="宋体"/>
                <w:color w:val="000000"/>
                <w:highlight w:val="none"/>
              </w:rPr>
              <w:t>收受人为□</w:t>
            </w:r>
            <w:r>
              <w:rPr>
                <w:rFonts w:hint="eastAsia" w:hAnsi="宋体"/>
                <w:color w:val="000000"/>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b/>
                <w:bCs/>
                <w:color w:val="000000"/>
                <w:highlight w:val="none"/>
                <w:u w:val="single"/>
              </w:rPr>
              <w:sym w:font="Wingdings" w:char="00FE"/>
            </w:r>
            <w:r>
              <w:rPr>
                <w:rFonts w:hint="eastAsia" w:hAnsi="宋体"/>
                <w:color w:val="000000"/>
                <w:highlight w:val="none"/>
              </w:rPr>
              <w:t>要求□不要求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rFonts w:hint="default" w:eastAsia="宋体"/>
                <w:color w:val="000000"/>
                <w:highlight w:val="none"/>
                <w:lang w:val="en-US" w:eastAsia="zh-CN"/>
              </w:rPr>
            </w:pPr>
            <w:r>
              <w:rPr>
                <w:rFonts w:hint="eastAsia"/>
                <w:color w:val="00000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r>
              <w:rPr>
                <w:rFonts w:hint="eastAsia"/>
                <w:color w:val="00000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3"/>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4"/>
        <w:spacing w:before="0" w:after="0" w:line="360" w:lineRule="auto"/>
        <w:ind w:firstLine="438" w:firstLineChars="200"/>
        <w:rPr>
          <w:rFonts w:ascii="宋体" w:hAnsi="宋体" w:eastAsia="宋体"/>
          <w:color w:val="000000"/>
          <w:sz w:val="24"/>
          <w:szCs w:val="24"/>
          <w:highlight w:val="none"/>
        </w:rPr>
      </w:pPr>
      <w:bookmarkStart w:id="11" w:name="_Hlt509650686"/>
      <w:bookmarkEnd w:id="11"/>
      <w:bookmarkStart w:id="12" w:name="_Hlt509649998"/>
      <w:bookmarkEnd w:id="12"/>
      <w:bookmarkStart w:id="13" w:name="_Hlt509650126"/>
      <w:bookmarkEnd w:id="13"/>
      <w:bookmarkStart w:id="14" w:name="_Hlt509650955"/>
      <w:bookmarkEnd w:id="14"/>
      <w:bookmarkStart w:id="15" w:name="_Hlt526418143"/>
      <w:bookmarkEnd w:id="15"/>
      <w:bookmarkStart w:id="16" w:name="_Hlt509649722"/>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50961"/>
      <w:bookmarkEnd w:id="18"/>
      <w:bookmarkStart w:id="19" w:name="_Hlt509650116"/>
      <w:bookmarkEnd w:id="19"/>
      <w:bookmarkStart w:id="20" w:name="_Hlt509650333"/>
      <w:bookmarkEnd w:id="20"/>
      <w:bookmarkStart w:id="21" w:name="_Hlt509649795"/>
      <w:bookmarkEnd w:id="21"/>
      <w:bookmarkStart w:id="22" w:name="_Hlt509649678"/>
      <w:bookmarkEnd w:id="22"/>
      <w:bookmarkStart w:id="23" w:name="_Hlt509650929"/>
      <w:bookmarkEnd w:id="23"/>
      <w:bookmarkStart w:id="24" w:name="_Hlt509649330"/>
      <w:bookmarkEnd w:id="24"/>
      <w:bookmarkStart w:id="25" w:name="_Hlt509650936"/>
      <w:bookmarkEnd w:id="25"/>
      <w:bookmarkStart w:id="26" w:name="_Hlt509650690"/>
      <w:bookmarkEnd w:id="26"/>
      <w:bookmarkStart w:id="27" w:name="_Hlt526418153"/>
      <w:bookmarkEnd w:id="27"/>
      <w:bookmarkStart w:id="28" w:name="_Hlt509649669"/>
      <w:bookmarkEnd w:id="28"/>
      <w:bookmarkStart w:id="29" w:name="_Hlt509649645"/>
      <w:bookmarkEnd w:id="29"/>
      <w:bookmarkStart w:id="30" w:name="_Hlt509650932"/>
      <w:bookmarkEnd w:id="30"/>
      <w:bookmarkStart w:id="31" w:name="_Hlt509650103"/>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2.1采购监督管理部门：合肥经济技术开发区公用事业发展有限公司。</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11.1与本次采购活动相关的信息，将在合肥经济技术开发区公用事业发展有限公司网站(</w:t>
      </w:r>
      <w:r>
        <w:rPr>
          <w:highlight w:val="none"/>
        </w:rPr>
        <w:fldChar w:fldCharType="begin"/>
      </w:r>
      <w:r>
        <w:rPr>
          <w:highlight w:val="none"/>
        </w:rPr>
        <w:instrText xml:space="preserve"> HYPERLINK "http://www.hfpudc.com/" </w:instrText>
      </w:r>
      <w:r>
        <w:rPr>
          <w:highlight w:val="none"/>
        </w:rPr>
        <w:fldChar w:fldCharType="separate"/>
      </w:r>
      <w:r>
        <w:rPr>
          <w:rStyle w:val="72"/>
          <w:rFonts w:hAnsi="宋体"/>
          <w:szCs w:val="24"/>
          <w:highlight w:val="none"/>
        </w:rPr>
        <w:t>http://www.hfpudc.com/</w:t>
      </w:r>
      <w:r>
        <w:rPr>
          <w:rStyle w:val="72"/>
          <w:rFonts w:hAnsi="宋体"/>
          <w:szCs w:val="24"/>
          <w:highlight w:val="none"/>
        </w:rPr>
        <w:fldChar w:fldCharType="end"/>
      </w:r>
      <w:r>
        <w:rPr>
          <w:rFonts w:hint="eastAsia" w:hAnsi="宋体"/>
          <w:color w:val="000000"/>
          <w:szCs w:val="24"/>
          <w:highlight w:val="none"/>
        </w:rPr>
        <w:t>)发布。</w:t>
      </w:r>
    </w:p>
    <w:p>
      <w:pPr>
        <w:pStyle w:val="4"/>
        <w:spacing w:before="0" w:after="0" w:line="360" w:lineRule="auto"/>
        <w:ind w:firstLine="438" w:firstLineChars="200"/>
        <w:rPr>
          <w:rFonts w:ascii="宋体" w:hAnsi="宋体" w:eastAsia="宋体"/>
          <w:color w:val="000000"/>
          <w:sz w:val="24"/>
          <w:szCs w:val="24"/>
          <w:highlight w:val="none"/>
        </w:rPr>
      </w:pPr>
      <w:bookmarkStart w:id="33" w:name="_Toc419376297"/>
      <w:bookmarkStart w:id="34" w:name="_Toc527131316"/>
      <w:r>
        <w:rPr>
          <w:rFonts w:hint="eastAsia" w:ascii="宋体" w:hAnsi="宋体" w:eastAsia="宋体"/>
          <w:color w:val="000000"/>
          <w:sz w:val="24"/>
          <w:szCs w:val="24"/>
          <w:highlight w:val="none"/>
        </w:rPr>
        <w:t>（二）招标文件</w:t>
      </w:r>
      <w:bookmarkEnd w:id="33"/>
      <w:bookmarkEnd w:id="34"/>
      <w:bookmarkStart w:id="35" w:name="_Hlt509649930"/>
      <w:bookmarkEnd w:id="35"/>
      <w:bookmarkStart w:id="36" w:name="_Hlt509650361"/>
      <w:bookmarkEnd w:id="36"/>
      <w:bookmarkStart w:id="37" w:name="_Hlt50964979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12.1.7合肥经济技术开发区公用事业发展有限公司发布的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3"/>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w:t>
      </w:r>
      <w:r>
        <w:rPr>
          <w:rFonts w:hAnsi="宋体"/>
          <w:color w:val="000000"/>
          <w:szCs w:val="24"/>
          <w:highlight w:val="none"/>
        </w:rPr>
        <w:t>）</w:t>
      </w:r>
      <w:r>
        <w:rPr>
          <w:rFonts w:hint="eastAsia" w:hAnsi="宋体"/>
          <w:color w:val="000000"/>
          <w:szCs w:val="24"/>
          <w:highlight w:val="none"/>
        </w:rPr>
        <w:t>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7"/>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4"/>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4"/>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5"/>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7"/>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7"/>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7"/>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7"/>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highlight w:val="none"/>
              </w:rPr>
            </w:pPr>
            <w:r>
              <w:rPr>
                <w:rFonts w:hint="eastAsia" w:hAnsi="宋体"/>
                <w:color w:val="000000"/>
                <w:highlight w:val="none"/>
              </w:rPr>
              <w:t>注：</w:t>
            </w:r>
          </w:p>
          <w:p>
            <w:pPr>
              <w:spacing w:line="360" w:lineRule="auto"/>
              <w:ind w:firstLine="429"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29"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rPr>
        <w:t>100</w:t>
      </w:r>
      <w:r>
        <w:rPr>
          <w:rFonts w:hint="eastAsia" w:hAnsi="宋体"/>
          <w:color w:val="000000"/>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38"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highlight w:val="none"/>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r>
        <w:rPr>
          <w:rFonts w:hAnsi="宋体" w:cs="宋体"/>
          <w:color w:val="000000"/>
          <w:highlight w:val="none"/>
        </w:rPr>
        <w:br w:type="textWrapping"/>
      </w: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4"/>
        <w:spacing w:before="0" w:after="0" w:line="360" w:lineRule="auto"/>
        <w:ind w:firstLine="438"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38"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29"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38"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38"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29"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29"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38"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38"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38"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38"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38"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38" w:firstLineChars="200"/>
        <w:rPr>
          <w:rFonts w:hAnsi="宋体"/>
          <w:b/>
          <w:color w:val="000000"/>
          <w:sz w:val="30"/>
          <w:szCs w:val="30"/>
          <w:highlight w:val="none"/>
        </w:rPr>
      </w:pPr>
      <w:r>
        <w:rPr>
          <w:rFonts w:hAnsi="宋体"/>
          <w:bCs/>
          <w:color w:val="000000"/>
          <w:szCs w:val="24"/>
          <w:highlight w:val="none"/>
        </w:rPr>
        <w:br w:type="page"/>
      </w:r>
      <w:bookmarkStart w:id="50" w:name="_Hlt509649724"/>
      <w:bookmarkEnd w:id="50"/>
      <w:bookmarkStart w:id="51" w:name="_Hlt510342861"/>
      <w:bookmarkEnd w:id="51"/>
      <w:bookmarkStart w:id="52" w:name="_Hlt509650697"/>
      <w:bookmarkEnd w:id="52"/>
      <w:bookmarkStart w:id="53" w:name="_Toc527131321"/>
      <w:bookmarkStart w:id="54" w:name="_Toc427016287"/>
      <w:bookmarkStart w:id="55" w:name="_Toc463041898"/>
      <w:bookmarkStart w:id="56" w:name="_Toc427106476"/>
      <w:r>
        <w:rPr>
          <w:rFonts w:hint="eastAsia" w:hAnsi="宋体"/>
          <w:b/>
          <w:color w:val="000000"/>
          <w:sz w:val="30"/>
          <w:szCs w:val="30"/>
          <w:highlight w:val="none"/>
        </w:rPr>
        <w:t>四、采购合同</w:t>
      </w:r>
      <w:bookmarkEnd w:id="53"/>
      <w:bookmarkEnd w:id="54"/>
      <w:bookmarkEnd w:id="55"/>
      <w:bookmarkEnd w:id="56"/>
    </w:p>
    <w:p>
      <w:pPr>
        <w:spacing w:line="480" w:lineRule="auto"/>
        <w:jc w:val="center"/>
        <w:rPr>
          <w:rFonts w:ascii="宋体" w:hAnsi="宋体" w:cs="@仿宋_GB2312"/>
          <w:b/>
          <w:color w:val="000000"/>
          <w:sz w:val="24"/>
          <w:szCs w:val="24"/>
          <w:highlight w:val="none"/>
        </w:rPr>
      </w:pPr>
    </w:p>
    <w:p>
      <w:pPr>
        <w:spacing w:line="360" w:lineRule="auto"/>
        <w:jc w:val="center"/>
        <w:outlineLvl w:val="2"/>
        <w:rPr>
          <w:rFonts w:ascii="宋体" w:hAnsi="宋体" w:cs="@仿宋_GB2312"/>
          <w:b/>
          <w:color w:val="000000"/>
          <w:sz w:val="24"/>
          <w:szCs w:val="24"/>
          <w:highlight w:val="none"/>
        </w:rPr>
      </w:pPr>
      <w:r>
        <w:rPr>
          <w:rFonts w:hint="eastAsia" w:ascii="宋体" w:hAnsi="宋体" w:cs="@仿宋_GB2312"/>
          <w:b/>
          <w:color w:val="000000"/>
          <w:sz w:val="24"/>
          <w:szCs w:val="24"/>
          <w:highlight w:val="none"/>
        </w:rPr>
        <w:t>第一部分 合同书</w:t>
      </w:r>
    </w:p>
    <w:p>
      <w:pPr>
        <w:spacing w:line="480" w:lineRule="auto"/>
        <w:jc w:val="center"/>
        <w:rPr>
          <w:rFonts w:ascii="宋体" w:hAnsi="宋体" w:cs="@仿宋_GB2312"/>
          <w:b/>
          <w:color w:val="000000"/>
          <w:sz w:val="24"/>
          <w:szCs w:val="24"/>
          <w:highlight w:val="none"/>
        </w:rPr>
      </w:pPr>
    </w:p>
    <w:p>
      <w:pPr>
        <w:spacing w:line="480" w:lineRule="auto"/>
        <w:jc w:val="center"/>
        <w:rPr>
          <w:rFonts w:ascii="宋体" w:hAnsi="宋体" w:cs="@仿宋_GB2312"/>
          <w:b/>
          <w:color w:val="000000"/>
          <w:sz w:val="24"/>
          <w:szCs w:val="24"/>
          <w:highlight w:val="none"/>
        </w:rPr>
      </w:pPr>
    </w:p>
    <w:p>
      <w:pPr>
        <w:spacing w:line="480" w:lineRule="auto"/>
        <w:jc w:val="center"/>
        <w:rPr>
          <w:rFonts w:ascii="宋体" w:hAnsi="宋体" w:cs="@仿宋_GB2312"/>
          <w:b/>
          <w:color w:val="000000"/>
          <w:sz w:val="24"/>
          <w:szCs w:val="24"/>
          <w:highlight w:val="none"/>
        </w:rPr>
      </w:pPr>
    </w:p>
    <w:p>
      <w:pPr>
        <w:spacing w:before="120" w:line="480" w:lineRule="auto"/>
        <w:ind w:left="960"/>
        <w:rPr>
          <w:rFonts w:hint="eastAsia" w:ascii="宋体" w:hAnsi="宋体" w:cs="@仿宋_GB2312"/>
          <w:color w:val="000000"/>
          <w:sz w:val="24"/>
          <w:szCs w:val="24"/>
          <w:highlight w:val="none"/>
          <w:u w:val="single"/>
          <w:lang w:val="en-US" w:eastAsia="zh-CN"/>
        </w:rPr>
      </w:pPr>
      <w:r>
        <w:rPr>
          <w:rFonts w:hint="eastAsia" w:ascii="宋体" w:hAnsi="宋体" w:cs="@仿宋_GB2312"/>
          <w:color w:val="000000"/>
          <w:sz w:val="24"/>
          <w:szCs w:val="24"/>
          <w:highlight w:val="none"/>
        </w:rPr>
        <w:t>项目名称：</w:t>
      </w:r>
      <w:r>
        <w:rPr>
          <w:rFonts w:hint="eastAsia" w:ascii="宋体" w:hAnsi="宋体" w:cs="@仿宋_GB2312"/>
          <w:color w:val="000000"/>
          <w:sz w:val="24"/>
          <w:szCs w:val="24"/>
          <w:highlight w:val="none"/>
          <w:u w:val="single"/>
          <w:lang w:val="en-US" w:eastAsia="zh-CN"/>
        </w:rPr>
        <w:t xml:space="preserve">                                 </w:t>
      </w:r>
    </w:p>
    <w:p>
      <w:pPr>
        <w:spacing w:before="120" w:line="480" w:lineRule="auto"/>
        <w:ind w:left="960"/>
        <w:rPr>
          <w:rFonts w:hint="eastAsia" w:ascii="宋体" w:hAnsi="宋体" w:cs="@仿宋_GB2312"/>
          <w:color w:val="000000"/>
          <w:sz w:val="24"/>
          <w:szCs w:val="24"/>
          <w:highlight w:val="none"/>
          <w:u w:val="single"/>
          <w:lang w:val="en-US" w:eastAsia="zh-CN"/>
        </w:rPr>
      </w:pPr>
      <w:r>
        <w:rPr>
          <w:rFonts w:hint="eastAsia" w:ascii="宋体" w:hAnsi="宋体" w:cs="@仿宋_GB2312"/>
          <w:color w:val="000000"/>
          <w:sz w:val="24"/>
          <w:szCs w:val="24"/>
          <w:highlight w:val="none"/>
        </w:rPr>
        <w:t>项目编号：</w:t>
      </w:r>
      <w:r>
        <w:rPr>
          <w:rFonts w:hint="eastAsia" w:ascii="宋体" w:hAnsi="宋体" w:cs="@仿宋_GB2312"/>
          <w:color w:val="000000"/>
          <w:sz w:val="24"/>
          <w:szCs w:val="24"/>
          <w:highlight w:val="none"/>
          <w:lang w:val="en-US" w:eastAsia="zh-CN"/>
        </w:rPr>
        <w:t xml:space="preserve">  </w:t>
      </w:r>
      <w:r>
        <w:rPr>
          <w:rFonts w:hint="eastAsia" w:ascii="宋体" w:hAnsi="宋体" w:cs="@仿宋_GB2312"/>
          <w:color w:val="000000"/>
          <w:sz w:val="24"/>
          <w:szCs w:val="24"/>
          <w:highlight w:val="none"/>
          <w:u w:val="single"/>
          <w:lang w:val="en-US" w:eastAsia="zh-CN"/>
        </w:rPr>
        <w:t xml:space="preserve">                               </w:t>
      </w:r>
    </w:p>
    <w:p>
      <w:pPr>
        <w:spacing w:before="120" w:line="480" w:lineRule="auto"/>
        <w:ind w:left="960"/>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甲方（招标人）：</w:t>
      </w:r>
      <w:r>
        <w:rPr>
          <w:rFonts w:hint="eastAsia" w:ascii="宋体" w:hAnsi="宋体" w:cs="@仿宋_GB2312"/>
          <w:color w:val="000000"/>
          <w:sz w:val="24"/>
          <w:szCs w:val="24"/>
          <w:highlight w:val="none"/>
          <w:u w:val="single"/>
        </w:rPr>
        <w:t xml:space="preserve">                              </w:t>
      </w:r>
    </w:p>
    <w:p>
      <w:pPr>
        <w:spacing w:before="120" w:line="480" w:lineRule="auto"/>
        <w:ind w:left="960"/>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乙方（中标人）：</w:t>
      </w:r>
      <w:r>
        <w:rPr>
          <w:rFonts w:hint="eastAsia" w:ascii="宋体" w:hAnsi="宋体" w:cs="@仿宋_GB2312"/>
          <w:color w:val="000000"/>
          <w:sz w:val="24"/>
          <w:szCs w:val="24"/>
          <w:highlight w:val="none"/>
          <w:u w:val="single"/>
        </w:rPr>
        <w:t xml:space="preserve">                              </w:t>
      </w:r>
    </w:p>
    <w:p>
      <w:pPr>
        <w:spacing w:before="120" w:line="480" w:lineRule="auto"/>
        <w:ind w:firstLine="876" w:firstLineChars="400"/>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签订地：</w:t>
      </w:r>
      <w:r>
        <w:rPr>
          <w:rFonts w:hint="eastAsia" w:ascii="宋体" w:hAnsi="宋体" w:cs="@仿宋_GB2312"/>
          <w:color w:val="000000"/>
          <w:sz w:val="24"/>
          <w:szCs w:val="24"/>
          <w:highlight w:val="none"/>
          <w:u w:val="single"/>
        </w:rPr>
        <w:t xml:space="preserve">                                     </w:t>
      </w:r>
    </w:p>
    <w:p>
      <w:pPr>
        <w:spacing w:before="120" w:line="480" w:lineRule="auto"/>
        <w:ind w:firstLine="876" w:firstLineChars="400"/>
        <w:rPr>
          <w:rFonts w:ascii="宋体" w:hAnsi="宋体" w:cs="@仿宋_GB2312"/>
          <w:color w:val="000000"/>
          <w:sz w:val="24"/>
          <w:szCs w:val="24"/>
          <w:highlight w:val="none"/>
        </w:rPr>
      </w:pPr>
      <w:r>
        <w:rPr>
          <w:rFonts w:hint="eastAsia" w:ascii="宋体" w:hAnsi="宋体" w:cs="@仿宋_GB2312"/>
          <w:color w:val="000000"/>
          <w:sz w:val="24"/>
          <w:szCs w:val="24"/>
          <w:highlight w:val="none"/>
        </w:rPr>
        <w:t>签订日期：</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年</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月</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日</w:t>
      </w:r>
    </w:p>
    <w:p>
      <w:pPr>
        <w:widowControl/>
        <w:jc w:val="left"/>
        <w:rPr>
          <w:rFonts w:ascii="宋体" w:hAnsi="宋体" w:cs="@仿宋_GB2312"/>
          <w:color w:val="000000"/>
          <w:sz w:val="24"/>
          <w:szCs w:val="24"/>
          <w:highlight w:val="none"/>
        </w:rPr>
      </w:pPr>
      <w:r>
        <w:rPr>
          <w:rFonts w:hint="eastAsia" w:ascii="宋体" w:hAnsi="宋体" w:cs="@仿宋_GB2312"/>
          <w:color w:val="000000"/>
          <w:sz w:val="24"/>
          <w:szCs w:val="24"/>
          <w:highlight w:val="none"/>
        </w:rPr>
        <w:br w:type="page"/>
      </w:r>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rPr>
        <w:t>根据《中华人民共和国民法典》、《中华人民共和国招标投标法》等相关法律法规之规定，按照平等、自愿、公平和诚实信用的原则，经甲方和乙方协商一致，约定以下合同条款，以兹共同遵守、全面履行。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cs="@仿宋_GB2312"/>
          <w:b/>
          <w:bCs/>
          <w:color w:val="000000"/>
          <w:sz w:val="24"/>
          <w:szCs w:val="24"/>
          <w:highlight w:val="none"/>
          <w:lang w:val="zh-CN"/>
        </w:rPr>
      </w:pPr>
      <w:bookmarkStart w:id="57" w:name="_Toc2232"/>
      <w:bookmarkStart w:id="58" w:name="_Toc24059"/>
      <w:bookmarkStart w:id="59" w:name="_Toc3029"/>
      <w:r>
        <w:rPr>
          <w:rFonts w:hint="eastAsia" w:ascii="宋体" w:hAnsi="宋体" w:cs="@仿宋_GB2312"/>
          <w:b/>
          <w:bCs/>
          <w:color w:val="000000"/>
          <w:sz w:val="24"/>
          <w:szCs w:val="24"/>
          <w:highlight w:val="none"/>
          <w:lang w:val="zh-CN"/>
        </w:rPr>
        <w:t>1.1 合同组成部分</w:t>
      </w:r>
      <w:bookmarkEnd w:id="57"/>
      <w:bookmarkEnd w:id="58"/>
      <w:bookmarkEnd w:id="59"/>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下列文件为本合同的组成部分，并构成一个整体，需综合解释、相互补充。如果下列文件内容出现不一致的情形，那么在保证按照招标文件确定的事项前提下，组成本合同的多个文件的优先适用顺序如下：</w:t>
      </w:r>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1.1.1本合同及其补充合同、变更协议；</w:t>
      </w:r>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1.1.2中标通知书；</w:t>
      </w:r>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1.1.3响应文件（含澄清或者说明文件）；</w:t>
      </w:r>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1.1.4谈判文件（含澄清或者修改文件）；</w:t>
      </w:r>
    </w:p>
    <w:p>
      <w:pPr>
        <w:spacing w:line="360" w:lineRule="auto"/>
        <w:ind w:firstLine="435"/>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1.1.5其他相关招标文件。</w:t>
      </w:r>
    </w:p>
    <w:p>
      <w:pPr>
        <w:spacing w:line="360" w:lineRule="auto"/>
        <w:ind w:firstLine="437"/>
        <w:outlineLvl w:val="3"/>
        <w:rPr>
          <w:rFonts w:ascii="宋体" w:hAnsi="宋体" w:cs="@仿宋_GB2312"/>
          <w:b/>
          <w:bCs/>
          <w:color w:val="000000"/>
          <w:sz w:val="24"/>
          <w:szCs w:val="24"/>
          <w:highlight w:val="none"/>
          <w:lang w:val="zh-CN"/>
        </w:rPr>
      </w:pPr>
      <w:bookmarkStart w:id="60" w:name="_Toc6773"/>
      <w:bookmarkStart w:id="61" w:name="_Toc22185"/>
      <w:bookmarkStart w:id="62" w:name="_Toc18585"/>
      <w:bookmarkStart w:id="63" w:name="_Toc2918"/>
      <w:bookmarkStart w:id="64" w:name="_Toc6311"/>
      <w:r>
        <w:rPr>
          <w:rFonts w:hint="eastAsia" w:ascii="宋体" w:hAnsi="宋体" w:cs="@仿宋_GB2312"/>
          <w:b/>
          <w:bCs/>
          <w:color w:val="000000"/>
          <w:sz w:val="24"/>
          <w:szCs w:val="24"/>
          <w:highlight w:val="none"/>
          <w:lang w:val="zh-CN"/>
        </w:rPr>
        <w:t xml:space="preserve">1.2 </w:t>
      </w:r>
      <w:bookmarkEnd w:id="60"/>
      <w:bookmarkEnd w:id="61"/>
      <w:bookmarkEnd w:id="62"/>
      <w:bookmarkEnd w:id="63"/>
      <w:bookmarkEnd w:id="64"/>
      <w:r>
        <w:rPr>
          <w:rFonts w:hint="eastAsia" w:ascii="宋体" w:hAnsi="宋体" w:cs="@仿宋_GB2312"/>
          <w:b/>
          <w:bCs/>
          <w:color w:val="000000"/>
          <w:sz w:val="24"/>
          <w:szCs w:val="24"/>
          <w:highlight w:val="none"/>
          <w:lang w:val="zh-CN"/>
        </w:rPr>
        <w:t>服务</w:t>
      </w:r>
    </w:p>
    <w:p>
      <w:pPr>
        <w:spacing w:line="360" w:lineRule="auto"/>
        <w:ind w:firstLine="435"/>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1.2.1服务名称：</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5"/>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1.2.2服务内容：</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1.2.3服务质量：</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7"/>
        <w:outlineLvl w:val="3"/>
        <w:rPr>
          <w:rFonts w:ascii="宋体" w:hAnsi="宋体" w:cs="@仿宋_GB2312"/>
          <w:b/>
          <w:bCs/>
          <w:color w:val="000000"/>
          <w:sz w:val="24"/>
          <w:szCs w:val="24"/>
          <w:highlight w:val="none"/>
          <w:lang w:val="zh-CN"/>
        </w:rPr>
      </w:pPr>
      <w:bookmarkStart w:id="65" w:name="_Toc23292"/>
      <w:bookmarkStart w:id="66" w:name="_Toc21551"/>
      <w:bookmarkStart w:id="67" w:name="_Toc21631"/>
      <w:r>
        <w:rPr>
          <w:rFonts w:hint="eastAsia" w:ascii="宋体" w:hAnsi="宋体" w:cs="@仿宋_GB2312"/>
          <w:b/>
          <w:bCs/>
          <w:color w:val="000000"/>
          <w:sz w:val="24"/>
          <w:szCs w:val="24"/>
          <w:highlight w:val="none"/>
          <w:lang w:val="zh-CN"/>
        </w:rPr>
        <w:t>1.3 价款</w:t>
      </w:r>
      <w:bookmarkEnd w:id="65"/>
      <w:bookmarkEnd w:id="66"/>
      <w:bookmarkEnd w:id="67"/>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本合同总价为：¥</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元（大写：人民币</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元）。</w:t>
      </w:r>
    </w:p>
    <w:p>
      <w:pPr>
        <w:spacing w:line="360" w:lineRule="auto"/>
        <w:ind w:firstLine="435"/>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分项价格：</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4654"/>
        <w:gridCol w:w="13"/>
        <w:gridCol w:w="3478"/>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序号</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r>
              <w:rPr>
                <w:rFonts w:hint="eastAsia" w:ascii="宋体" w:hAnsi="宋体" w:cs="Arial"/>
                <w:color w:val="000000"/>
                <w:sz w:val="24"/>
                <w:szCs w:val="24"/>
                <w:highlight w:val="none"/>
              </w:rPr>
              <w:t>分项名称</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4"/>
                <w:szCs w:val="24"/>
                <w:highlight w:val="none"/>
              </w:rPr>
            </w:pPr>
            <w:r>
              <w:rPr>
                <w:rFonts w:hint="eastAsia" w:ascii="宋体" w:hAnsi="宋体" w:cs="Arial"/>
                <w:color w:val="000000"/>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2</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3</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r>
              <w:rPr>
                <w:rFonts w:hint="eastAsia" w:ascii="宋体" w:hAnsi="宋体" w:cs="Arial"/>
                <w:color w:val="000000"/>
                <w:sz w:val="24"/>
                <w:szCs w:val="24"/>
                <w:highlight w:val="none"/>
              </w:rPr>
              <w:t>总价</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highlight w:val="none"/>
              </w:rPr>
            </w:pPr>
          </w:p>
        </w:tc>
      </w:tr>
    </w:tbl>
    <w:p>
      <w:pPr>
        <w:spacing w:line="360" w:lineRule="auto"/>
        <w:ind w:firstLine="437"/>
        <w:outlineLvl w:val="3"/>
        <w:rPr>
          <w:rFonts w:ascii="宋体" w:hAnsi="宋体" w:cs="@仿宋_GB2312"/>
          <w:b/>
          <w:bCs/>
          <w:color w:val="000000"/>
          <w:sz w:val="24"/>
          <w:szCs w:val="24"/>
          <w:highlight w:val="none"/>
          <w:lang w:val="zh-CN"/>
        </w:rPr>
      </w:pPr>
      <w:bookmarkStart w:id="68" w:name="_Toc22618"/>
      <w:bookmarkStart w:id="69" w:name="_Toc1814"/>
      <w:bookmarkStart w:id="70" w:name="_Toc10340"/>
      <w:r>
        <w:rPr>
          <w:rFonts w:hint="eastAsia" w:ascii="宋体" w:hAnsi="宋体" w:cs="@仿宋_GB2312"/>
          <w:b/>
          <w:bCs/>
          <w:color w:val="000000"/>
          <w:sz w:val="24"/>
          <w:szCs w:val="24"/>
          <w:highlight w:val="none"/>
          <w:lang w:val="zh-CN"/>
        </w:rPr>
        <w:t>1.4 付款方式和发票开具方式</w:t>
      </w:r>
      <w:bookmarkEnd w:id="68"/>
      <w:bookmarkEnd w:id="69"/>
      <w:bookmarkEnd w:id="70"/>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1.4.1付款方式：</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1.4.2发票开具方式：</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7"/>
        <w:outlineLvl w:val="3"/>
        <w:rPr>
          <w:rFonts w:ascii="宋体" w:hAnsi="宋体" w:cs="@仿宋_GB2312"/>
          <w:b/>
          <w:bCs/>
          <w:color w:val="000000"/>
          <w:sz w:val="24"/>
          <w:szCs w:val="24"/>
          <w:highlight w:val="none"/>
          <w:lang w:val="zh-CN"/>
        </w:rPr>
      </w:pPr>
      <w:bookmarkStart w:id="71" w:name="_Toc19304"/>
      <w:bookmarkStart w:id="72" w:name="_Toc2846"/>
      <w:bookmarkStart w:id="73" w:name="_Toc32071"/>
      <w:r>
        <w:rPr>
          <w:rFonts w:hint="eastAsia" w:ascii="宋体" w:hAnsi="宋体" w:cs="@仿宋_GB2312"/>
          <w:b/>
          <w:bCs/>
          <w:color w:val="000000"/>
          <w:sz w:val="24"/>
          <w:szCs w:val="24"/>
          <w:highlight w:val="none"/>
          <w:lang w:val="zh-CN"/>
        </w:rPr>
        <w:t>1.5 服务期限、地点和方式</w:t>
      </w:r>
      <w:bookmarkEnd w:id="71"/>
      <w:bookmarkEnd w:id="72"/>
      <w:bookmarkEnd w:id="73"/>
    </w:p>
    <w:p>
      <w:pPr>
        <w:spacing w:line="360" w:lineRule="auto"/>
        <w:ind w:firstLine="435"/>
        <w:rPr>
          <w:rFonts w:ascii="宋体" w:hAnsi="宋体" w:cs="@仿宋_GB2312"/>
          <w:color w:val="000000"/>
          <w:sz w:val="24"/>
          <w:szCs w:val="24"/>
          <w:highlight w:val="none"/>
          <w:u w:val="single"/>
        </w:rPr>
      </w:pPr>
      <w:r>
        <w:rPr>
          <w:rFonts w:hint="eastAsia" w:ascii="宋体" w:hAnsi="宋体" w:cs="@仿宋_GB2312"/>
          <w:color w:val="000000"/>
          <w:sz w:val="24"/>
          <w:szCs w:val="24"/>
          <w:highlight w:val="none"/>
        </w:rPr>
        <w:t>1.5.1服务期限：</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1.5.2服务地点：</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1.5.3服务方式：</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w:t>
      </w:r>
    </w:p>
    <w:p>
      <w:pPr>
        <w:spacing w:line="360" w:lineRule="auto"/>
        <w:ind w:firstLine="437"/>
        <w:outlineLvl w:val="3"/>
        <w:rPr>
          <w:rFonts w:ascii="宋体" w:hAnsi="宋体" w:cs="@仿宋_GB2312"/>
          <w:b/>
          <w:bCs/>
          <w:color w:val="000000"/>
          <w:sz w:val="24"/>
          <w:szCs w:val="24"/>
          <w:highlight w:val="none"/>
          <w:lang w:val="zh-CN"/>
        </w:rPr>
      </w:pPr>
      <w:bookmarkStart w:id="74" w:name="_Toc27250"/>
      <w:bookmarkStart w:id="75" w:name="_Toc21423"/>
      <w:bookmarkStart w:id="76" w:name="_Toc19554"/>
      <w:r>
        <w:rPr>
          <w:rFonts w:hint="eastAsia" w:ascii="宋体" w:hAnsi="宋体" w:cs="@仿宋_GB2312"/>
          <w:b/>
          <w:bCs/>
          <w:color w:val="000000"/>
          <w:sz w:val="24"/>
          <w:szCs w:val="24"/>
          <w:highlight w:val="none"/>
          <w:lang w:val="zh-CN"/>
        </w:rPr>
        <w:t>1.6 违约责任</w:t>
      </w:r>
      <w:bookmarkEnd w:id="74"/>
      <w:bookmarkEnd w:id="75"/>
      <w:bookmarkEnd w:id="76"/>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1.6.1除不可抗力外，如果乙方没有按照本合同约定的期限、地点和方式履行，那么甲方可要求乙方支付违约金，违约金按每迟延履行一日的应提供而未提供服务价格的</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%计算，最高限额为本合同总价的</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%；迟延履行的违约金计算数额达到前述最高限额之日起，甲方有权在要求乙方支付违约金的同时，书面通知乙方解除本合同；</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1.6.2除不可抗力外，如果甲方没有按照本合同约定的付款方式付款，那么乙方可要求甲方支付违约金，违约金按每迟延付款一日的应付而未付款的</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%计算，最高限额为本合同总价的</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%；迟延付款的违约金计算数额达到前述最高限额之日起，乙方有权在要求甲方支付违约金的同时，书面通知甲方解除本合同；</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cs="@仿宋_GB2312"/>
          <w:color w:val="000000"/>
          <w:sz w:val="24"/>
          <w:szCs w:val="24"/>
          <w:highlight w:val="none"/>
        </w:rPr>
      </w:pPr>
      <w:r>
        <w:rPr>
          <w:rFonts w:hint="eastAsia" w:ascii="宋体" w:hAnsi="宋体" w:cs="@仿宋_GB2312"/>
          <w:color w:val="000000"/>
          <w:sz w:val="24"/>
          <w:szCs w:val="24"/>
          <w:highlight w:val="none"/>
        </w:rPr>
        <w:t>1.6.6如果出现监督管理部门在处理投诉事项期间，书面通知甲方暂停招标活动的情形，或者询问或质疑事项可能影响成交结果的，导致甲方中止履行合同的情形，均不视为甲方违约。</w:t>
      </w:r>
    </w:p>
    <w:p>
      <w:pPr>
        <w:spacing w:line="360" w:lineRule="auto"/>
        <w:ind w:firstLine="435"/>
        <w:rPr>
          <w:rFonts w:ascii="宋体" w:hAnsi="宋体"/>
          <w:color w:val="000000"/>
          <w:sz w:val="24"/>
          <w:szCs w:val="24"/>
          <w:highlight w:val="none"/>
        </w:rPr>
      </w:pPr>
      <w:r>
        <w:rPr>
          <w:rFonts w:hint="eastAsia" w:ascii="宋体" w:hAnsi="宋体"/>
          <w:color w:val="000000"/>
          <w:sz w:val="24"/>
          <w:szCs w:val="24"/>
          <w:highlight w:val="none"/>
        </w:rPr>
        <w:t>1.6.7因甲方未按合同约定支付价款、未按合同约定受领标的物、擅自解除合同导致乙方遭受的直接损失，乙方可向甲方申请赔偿，赔偿金额由双方协商一致；针对因政策变化等原因不能签订合同或解除合同时，造成乙方合法利益受损的情形，可以给予乙方合理补偿，补偿金额不得超过乙方的直接损失。</w:t>
      </w:r>
    </w:p>
    <w:p>
      <w:pPr>
        <w:spacing w:line="360" w:lineRule="auto"/>
        <w:ind w:firstLine="437"/>
        <w:outlineLvl w:val="3"/>
        <w:rPr>
          <w:rFonts w:ascii="宋体" w:hAnsi="宋体" w:cs="@仿宋_GB2312"/>
          <w:b/>
          <w:bCs/>
          <w:color w:val="000000"/>
          <w:sz w:val="24"/>
          <w:szCs w:val="24"/>
          <w:highlight w:val="none"/>
          <w:lang w:val="zh-CN"/>
        </w:rPr>
      </w:pPr>
      <w:bookmarkStart w:id="77" w:name="_Toc15583"/>
      <w:bookmarkStart w:id="78" w:name="_Toc16021"/>
      <w:bookmarkStart w:id="79" w:name="_Toc28375"/>
      <w:r>
        <w:rPr>
          <w:rFonts w:hint="eastAsia" w:ascii="宋体" w:hAnsi="宋体" w:cs="@仿宋_GB2312"/>
          <w:b/>
          <w:bCs/>
          <w:color w:val="000000"/>
          <w:sz w:val="24"/>
          <w:szCs w:val="24"/>
          <w:highlight w:val="none"/>
          <w:lang w:val="zh-CN"/>
        </w:rPr>
        <w:t>1.7 合同争议的解决</w:t>
      </w:r>
      <w:bookmarkEnd w:id="77"/>
      <w:bookmarkEnd w:id="78"/>
      <w:bookmarkEnd w:id="79"/>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本合同履行过程中发生的任何争议，双方当事人均可通过和解或者调解解决；不愿和解、调解或者和解、调解不成的，可以选择下列第</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种方式解决：</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1.7.1将争议提交</w:t>
      </w:r>
      <w:r>
        <w:rPr>
          <w:rFonts w:hint="eastAsia" w:ascii="宋体" w:hAnsi="宋体" w:cs="@仿宋_GB2312"/>
          <w:color w:val="000000"/>
          <w:sz w:val="24"/>
          <w:szCs w:val="24"/>
          <w:highlight w:val="none"/>
          <w:u w:val="single"/>
        </w:rPr>
        <w:t xml:space="preserve">              </w:t>
      </w:r>
      <w:r>
        <w:rPr>
          <w:rFonts w:hint="eastAsia" w:ascii="宋体" w:hAnsi="宋体" w:cs="@仿宋_GB2312"/>
          <w:color w:val="000000"/>
          <w:sz w:val="24"/>
          <w:szCs w:val="24"/>
          <w:highlight w:val="none"/>
        </w:rPr>
        <w:t>仲裁委员会依申请仲裁时其现行有效的仲裁规则裁决；</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1.7.2向</w:t>
      </w:r>
      <w:r>
        <w:rPr>
          <w:rFonts w:hint="eastAsia" w:ascii="宋体" w:hAnsi="宋体" w:cs="@仿宋_GB2312"/>
          <w:b/>
          <w:color w:val="000000"/>
          <w:sz w:val="24"/>
          <w:szCs w:val="24"/>
          <w:highlight w:val="none"/>
          <w:u w:val="single"/>
        </w:rPr>
        <w:t>甲方所在地</w:t>
      </w:r>
      <w:r>
        <w:rPr>
          <w:rFonts w:hint="eastAsia" w:ascii="宋体" w:hAnsi="宋体" w:cs="@仿宋_GB2312"/>
          <w:color w:val="000000"/>
          <w:sz w:val="24"/>
          <w:szCs w:val="24"/>
          <w:highlight w:val="none"/>
        </w:rPr>
        <w:t>人民法院起诉。</w:t>
      </w:r>
    </w:p>
    <w:p>
      <w:pPr>
        <w:spacing w:line="360" w:lineRule="auto"/>
        <w:ind w:firstLine="437"/>
        <w:outlineLvl w:val="3"/>
        <w:rPr>
          <w:rFonts w:ascii="宋体" w:hAnsi="宋体" w:cs="@仿宋_GB2312"/>
          <w:b/>
          <w:bCs/>
          <w:color w:val="000000"/>
          <w:sz w:val="24"/>
          <w:szCs w:val="24"/>
          <w:highlight w:val="none"/>
          <w:lang w:val="zh-CN"/>
        </w:rPr>
      </w:pPr>
      <w:bookmarkStart w:id="80" w:name="_Toc7245"/>
      <w:bookmarkStart w:id="81" w:name="_Toc15322"/>
      <w:bookmarkStart w:id="82" w:name="_Toc11173"/>
      <w:r>
        <w:rPr>
          <w:rFonts w:hint="eastAsia" w:ascii="宋体" w:hAnsi="宋体" w:cs="@仿宋_GB2312"/>
          <w:b/>
          <w:bCs/>
          <w:color w:val="000000"/>
          <w:sz w:val="24"/>
          <w:szCs w:val="24"/>
          <w:highlight w:val="none"/>
          <w:lang w:val="zh-CN"/>
        </w:rPr>
        <w:t>1.8 合同生效</w:t>
      </w:r>
      <w:bookmarkEnd w:id="80"/>
      <w:bookmarkEnd w:id="81"/>
      <w:bookmarkEnd w:id="82"/>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本合同自双方当事人盖章时生效。</w:t>
      </w:r>
    </w:p>
    <w:p>
      <w:pPr>
        <w:autoSpaceDE w:val="0"/>
        <w:autoSpaceDN w:val="0"/>
        <w:adjustRightInd w:val="0"/>
        <w:spacing w:line="560" w:lineRule="exact"/>
        <w:rPr>
          <w:rFonts w:ascii="宋体" w:hAnsi="宋体" w:cs="@仿宋_GB2312"/>
          <w:color w:val="000000"/>
          <w:sz w:val="24"/>
          <w:szCs w:val="24"/>
          <w:highlight w:val="none"/>
          <w:lang w:val="zh-CN"/>
        </w:rPr>
      </w:pPr>
    </w:p>
    <w:p>
      <w:pPr>
        <w:autoSpaceDE w:val="0"/>
        <w:autoSpaceDN w:val="0"/>
        <w:adjustRightInd w:val="0"/>
        <w:spacing w:line="560" w:lineRule="exact"/>
        <w:rPr>
          <w:rFonts w:ascii="宋体" w:hAnsi="宋体" w:cs="@仿宋_GB2312"/>
          <w:color w:val="000000"/>
          <w:sz w:val="24"/>
          <w:szCs w:val="24"/>
          <w:highlight w:val="none"/>
          <w:lang w:val="zh-CN"/>
        </w:rPr>
      </w:pPr>
    </w:p>
    <w:p>
      <w:pPr>
        <w:autoSpaceDE w:val="0"/>
        <w:autoSpaceDN w:val="0"/>
        <w:adjustRightInd w:val="0"/>
        <w:spacing w:line="560" w:lineRule="exact"/>
        <w:rPr>
          <w:rFonts w:ascii="宋体" w:hAnsi="宋体" w:cs="@仿宋_GB2312"/>
          <w:color w:val="000000"/>
          <w:sz w:val="24"/>
          <w:szCs w:val="24"/>
          <w:highlight w:val="none"/>
          <w:lang w:val="zh-CN"/>
        </w:rPr>
      </w:pPr>
    </w:p>
    <w:p>
      <w:pPr>
        <w:autoSpaceDE w:val="0"/>
        <w:autoSpaceDN w:val="0"/>
        <w:adjustRightInd w:val="0"/>
        <w:spacing w:line="560" w:lineRule="exact"/>
        <w:rPr>
          <w:rFonts w:ascii="宋体" w:hAnsi="宋体" w:cs="@仿宋_GB2312"/>
          <w:bCs/>
          <w:color w:val="000000"/>
          <w:sz w:val="24"/>
          <w:szCs w:val="24"/>
          <w:highlight w:val="none"/>
          <w:lang w:val="zh-CN"/>
        </w:rPr>
      </w:pPr>
      <w:r>
        <w:rPr>
          <w:rFonts w:hint="eastAsia" w:ascii="宋体" w:hAnsi="宋体" w:cs="@仿宋_GB2312"/>
          <w:bCs/>
          <w:color w:val="000000"/>
          <w:sz w:val="24"/>
          <w:szCs w:val="24"/>
          <w:highlight w:val="none"/>
          <w:lang w:val="zh-CN"/>
        </w:rPr>
        <w:t>甲    方：</w:t>
      </w:r>
      <w:r>
        <w:rPr>
          <w:rFonts w:hint="eastAsia" w:ascii="宋体" w:hAnsi="宋体" w:cs="@仿宋_GB2312"/>
          <w:bCs/>
          <w:color w:val="000000"/>
          <w:sz w:val="24"/>
          <w:szCs w:val="24"/>
          <w:highlight w:val="none"/>
          <w:u w:val="single"/>
          <w:lang w:val="zh-CN"/>
        </w:rPr>
        <w:t xml:space="preserve">    （单位盖章）     </w:t>
      </w:r>
      <w:r>
        <w:rPr>
          <w:rFonts w:hint="eastAsia" w:ascii="宋体" w:hAnsi="宋体" w:cs="@仿宋_GB2312"/>
          <w:bCs/>
          <w:color w:val="000000"/>
          <w:sz w:val="24"/>
          <w:szCs w:val="24"/>
          <w:highlight w:val="none"/>
          <w:lang w:val="zh-CN"/>
        </w:rPr>
        <w:t xml:space="preserve">          乙方：</w:t>
      </w:r>
      <w:r>
        <w:rPr>
          <w:rFonts w:hint="eastAsia" w:ascii="宋体" w:hAnsi="宋体" w:cs="@仿宋_GB2312"/>
          <w:bCs/>
          <w:color w:val="000000"/>
          <w:sz w:val="24"/>
          <w:szCs w:val="24"/>
          <w:highlight w:val="none"/>
          <w:u w:val="single"/>
          <w:lang w:val="zh-CN"/>
        </w:rPr>
        <w:t xml:space="preserve">    （单位盖章）     </w:t>
      </w:r>
    </w:p>
    <w:p>
      <w:pPr>
        <w:autoSpaceDE w:val="0"/>
        <w:autoSpaceDN w:val="0"/>
        <w:adjustRightInd w:val="0"/>
        <w:spacing w:line="560" w:lineRule="exact"/>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法定代表人                               法定代表人</w:t>
      </w:r>
    </w:p>
    <w:p>
      <w:pPr>
        <w:autoSpaceDE w:val="0"/>
        <w:autoSpaceDN w:val="0"/>
        <w:adjustRightInd w:val="0"/>
        <w:spacing w:line="560" w:lineRule="exact"/>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或授权代表（签字）：                      或授权代表（签字）：</w:t>
      </w:r>
    </w:p>
    <w:p>
      <w:pPr>
        <w:widowControl/>
        <w:spacing w:line="560" w:lineRule="exact"/>
        <w:jc w:val="left"/>
        <w:rPr>
          <w:rFonts w:hint="eastAsia" w:ascii="宋体" w:hAnsi="宋体" w:cs="@仿宋_GB2312"/>
          <w:bCs/>
          <w:color w:val="000000"/>
          <w:sz w:val="24"/>
          <w:szCs w:val="24"/>
          <w:highlight w:val="none"/>
        </w:rPr>
      </w:pPr>
      <w:bookmarkStart w:id="83" w:name="_Toc331685783"/>
      <w:r>
        <w:rPr>
          <w:rFonts w:hint="eastAsia" w:ascii="宋体" w:hAnsi="宋体" w:cs="@仿宋_GB2312"/>
          <w:bCs/>
          <w:color w:val="000000"/>
          <w:sz w:val="24"/>
          <w:szCs w:val="24"/>
          <w:highlight w:val="none"/>
        </w:rPr>
        <w:t>时间：</w:t>
      </w:r>
      <w:r>
        <w:rPr>
          <w:rFonts w:hint="eastAsia" w:ascii="宋体" w:hAnsi="宋体" w:cs="@仿宋_GB2312"/>
          <w:bCs/>
          <w:color w:val="000000"/>
          <w:sz w:val="24"/>
          <w:szCs w:val="24"/>
          <w:highlight w:val="none"/>
          <w:u w:val="single"/>
        </w:rPr>
        <w:t xml:space="preserve">      </w:t>
      </w:r>
      <w:r>
        <w:rPr>
          <w:rFonts w:hint="eastAsia" w:ascii="宋体" w:hAnsi="宋体" w:cs="@仿宋_GB2312"/>
          <w:bCs/>
          <w:color w:val="000000"/>
          <w:sz w:val="24"/>
          <w:szCs w:val="24"/>
          <w:highlight w:val="none"/>
        </w:rPr>
        <w:t>年</w:t>
      </w:r>
      <w:r>
        <w:rPr>
          <w:rFonts w:hint="eastAsia" w:ascii="宋体" w:hAnsi="宋体" w:cs="@仿宋_GB2312"/>
          <w:bCs/>
          <w:color w:val="000000"/>
          <w:sz w:val="24"/>
          <w:szCs w:val="24"/>
          <w:highlight w:val="none"/>
          <w:u w:val="single"/>
        </w:rPr>
        <w:t xml:space="preserve">    </w:t>
      </w:r>
      <w:r>
        <w:rPr>
          <w:rFonts w:hint="eastAsia" w:ascii="宋体" w:hAnsi="宋体" w:cs="@仿宋_GB2312"/>
          <w:bCs/>
          <w:color w:val="000000"/>
          <w:sz w:val="24"/>
          <w:szCs w:val="24"/>
          <w:highlight w:val="none"/>
        </w:rPr>
        <w:t>月</w:t>
      </w:r>
      <w:r>
        <w:rPr>
          <w:rFonts w:hint="eastAsia" w:ascii="宋体" w:hAnsi="宋体" w:cs="@仿宋_GB2312"/>
          <w:bCs/>
          <w:color w:val="000000"/>
          <w:sz w:val="24"/>
          <w:szCs w:val="24"/>
          <w:highlight w:val="none"/>
          <w:u w:val="single"/>
        </w:rPr>
        <w:t xml:space="preserve">    </w:t>
      </w:r>
      <w:r>
        <w:rPr>
          <w:rFonts w:hint="eastAsia" w:ascii="宋体" w:hAnsi="宋体" w:cs="@仿宋_GB2312"/>
          <w:bCs/>
          <w:color w:val="000000"/>
          <w:sz w:val="24"/>
          <w:szCs w:val="24"/>
          <w:highlight w:val="none"/>
        </w:rPr>
        <w:t>日               时间：</w:t>
      </w:r>
      <w:r>
        <w:rPr>
          <w:rFonts w:hint="eastAsia" w:ascii="宋体" w:hAnsi="宋体" w:cs="@仿宋_GB2312"/>
          <w:bCs/>
          <w:color w:val="000000"/>
          <w:sz w:val="24"/>
          <w:szCs w:val="24"/>
          <w:highlight w:val="none"/>
          <w:u w:val="single"/>
        </w:rPr>
        <w:t xml:space="preserve">      </w:t>
      </w:r>
      <w:r>
        <w:rPr>
          <w:rFonts w:hint="eastAsia" w:ascii="宋体" w:hAnsi="宋体" w:cs="@仿宋_GB2312"/>
          <w:bCs/>
          <w:color w:val="000000"/>
          <w:sz w:val="24"/>
          <w:szCs w:val="24"/>
          <w:highlight w:val="none"/>
        </w:rPr>
        <w:t>年</w:t>
      </w:r>
      <w:r>
        <w:rPr>
          <w:rFonts w:hint="eastAsia" w:ascii="宋体" w:hAnsi="宋体" w:cs="@仿宋_GB2312"/>
          <w:bCs/>
          <w:color w:val="000000"/>
          <w:sz w:val="24"/>
          <w:szCs w:val="24"/>
          <w:highlight w:val="none"/>
          <w:u w:val="single"/>
        </w:rPr>
        <w:t xml:space="preserve">    </w:t>
      </w:r>
      <w:r>
        <w:rPr>
          <w:rFonts w:hint="eastAsia" w:ascii="宋体" w:hAnsi="宋体" w:cs="@仿宋_GB2312"/>
          <w:bCs/>
          <w:color w:val="000000"/>
          <w:sz w:val="24"/>
          <w:szCs w:val="24"/>
          <w:highlight w:val="none"/>
        </w:rPr>
        <w:t>月</w:t>
      </w:r>
      <w:r>
        <w:rPr>
          <w:rFonts w:hint="eastAsia" w:ascii="宋体" w:hAnsi="宋体" w:cs="@仿宋_GB2312"/>
          <w:bCs/>
          <w:color w:val="000000"/>
          <w:sz w:val="24"/>
          <w:szCs w:val="24"/>
          <w:highlight w:val="none"/>
          <w:u w:val="single"/>
        </w:rPr>
        <w:t xml:space="preserve">    </w:t>
      </w:r>
      <w:r>
        <w:rPr>
          <w:rFonts w:hint="eastAsia" w:ascii="宋体" w:hAnsi="宋体" w:cs="@仿宋_GB2312"/>
          <w:bCs/>
          <w:color w:val="000000"/>
          <w:sz w:val="24"/>
          <w:szCs w:val="24"/>
          <w:highlight w:val="none"/>
        </w:rPr>
        <w:t>日</w:t>
      </w:r>
    </w:p>
    <w:p>
      <w:pPr>
        <w:widowControl/>
        <w:spacing w:line="560" w:lineRule="exact"/>
        <w:jc w:val="left"/>
        <w:rPr>
          <w:rFonts w:hint="eastAsia" w:ascii="宋体" w:hAnsi="宋体" w:cs="@仿宋_GB2312"/>
          <w:bCs/>
          <w:color w:val="000000"/>
          <w:sz w:val="24"/>
          <w:szCs w:val="24"/>
          <w:highlight w:val="none"/>
        </w:rPr>
      </w:pPr>
    </w:p>
    <w:p>
      <w:pPr>
        <w:spacing w:line="360" w:lineRule="auto"/>
        <w:ind w:firstLine="4380" w:firstLineChars="2000"/>
        <w:rPr>
          <w:rFonts w:ascii="宋体" w:hAnsi="宋体"/>
          <w:bCs/>
          <w:color w:val="000000"/>
          <w:sz w:val="24"/>
          <w:szCs w:val="24"/>
          <w:highlight w:val="none"/>
        </w:rPr>
      </w:pPr>
      <w:r>
        <w:rPr>
          <w:rFonts w:hint="eastAsia" w:ascii="宋体" w:hAnsi="宋体"/>
          <w:bCs/>
          <w:color w:val="000000"/>
          <w:sz w:val="24"/>
          <w:szCs w:val="24"/>
          <w:highlight w:val="none"/>
        </w:rPr>
        <w:t>乙方账户信息</w:t>
      </w:r>
    </w:p>
    <w:p>
      <w:pPr>
        <w:spacing w:line="360" w:lineRule="auto"/>
        <w:ind w:firstLine="435"/>
        <w:rPr>
          <w:rFonts w:ascii="宋体" w:hAnsi="宋体"/>
          <w:bCs/>
          <w:color w:val="000000"/>
          <w:sz w:val="24"/>
          <w:szCs w:val="24"/>
          <w:highlight w:val="none"/>
          <w:u w:val="single"/>
        </w:rPr>
      </w:pPr>
      <w:r>
        <w:rPr>
          <w:rFonts w:hint="eastAsia" w:ascii="宋体" w:hAnsi="宋体"/>
          <w:bCs/>
          <w:color w:val="000000"/>
          <w:sz w:val="24"/>
          <w:szCs w:val="24"/>
          <w:highlight w:val="none"/>
        </w:rPr>
        <w:t xml:space="preserve">                                     户名：</w:t>
      </w:r>
      <w:r>
        <w:rPr>
          <w:rFonts w:hint="eastAsia" w:ascii="宋体" w:hAnsi="宋体"/>
          <w:bCs/>
          <w:color w:val="000000"/>
          <w:sz w:val="24"/>
          <w:szCs w:val="24"/>
          <w:highlight w:val="none"/>
          <w:u w:val="single"/>
        </w:rPr>
        <w:t xml:space="preserve">                    </w:t>
      </w:r>
    </w:p>
    <w:p>
      <w:pPr>
        <w:spacing w:line="360" w:lineRule="auto"/>
        <w:ind w:firstLine="435"/>
        <w:rPr>
          <w:rFonts w:ascii="宋体" w:hAnsi="宋体"/>
          <w:bCs/>
          <w:color w:val="000000"/>
          <w:sz w:val="24"/>
          <w:szCs w:val="24"/>
          <w:highlight w:val="none"/>
          <w:u w:val="single"/>
        </w:rPr>
      </w:pPr>
      <w:r>
        <w:rPr>
          <w:rFonts w:hint="eastAsia" w:ascii="宋体" w:hAnsi="宋体"/>
          <w:bCs/>
          <w:color w:val="000000"/>
          <w:sz w:val="24"/>
          <w:szCs w:val="24"/>
          <w:highlight w:val="none"/>
        </w:rPr>
        <w:t xml:space="preserve">                                     账号：</w:t>
      </w:r>
      <w:r>
        <w:rPr>
          <w:rFonts w:hint="eastAsia" w:ascii="宋体" w:hAnsi="宋体"/>
          <w:bCs/>
          <w:color w:val="000000"/>
          <w:sz w:val="24"/>
          <w:szCs w:val="24"/>
          <w:highlight w:val="none"/>
          <w:u w:val="single"/>
        </w:rPr>
        <w:t xml:space="preserve">                    </w:t>
      </w:r>
    </w:p>
    <w:p>
      <w:pPr>
        <w:spacing w:line="360" w:lineRule="auto"/>
        <w:ind w:firstLine="435"/>
        <w:rPr>
          <w:rFonts w:hint="eastAsia" w:ascii="宋体" w:hAnsi="宋体"/>
          <w:bCs/>
          <w:color w:val="000000"/>
          <w:sz w:val="24"/>
          <w:szCs w:val="24"/>
          <w:highlight w:val="none"/>
          <w:u w:val="single"/>
        </w:rPr>
      </w:pPr>
      <w:r>
        <w:rPr>
          <w:rFonts w:hint="eastAsia" w:ascii="宋体" w:hAnsi="宋体"/>
          <w:bCs/>
          <w:color w:val="000000"/>
          <w:sz w:val="24"/>
          <w:szCs w:val="24"/>
          <w:highlight w:val="none"/>
        </w:rPr>
        <w:t xml:space="preserve">                                     开户银行：</w:t>
      </w:r>
      <w:r>
        <w:rPr>
          <w:rFonts w:hint="eastAsia" w:ascii="宋体" w:hAnsi="宋体"/>
          <w:bCs/>
          <w:color w:val="000000"/>
          <w:sz w:val="24"/>
          <w:szCs w:val="24"/>
          <w:highlight w:val="none"/>
          <w:u w:val="single"/>
        </w:rPr>
        <w:t xml:space="preserve">                </w:t>
      </w:r>
    </w:p>
    <w:p>
      <w:pPr>
        <w:widowControl/>
        <w:spacing w:line="560" w:lineRule="exact"/>
        <w:jc w:val="left"/>
        <w:rPr>
          <w:rFonts w:hint="eastAsia" w:ascii="宋体" w:hAnsi="宋体" w:cs="@仿宋_GB2312"/>
          <w:bCs/>
          <w:color w:val="000000"/>
          <w:sz w:val="24"/>
          <w:szCs w:val="24"/>
          <w:highlight w:val="none"/>
        </w:rPr>
      </w:pPr>
    </w:p>
    <w:p>
      <w:pPr>
        <w:widowControl/>
        <w:spacing w:line="560" w:lineRule="exact"/>
        <w:jc w:val="left"/>
        <w:rPr>
          <w:rFonts w:ascii="宋体" w:hAnsi="宋体" w:cs="@仿宋_GB2312"/>
          <w:bCs/>
          <w:color w:val="000000"/>
          <w:sz w:val="24"/>
          <w:szCs w:val="24"/>
          <w:highlight w:val="none"/>
        </w:rPr>
      </w:pPr>
    </w:p>
    <w:p>
      <w:pPr>
        <w:widowControl/>
        <w:spacing w:line="560" w:lineRule="exact"/>
        <w:jc w:val="left"/>
        <w:rPr>
          <w:rFonts w:ascii="宋体" w:hAnsi="宋体" w:cs="@仿宋_GB2312"/>
          <w:bCs/>
          <w:color w:val="000000"/>
          <w:sz w:val="24"/>
          <w:szCs w:val="24"/>
          <w:highlight w:val="none"/>
        </w:rPr>
      </w:pPr>
    </w:p>
    <w:p>
      <w:pPr>
        <w:widowControl/>
        <w:spacing w:line="560" w:lineRule="exact"/>
        <w:jc w:val="left"/>
        <w:rPr>
          <w:rFonts w:ascii="宋体" w:hAnsi="宋体" w:cs="@仿宋_GB2312"/>
          <w:bCs/>
          <w:color w:val="000000"/>
          <w:sz w:val="24"/>
          <w:szCs w:val="24"/>
          <w:highlight w:val="none"/>
        </w:rPr>
      </w:pPr>
    </w:p>
    <w:p>
      <w:pPr>
        <w:widowControl/>
        <w:spacing w:line="560" w:lineRule="exact"/>
        <w:jc w:val="left"/>
        <w:rPr>
          <w:rFonts w:ascii="宋体" w:hAnsi="宋体" w:cs="@仿宋_GB2312"/>
          <w:bCs/>
          <w:color w:val="000000"/>
          <w:sz w:val="24"/>
          <w:szCs w:val="24"/>
          <w:highlight w:val="none"/>
        </w:rPr>
      </w:pPr>
    </w:p>
    <w:p>
      <w:pPr>
        <w:widowControl/>
        <w:jc w:val="left"/>
        <w:rPr>
          <w:rFonts w:ascii="宋体" w:hAnsi="宋体" w:cs="@仿宋_GB2312"/>
          <w:b/>
          <w:color w:val="000000"/>
          <w:sz w:val="24"/>
          <w:szCs w:val="24"/>
          <w:highlight w:val="none"/>
        </w:rPr>
      </w:pPr>
    </w:p>
    <w:p>
      <w:pPr>
        <w:spacing w:line="360" w:lineRule="auto"/>
        <w:jc w:val="center"/>
        <w:outlineLvl w:val="2"/>
        <w:rPr>
          <w:rFonts w:ascii="宋体" w:hAnsi="宋体" w:cs="@仿宋_GB2312"/>
          <w:b/>
          <w:color w:val="000000"/>
          <w:sz w:val="24"/>
          <w:szCs w:val="24"/>
          <w:highlight w:val="none"/>
        </w:rPr>
      </w:pPr>
      <w:r>
        <w:rPr>
          <w:rFonts w:hint="eastAsia" w:ascii="宋体" w:hAnsi="宋体" w:cs="@仿宋_GB2312"/>
          <w:b/>
          <w:color w:val="000000"/>
          <w:sz w:val="24"/>
          <w:szCs w:val="24"/>
          <w:highlight w:val="none"/>
        </w:rPr>
        <w:t>第二部分 合同一般条款</w:t>
      </w:r>
      <w:bookmarkEnd w:id="83"/>
    </w:p>
    <w:p>
      <w:pPr>
        <w:spacing w:line="360" w:lineRule="auto"/>
        <w:ind w:firstLine="437"/>
        <w:outlineLvl w:val="3"/>
        <w:rPr>
          <w:rFonts w:ascii="宋体" w:hAnsi="宋体" w:cs="@仿宋_GB2312"/>
          <w:b/>
          <w:bCs/>
          <w:color w:val="000000"/>
          <w:sz w:val="24"/>
          <w:szCs w:val="24"/>
          <w:highlight w:val="none"/>
          <w:lang w:val="zh-CN"/>
        </w:rPr>
      </w:pPr>
      <w:bookmarkStart w:id="84" w:name="_Ref467379214"/>
      <w:bookmarkStart w:id="85" w:name="_Toc19614"/>
      <w:bookmarkStart w:id="86" w:name="_Ref467378499"/>
      <w:bookmarkStart w:id="87" w:name="_Toc279701240"/>
      <w:bookmarkStart w:id="88" w:name="_Ref467378463"/>
      <w:bookmarkStart w:id="89" w:name="_Toc259093669"/>
      <w:bookmarkStart w:id="90" w:name="_Toc28763"/>
      <w:bookmarkStart w:id="91" w:name="_Toc487900349"/>
      <w:bookmarkStart w:id="92" w:name="_Ref467379101"/>
      <w:bookmarkStart w:id="93" w:name="_Ref467379195"/>
      <w:bookmarkStart w:id="94" w:name="_Ref467378404"/>
      <w:bookmarkStart w:id="95" w:name="_Ref467379205"/>
      <w:bookmarkStart w:id="96" w:name="_Ref467379094"/>
      <w:bookmarkStart w:id="97" w:name="_Toc16917"/>
      <w:bookmarkStart w:id="98" w:name="_Ref467379225"/>
      <w:bookmarkStart w:id="99" w:name="_Ref467379109"/>
      <w:r>
        <w:rPr>
          <w:rFonts w:hint="eastAsia" w:ascii="宋体" w:hAnsi="宋体" w:cs="@仿宋_GB2312"/>
          <w:b/>
          <w:bCs/>
          <w:color w:val="000000"/>
          <w:sz w:val="24"/>
          <w:szCs w:val="24"/>
          <w:highlight w:val="none"/>
          <w:lang w:val="zh-CN"/>
        </w:rPr>
        <w:t>2.1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本合同中的下列词语应按以下内容进行解释：</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2.1.1“合同”系指招标人和中标人签订的载明双方当事人所达成的协议，并包括所有的附件、附录和构成合同的其他文件。</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2.1.2“合同价”系指根据合同约定，中标人在完全履行合同义务后，招标人应支付给中标人的价格。</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2.1.3“服务”系指中标人根据合同约定应向招标人履行的除货物和工程以外的其他招标对象，包括招标人自身需要的服务和向社会公众提供的公共服务。</w:t>
      </w:r>
    </w:p>
    <w:p>
      <w:pPr>
        <w:spacing w:line="360" w:lineRule="auto"/>
        <w:ind w:firstLine="435"/>
        <w:rPr>
          <w:rFonts w:ascii="宋体" w:hAnsi="宋体" w:cs="@仿宋_GB2312"/>
          <w:color w:val="000000"/>
          <w:sz w:val="24"/>
          <w:szCs w:val="24"/>
          <w:highlight w:val="none"/>
        </w:rPr>
      </w:pPr>
      <w:bookmarkStart w:id="100" w:name="_Ref467378840"/>
      <w:r>
        <w:rPr>
          <w:rFonts w:hint="eastAsia" w:ascii="宋体" w:hAnsi="宋体" w:cs="@仿宋_GB2312"/>
          <w:color w:val="000000"/>
          <w:sz w:val="24"/>
          <w:szCs w:val="24"/>
          <w:highlight w:val="none"/>
        </w:rPr>
        <w:t>2.1.4“甲方”系指与中标人签署合同的招标人</w:t>
      </w:r>
      <w:bookmarkEnd w:id="100"/>
      <w:r>
        <w:rPr>
          <w:rFonts w:hint="eastAsia" w:ascii="宋体" w:hAnsi="宋体" w:cs="@仿宋_GB2312"/>
          <w:color w:val="000000"/>
          <w:sz w:val="24"/>
          <w:szCs w:val="24"/>
          <w:highlight w:val="none"/>
        </w:rPr>
        <w:t>；招标人委托招标代理机构代表其与乙方签订合同的，招标人的授权委托书作为合同附件。</w:t>
      </w:r>
    </w:p>
    <w:p>
      <w:pPr>
        <w:spacing w:line="360" w:lineRule="auto"/>
        <w:ind w:firstLine="435"/>
        <w:rPr>
          <w:rFonts w:ascii="宋体" w:hAnsi="宋体" w:cs="@仿宋_GB2312"/>
          <w:color w:val="000000"/>
          <w:sz w:val="24"/>
          <w:szCs w:val="24"/>
          <w:highlight w:val="none"/>
        </w:rPr>
      </w:pPr>
      <w:bookmarkStart w:id="101" w:name="_Ref467379400"/>
      <w:r>
        <w:rPr>
          <w:rFonts w:hint="eastAsia" w:ascii="宋体" w:hAnsi="宋体" w:cs="@仿宋_GB2312"/>
          <w:color w:val="000000"/>
          <w:sz w:val="24"/>
          <w:szCs w:val="24"/>
          <w:highlight w:val="none"/>
        </w:rPr>
        <w:t>2.1.5“乙方”系指根据合同约定提供服务的中标人</w:t>
      </w:r>
      <w:bookmarkEnd w:id="101"/>
      <w:r>
        <w:rPr>
          <w:rFonts w:hint="eastAsia" w:ascii="宋体" w:hAnsi="宋体" w:cs="@仿宋_GB2312"/>
          <w:color w:val="000000"/>
          <w:sz w:val="24"/>
          <w:szCs w:val="24"/>
          <w:highlight w:val="none"/>
        </w:rPr>
        <w:t>；两个以上的自然人、法人或者其他组织组成一个联合体，以一个供应商的身份共同参加投标的，联合体各方均应为乙方或者与乙方相同地位的合同当事人，并就合同约定的事项对甲方承担连带责任。</w:t>
      </w:r>
    </w:p>
    <w:p>
      <w:pPr>
        <w:spacing w:line="360" w:lineRule="auto"/>
        <w:ind w:firstLine="435"/>
        <w:rPr>
          <w:rFonts w:ascii="宋体" w:hAnsi="宋体" w:cs="@仿宋_GB2312"/>
          <w:color w:val="000000"/>
          <w:sz w:val="24"/>
          <w:szCs w:val="24"/>
          <w:highlight w:val="none"/>
        </w:rPr>
      </w:pPr>
      <w:bookmarkStart w:id="102" w:name="_Ref467379436"/>
      <w:r>
        <w:rPr>
          <w:rFonts w:hint="eastAsia" w:ascii="宋体" w:hAnsi="宋体" w:cs="@仿宋_GB2312"/>
          <w:color w:val="000000"/>
          <w:sz w:val="24"/>
          <w:szCs w:val="24"/>
          <w:highlight w:val="none"/>
        </w:rPr>
        <w:t>2.1.6“现场”系指合同约定提供服务的地点。</w:t>
      </w:r>
      <w:bookmarkEnd w:id="102"/>
    </w:p>
    <w:p>
      <w:pPr>
        <w:spacing w:line="360" w:lineRule="auto"/>
        <w:ind w:firstLine="437"/>
        <w:outlineLvl w:val="3"/>
        <w:rPr>
          <w:rFonts w:ascii="宋体" w:hAnsi="宋体" w:cs="@仿宋_GB2312"/>
          <w:b/>
          <w:bCs/>
          <w:color w:val="000000"/>
          <w:sz w:val="24"/>
          <w:szCs w:val="24"/>
          <w:highlight w:val="none"/>
          <w:lang w:val="zh-CN"/>
        </w:rPr>
      </w:pPr>
      <w:bookmarkStart w:id="103" w:name="_Toc13336"/>
      <w:bookmarkStart w:id="104" w:name="_Toc487900350"/>
      <w:bookmarkStart w:id="105" w:name="_Toc32504"/>
      <w:bookmarkStart w:id="106" w:name="_Toc259093670"/>
      <w:bookmarkStart w:id="107" w:name="_Toc27635"/>
      <w:bookmarkStart w:id="108" w:name="_Toc279701241"/>
      <w:r>
        <w:rPr>
          <w:rFonts w:hint="eastAsia" w:ascii="宋体" w:hAnsi="宋体" w:cs="@仿宋_GB2312"/>
          <w:b/>
          <w:bCs/>
          <w:color w:val="000000"/>
          <w:sz w:val="24"/>
          <w:szCs w:val="24"/>
          <w:highlight w:val="none"/>
          <w:lang w:val="zh-CN"/>
        </w:rPr>
        <w:t>2.2 技术规范</w:t>
      </w:r>
      <w:bookmarkEnd w:id="103"/>
      <w:bookmarkEnd w:id="104"/>
      <w:bookmarkEnd w:id="105"/>
      <w:bookmarkEnd w:id="106"/>
      <w:bookmarkEnd w:id="107"/>
      <w:bookmarkEnd w:id="108"/>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firstLine="437"/>
        <w:outlineLvl w:val="3"/>
        <w:rPr>
          <w:rFonts w:ascii="宋体" w:hAnsi="宋体" w:cs="@仿宋_GB2312"/>
          <w:b/>
          <w:bCs/>
          <w:color w:val="000000"/>
          <w:sz w:val="24"/>
          <w:szCs w:val="24"/>
          <w:highlight w:val="none"/>
          <w:lang w:val="zh-CN"/>
        </w:rPr>
      </w:pPr>
      <w:bookmarkStart w:id="109" w:name="_Toc259093671"/>
      <w:bookmarkStart w:id="110" w:name="_Toc27853"/>
      <w:bookmarkStart w:id="111" w:name="_Toc487900351"/>
      <w:bookmarkStart w:id="112" w:name="_Toc31634"/>
      <w:bookmarkStart w:id="113" w:name="_Toc9829"/>
      <w:bookmarkStart w:id="114" w:name="_Toc279701242"/>
      <w:r>
        <w:rPr>
          <w:rFonts w:hint="eastAsia" w:ascii="宋体" w:hAnsi="宋体" w:cs="@仿宋_GB2312"/>
          <w:b/>
          <w:bCs/>
          <w:color w:val="000000"/>
          <w:sz w:val="24"/>
          <w:szCs w:val="24"/>
          <w:highlight w:val="none"/>
          <w:lang w:val="zh-CN"/>
        </w:rPr>
        <w:t>2.3 知识产权</w:t>
      </w:r>
      <w:bookmarkEnd w:id="109"/>
      <w:bookmarkEnd w:id="110"/>
      <w:bookmarkEnd w:id="111"/>
      <w:bookmarkEnd w:id="112"/>
      <w:bookmarkEnd w:id="113"/>
      <w:bookmarkEnd w:id="114"/>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2.3.2具有知识产权的计算机软件等货物的知识产权归属，详见</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w:t>
      </w:r>
    </w:p>
    <w:p>
      <w:pPr>
        <w:spacing w:line="360" w:lineRule="auto"/>
        <w:ind w:firstLine="437"/>
        <w:outlineLvl w:val="3"/>
        <w:rPr>
          <w:rFonts w:ascii="宋体" w:hAnsi="宋体" w:cs="@仿宋_GB2312"/>
          <w:b/>
          <w:bCs/>
          <w:color w:val="000000"/>
          <w:sz w:val="24"/>
          <w:szCs w:val="24"/>
          <w:highlight w:val="none"/>
          <w:lang w:val="zh-CN"/>
        </w:rPr>
      </w:pPr>
      <w:bookmarkStart w:id="115" w:name="_Ref467378541"/>
      <w:bookmarkStart w:id="116" w:name="_Ref467378591"/>
      <w:bookmarkStart w:id="117" w:name="_Ref467379542"/>
      <w:bookmarkStart w:id="118" w:name="_Ref467379536"/>
      <w:bookmarkStart w:id="119" w:name="_Toc279701245"/>
      <w:bookmarkStart w:id="120" w:name="_Toc259093674"/>
      <w:bookmarkStart w:id="121" w:name="_Ref467379527"/>
      <w:bookmarkStart w:id="122" w:name="_Toc487900354"/>
      <w:bookmarkStart w:id="123" w:name="_Toc30272"/>
      <w:bookmarkStart w:id="124" w:name="_Toc26182"/>
      <w:bookmarkStart w:id="125" w:name="_Toc19074"/>
      <w:r>
        <w:rPr>
          <w:rFonts w:hint="eastAsia" w:ascii="宋体" w:hAnsi="宋体" w:cs="@仿宋_GB2312"/>
          <w:b/>
          <w:bCs/>
          <w:color w:val="000000"/>
          <w:sz w:val="24"/>
          <w:szCs w:val="24"/>
          <w:highlight w:val="none"/>
          <w:lang w:val="zh-CN"/>
        </w:rPr>
        <w:t>2.</w:t>
      </w:r>
      <w:bookmarkEnd w:id="115"/>
      <w:bookmarkEnd w:id="116"/>
      <w:bookmarkEnd w:id="117"/>
      <w:bookmarkEnd w:id="118"/>
      <w:bookmarkEnd w:id="119"/>
      <w:bookmarkEnd w:id="120"/>
      <w:bookmarkEnd w:id="121"/>
      <w:bookmarkEnd w:id="122"/>
      <w:r>
        <w:rPr>
          <w:rFonts w:hint="eastAsia" w:ascii="宋体" w:hAnsi="宋体" w:cs="@仿宋_GB2312"/>
          <w:b/>
          <w:bCs/>
          <w:color w:val="000000"/>
          <w:sz w:val="24"/>
          <w:szCs w:val="24"/>
          <w:highlight w:val="none"/>
          <w:lang w:val="zh-CN"/>
        </w:rPr>
        <w:t>4 履约检查和问题反馈</w:t>
      </w:r>
      <w:bookmarkEnd w:id="123"/>
      <w:bookmarkEnd w:id="124"/>
      <w:bookmarkEnd w:id="125"/>
    </w:p>
    <w:p>
      <w:pPr>
        <w:spacing w:line="360" w:lineRule="auto"/>
        <w:ind w:firstLine="435"/>
        <w:rPr>
          <w:rFonts w:ascii="宋体" w:hAnsi="宋体" w:cs="@仿宋_GB2312"/>
          <w:color w:val="000000"/>
          <w:sz w:val="24"/>
          <w:szCs w:val="24"/>
          <w:highlight w:val="none"/>
        </w:rPr>
      </w:pPr>
      <w:bookmarkStart w:id="126" w:name="_Toc186431854"/>
      <w:bookmarkStart w:id="127" w:name="_Ref467379807"/>
      <w:bookmarkStart w:id="128" w:name="_Toc259093676"/>
      <w:bookmarkStart w:id="129" w:name="_Ref467379793"/>
      <w:bookmarkStart w:id="130" w:name="_Toc487900357"/>
      <w:bookmarkStart w:id="131" w:name="_Toc279701247"/>
      <w:r>
        <w:rPr>
          <w:rFonts w:hint="eastAsia" w:ascii="宋体" w:hAnsi="宋体" w:cs="@仿宋_GB2312"/>
          <w:color w:val="000000"/>
          <w:sz w:val="24"/>
          <w:szCs w:val="24"/>
          <w:highlight w:val="none"/>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2.4.2合同履行期间，甲方有权将履行过程中出现的问题反馈给乙方，双方当事人应以书面形式约定需要完善和改进的内容</w:t>
      </w:r>
      <w:bookmarkEnd w:id="126"/>
      <w:bookmarkStart w:id="132" w:name="_Toc186431855"/>
      <w:r>
        <w:rPr>
          <w:rFonts w:hint="eastAsia" w:ascii="宋体" w:hAnsi="宋体" w:cs="@仿宋_GB2312"/>
          <w:color w:val="000000"/>
          <w:sz w:val="24"/>
          <w:szCs w:val="24"/>
          <w:highlight w:val="none"/>
        </w:rPr>
        <w:t>。</w:t>
      </w:r>
    </w:p>
    <w:bookmarkEnd w:id="132"/>
    <w:p>
      <w:pPr>
        <w:spacing w:line="360" w:lineRule="auto"/>
        <w:ind w:firstLine="437"/>
        <w:outlineLvl w:val="3"/>
        <w:rPr>
          <w:rFonts w:ascii="宋体" w:hAnsi="宋体" w:cs="@仿宋_GB2312"/>
          <w:b/>
          <w:bCs/>
          <w:color w:val="000000"/>
          <w:sz w:val="24"/>
          <w:szCs w:val="24"/>
          <w:highlight w:val="none"/>
          <w:lang w:val="zh-CN"/>
        </w:rPr>
      </w:pPr>
      <w:bookmarkStart w:id="133" w:name="_Toc7836"/>
      <w:bookmarkStart w:id="134" w:name="_Toc19219"/>
      <w:bookmarkStart w:id="135" w:name="_Toc28451"/>
      <w:r>
        <w:rPr>
          <w:rFonts w:hint="eastAsia" w:ascii="宋体" w:hAnsi="宋体" w:cs="@仿宋_GB2312"/>
          <w:b/>
          <w:bCs/>
          <w:color w:val="000000"/>
          <w:sz w:val="24"/>
          <w:szCs w:val="24"/>
          <w:highlight w:val="none"/>
          <w:lang w:val="zh-CN"/>
        </w:rPr>
        <w:t>2.5 结算方式和付款条件</w:t>
      </w:r>
      <w:bookmarkEnd w:id="127"/>
      <w:bookmarkEnd w:id="128"/>
      <w:bookmarkEnd w:id="129"/>
      <w:bookmarkEnd w:id="130"/>
      <w:bookmarkEnd w:id="131"/>
      <w:bookmarkEnd w:id="133"/>
      <w:bookmarkEnd w:id="134"/>
      <w:bookmarkEnd w:id="135"/>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详见</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w:t>
      </w:r>
    </w:p>
    <w:p>
      <w:pPr>
        <w:spacing w:line="360" w:lineRule="auto"/>
        <w:ind w:firstLine="437"/>
        <w:outlineLvl w:val="3"/>
        <w:rPr>
          <w:rFonts w:ascii="宋体" w:hAnsi="宋体" w:cs="@仿宋_GB2312"/>
          <w:b/>
          <w:bCs/>
          <w:color w:val="000000"/>
          <w:sz w:val="24"/>
          <w:szCs w:val="24"/>
          <w:highlight w:val="none"/>
          <w:lang w:val="zh-CN"/>
        </w:rPr>
      </w:pPr>
      <w:bookmarkStart w:id="136" w:name="_Ref467379863"/>
      <w:bookmarkStart w:id="137" w:name="_Toc279701248"/>
      <w:bookmarkStart w:id="138" w:name="_Toc487900358"/>
      <w:bookmarkStart w:id="139" w:name="_Ref467379852"/>
      <w:bookmarkStart w:id="140" w:name="_Toc259093677"/>
      <w:bookmarkStart w:id="141" w:name="_Ref467379923"/>
      <w:bookmarkStart w:id="142" w:name="_Toc3225"/>
      <w:bookmarkStart w:id="143" w:name="_Toc16110"/>
      <w:bookmarkStart w:id="144" w:name="_Toc774"/>
      <w:r>
        <w:rPr>
          <w:rFonts w:hint="eastAsia" w:ascii="宋体" w:hAnsi="宋体" w:cs="@仿宋_GB2312"/>
          <w:b/>
          <w:bCs/>
          <w:color w:val="000000"/>
          <w:sz w:val="24"/>
          <w:szCs w:val="24"/>
          <w:highlight w:val="none"/>
          <w:lang w:val="zh-CN"/>
        </w:rPr>
        <w:t>2.6 技术资料</w:t>
      </w:r>
      <w:bookmarkEnd w:id="136"/>
      <w:bookmarkEnd w:id="137"/>
      <w:bookmarkEnd w:id="138"/>
      <w:bookmarkEnd w:id="139"/>
      <w:bookmarkEnd w:id="140"/>
      <w:bookmarkEnd w:id="141"/>
      <w:r>
        <w:rPr>
          <w:rFonts w:hint="eastAsia" w:ascii="宋体" w:hAnsi="宋体" w:cs="@仿宋_GB2312"/>
          <w:b/>
          <w:bCs/>
          <w:color w:val="000000"/>
          <w:sz w:val="24"/>
          <w:szCs w:val="24"/>
          <w:highlight w:val="none"/>
          <w:lang w:val="zh-CN"/>
        </w:rPr>
        <w:t>和保密义务</w:t>
      </w:r>
      <w:bookmarkEnd w:id="142"/>
      <w:bookmarkEnd w:id="143"/>
      <w:bookmarkEnd w:id="144"/>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2.6.1乙方有权依据合同约定和项目需要，向甲方了解有关情况，调阅有关资料等，甲方应予积极配合；</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2.6.2乙方有义务妥善保管和保护由甲方提供的前款信息和资料等；</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宋体" w:hAnsi="宋体" w:cs="@仿宋_GB2312"/>
          <w:b/>
          <w:bCs/>
          <w:color w:val="000000"/>
          <w:sz w:val="24"/>
          <w:szCs w:val="24"/>
          <w:highlight w:val="none"/>
          <w:lang w:val="zh-CN"/>
        </w:rPr>
      </w:pPr>
      <w:bookmarkStart w:id="145" w:name="_Toc7860"/>
      <w:r>
        <w:rPr>
          <w:rFonts w:hint="eastAsia" w:ascii="宋体" w:hAnsi="宋体" w:cs="@仿宋_GB2312"/>
          <w:b/>
          <w:bCs/>
          <w:color w:val="000000"/>
          <w:sz w:val="24"/>
          <w:szCs w:val="24"/>
          <w:highlight w:val="none"/>
          <w:lang w:val="zh-CN"/>
        </w:rPr>
        <w:t>2.7 质量保证</w:t>
      </w:r>
      <w:bookmarkEnd w:id="145"/>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2.7.1乙方应建立和完善履行合同的内部质量保证体系，并提供相关内部规章制度给甲方，以便甲方进行监督检查；</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cs="@仿宋_GB2312"/>
          <w:b/>
          <w:color w:val="000000"/>
          <w:sz w:val="24"/>
          <w:szCs w:val="24"/>
          <w:highlight w:val="none"/>
        </w:rPr>
      </w:pPr>
      <w:bookmarkStart w:id="146" w:name="_Toc22267"/>
      <w:r>
        <w:rPr>
          <w:rFonts w:hint="eastAsia" w:ascii="宋体" w:hAnsi="宋体" w:cs="@仿宋_GB2312"/>
          <w:b/>
          <w:color w:val="000000"/>
          <w:sz w:val="24"/>
          <w:szCs w:val="24"/>
          <w:highlight w:val="none"/>
        </w:rPr>
        <w:t>2.8 延迟履行</w:t>
      </w:r>
      <w:bookmarkEnd w:id="146"/>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宋体" w:hAnsi="宋体" w:cs="@仿宋_GB2312"/>
          <w:b/>
          <w:bCs/>
          <w:color w:val="000000"/>
          <w:sz w:val="24"/>
          <w:szCs w:val="24"/>
          <w:highlight w:val="none"/>
          <w:lang w:val="zh-CN"/>
        </w:rPr>
      </w:pPr>
      <w:bookmarkStart w:id="147" w:name="_Toc7502"/>
      <w:bookmarkStart w:id="148" w:name="_Toc259093683"/>
      <w:bookmarkStart w:id="149" w:name="_Toc487900364"/>
      <w:bookmarkStart w:id="150" w:name="_Ref467378121"/>
      <w:bookmarkStart w:id="151" w:name="_Toc279701254"/>
      <w:r>
        <w:rPr>
          <w:rFonts w:hint="eastAsia" w:ascii="宋体" w:hAnsi="宋体" w:cs="@仿宋_GB2312"/>
          <w:b/>
          <w:bCs/>
          <w:color w:val="000000"/>
          <w:sz w:val="24"/>
          <w:szCs w:val="24"/>
          <w:highlight w:val="none"/>
          <w:lang w:val="zh-CN"/>
        </w:rPr>
        <w:t>2.9 合同变更</w:t>
      </w:r>
      <w:bookmarkEnd w:id="147"/>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2.9.1双方当事人协商一致，可以签订书面补充合同的形式变更合同，但不得违背招标文件确定的事项；</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2.9.2合同继续履行将损害国家利益和社会公共利益的，双方当事人应当以书面形式变更合同。有过错的一方应当承担赔偿责任，双方当事人都有过错的，各自承担相应的责任。</w:t>
      </w:r>
      <w:bookmarkStart w:id="152" w:name="_Toc259093688"/>
      <w:bookmarkStart w:id="153" w:name="_Toc487900369"/>
      <w:bookmarkStart w:id="154" w:name="_Toc279701259"/>
    </w:p>
    <w:p>
      <w:pPr>
        <w:spacing w:line="360" w:lineRule="auto"/>
        <w:ind w:firstLine="437"/>
        <w:outlineLvl w:val="3"/>
        <w:rPr>
          <w:rFonts w:ascii="宋体" w:hAnsi="宋体" w:cs="@仿宋_GB2312"/>
          <w:b/>
          <w:bCs/>
          <w:color w:val="000000"/>
          <w:sz w:val="24"/>
          <w:szCs w:val="24"/>
          <w:highlight w:val="none"/>
          <w:lang w:val="zh-CN"/>
        </w:rPr>
      </w:pPr>
      <w:bookmarkStart w:id="155" w:name="_Toc15237"/>
      <w:bookmarkStart w:id="156" w:name="_Toc10366"/>
      <w:bookmarkStart w:id="157" w:name="_Toc22955"/>
      <w:r>
        <w:rPr>
          <w:rFonts w:hint="eastAsia" w:ascii="宋体" w:hAnsi="宋体" w:cs="@仿宋_GB2312"/>
          <w:b/>
          <w:bCs/>
          <w:color w:val="000000"/>
          <w:sz w:val="24"/>
          <w:szCs w:val="24"/>
          <w:highlight w:val="none"/>
          <w:lang w:val="zh-CN"/>
        </w:rPr>
        <w:t>2.10 合同转让</w:t>
      </w:r>
      <w:bookmarkEnd w:id="152"/>
      <w:bookmarkEnd w:id="153"/>
      <w:bookmarkEnd w:id="154"/>
      <w:r>
        <w:rPr>
          <w:rFonts w:hint="eastAsia" w:ascii="宋体" w:hAnsi="宋体" w:cs="@仿宋_GB2312"/>
          <w:b/>
          <w:bCs/>
          <w:color w:val="000000"/>
          <w:sz w:val="24"/>
          <w:szCs w:val="24"/>
          <w:highlight w:val="none"/>
          <w:lang w:val="zh-CN"/>
        </w:rPr>
        <w:t>和分包</w:t>
      </w:r>
      <w:bookmarkEnd w:id="155"/>
      <w:bookmarkEnd w:id="156"/>
      <w:bookmarkEnd w:id="157"/>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宋体" w:hAnsi="宋体" w:cs="@仿宋_GB2312"/>
          <w:b/>
          <w:bCs/>
          <w:color w:val="000000"/>
          <w:sz w:val="24"/>
          <w:szCs w:val="24"/>
          <w:highlight w:val="none"/>
          <w:lang w:val="zh-CN"/>
        </w:rPr>
      </w:pPr>
      <w:bookmarkStart w:id="158" w:name="_Toc13566"/>
      <w:bookmarkStart w:id="159" w:name="_Toc14066"/>
      <w:bookmarkStart w:id="160" w:name="_Toc16508"/>
      <w:r>
        <w:rPr>
          <w:rFonts w:hint="eastAsia" w:ascii="宋体" w:hAnsi="宋体" w:cs="@仿宋_GB2312"/>
          <w:b/>
          <w:bCs/>
          <w:color w:val="000000"/>
          <w:sz w:val="24"/>
          <w:szCs w:val="24"/>
          <w:highlight w:val="none"/>
          <w:lang w:val="zh-CN"/>
        </w:rPr>
        <w:t>2.11 不可抗力</w:t>
      </w:r>
      <w:bookmarkEnd w:id="158"/>
      <w:bookmarkEnd w:id="159"/>
      <w:bookmarkEnd w:id="160"/>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2.11.1如果任何一方遭遇法律规定的不可抗力，致使合同履行受阻时，履行合同的期限应予延长，延长的期限应相当于不可抗力所影响的时间；</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2.11.2因不可抗力致使不能实现合同目的的，当事人可以解除合同；</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2.11.3因不可抗力致使合同有变更必要的，双方当事人应在</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约定时间内以书面形式变更合同；</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2.11.4受不可抗力影响的一方在不可抗力发生后，应在</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约定时间内以书面形式通知对方当事人，并在</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约定时间内，将有关部门出具的证明文件送达对方当事人。</w:t>
      </w:r>
    </w:p>
    <w:p>
      <w:pPr>
        <w:spacing w:line="360" w:lineRule="auto"/>
        <w:ind w:firstLine="437"/>
        <w:outlineLvl w:val="3"/>
        <w:rPr>
          <w:rFonts w:ascii="宋体" w:hAnsi="宋体" w:cs="@仿宋_GB2312"/>
          <w:b/>
          <w:bCs/>
          <w:color w:val="000000"/>
          <w:sz w:val="24"/>
          <w:szCs w:val="24"/>
          <w:highlight w:val="none"/>
          <w:lang w:val="zh-CN"/>
        </w:rPr>
      </w:pPr>
      <w:bookmarkStart w:id="161" w:name="_Toc279701255"/>
      <w:bookmarkStart w:id="162" w:name="_Toc30676"/>
      <w:bookmarkStart w:id="163" w:name="_Toc6969"/>
      <w:bookmarkStart w:id="164" w:name="_Toc487900365"/>
      <w:bookmarkStart w:id="165" w:name="_Toc689"/>
      <w:bookmarkStart w:id="166" w:name="_Toc259093684"/>
      <w:r>
        <w:rPr>
          <w:rFonts w:hint="eastAsia" w:ascii="宋体" w:hAnsi="宋体" w:cs="@仿宋_GB2312"/>
          <w:b/>
          <w:bCs/>
          <w:color w:val="000000"/>
          <w:sz w:val="24"/>
          <w:szCs w:val="24"/>
          <w:highlight w:val="none"/>
          <w:lang w:val="zh-CN"/>
        </w:rPr>
        <w:t>2.12 税费</w:t>
      </w:r>
      <w:bookmarkEnd w:id="161"/>
      <w:bookmarkEnd w:id="162"/>
      <w:bookmarkEnd w:id="163"/>
      <w:bookmarkEnd w:id="164"/>
      <w:bookmarkEnd w:id="165"/>
      <w:bookmarkEnd w:id="166"/>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与合同有关的一切税费，均按照中华人民共和国法律的相关规定缴纳。</w:t>
      </w:r>
    </w:p>
    <w:p>
      <w:pPr>
        <w:spacing w:line="360" w:lineRule="auto"/>
        <w:ind w:firstLine="437"/>
        <w:outlineLvl w:val="3"/>
        <w:rPr>
          <w:rFonts w:ascii="宋体" w:hAnsi="宋体" w:cs="@仿宋_GB2312"/>
          <w:b/>
          <w:bCs/>
          <w:color w:val="000000"/>
          <w:sz w:val="24"/>
          <w:szCs w:val="24"/>
          <w:highlight w:val="none"/>
          <w:lang w:val="zh-CN"/>
        </w:rPr>
      </w:pPr>
      <w:bookmarkStart w:id="167" w:name="_Toc8298"/>
      <w:bookmarkStart w:id="168" w:name="_Toc259093687"/>
      <w:bookmarkStart w:id="169" w:name="_Toc16959"/>
      <w:bookmarkStart w:id="170" w:name="_Toc487900368"/>
      <w:bookmarkStart w:id="171" w:name="_Toc7102"/>
      <w:bookmarkStart w:id="172" w:name="_Toc279701258"/>
      <w:r>
        <w:rPr>
          <w:rFonts w:hint="eastAsia" w:ascii="宋体" w:hAnsi="宋体" w:cs="@仿宋_GB2312"/>
          <w:b/>
          <w:bCs/>
          <w:color w:val="000000"/>
          <w:sz w:val="24"/>
          <w:szCs w:val="24"/>
          <w:highlight w:val="none"/>
          <w:lang w:val="zh-CN"/>
        </w:rPr>
        <w:t>2.13 乙方破产</w:t>
      </w:r>
      <w:bookmarkEnd w:id="167"/>
      <w:bookmarkEnd w:id="168"/>
      <w:bookmarkEnd w:id="169"/>
      <w:bookmarkEnd w:id="170"/>
      <w:bookmarkEnd w:id="171"/>
      <w:bookmarkEnd w:id="172"/>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宋体" w:hAnsi="宋体" w:cs="@仿宋_GB2312"/>
          <w:b/>
          <w:color w:val="000000"/>
          <w:sz w:val="24"/>
          <w:szCs w:val="24"/>
          <w:highlight w:val="none"/>
        </w:rPr>
      </w:pPr>
      <w:bookmarkStart w:id="173" w:name="_Toc29333"/>
      <w:bookmarkStart w:id="174" w:name="_Toc6134"/>
      <w:bookmarkStart w:id="175" w:name="_Toc15387"/>
      <w:r>
        <w:rPr>
          <w:rFonts w:hint="eastAsia" w:ascii="宋体" w:hAnsi="宋体" w:cs="@仿宋_GB2312"/>
          <w:b/>
          <w:bCs/>
          <w:color w:val="000000"/>
          <w:sz w:val="24"/>
          <w:szCs w:val="24"/>
          <w:highlight w:val="none"/>
          <w:lang w:val="zh-CN"/>
        </w:rPr>
        <w:t>2.14 合同中止、终止</w:t>
      </w:r>
      <w:bookmarkEnd w:id="173"/>
      <w:bookmarkEnd w:id="174"/>
      <w:bookmarkEnd w:id="175"/>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2.14.1双方当事人不得擅自中止或者终止合同；</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cs="@仿宋_GB2312"/>
          <w:b/>
          <w:bCs/>
          <w:color w:val="000000"/>
          <w:sz w:val="24"/>
          <w:szCs w:val="24"/>
          <w:highlight w:val="none"/>
          <w:lang w:val="zh-CN"/>
        </w:rPr>
      </w:pPr>
      <w:bookmarkStart w:id="176" w:name="_Toc6596"/>
      <w:bookmarkStart w:id="177" w:name="_Toc14563"/>
      <w:bookmarkStart w:id="178" w:name="_Toc1125"/>
      <w:r>
        <w:rPr>
          <w:rFonts w:hint="eastAsia" w:ascii="宋体" w:hAnsi="宋体" w:cs="@仿宋_GB2312"/>
          <w:b/>
          <w:bCs/>
          <w:color w:val="000000"/>
          <w:sz w:val="24"/>
          <w:szCs w:val="24"/>
          <w:highlight w:val="none"/>
          <w:lang w:val="zh-CN"/>
        </w:rPr>
        <w:t>2.15 检验和验收</w:t>
      </w:r>
      <w:bookmarkEnd w:id="176"/>
      <w:bookmarkEnd w:id="177"/>
      <w:bookmarkEnd w:id="178"/>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2.15.1乙方按照</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的约定，定期提交服务报告，甲方按照</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的约定进行定期验收；</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2.15.3检验和验收标准、程序等具体内容以及前述验收书的效力详见</w:t>
      </w:r>
      <w:r>
        <w:rPr>
          <w:rFonts w:hint="eastAsia" w:ascii="宋体" w:hAnsi="宋体" w:cs="@仿宋_GB2312"/>
          <w:b/>
          <w:i/>
          <w:color w:val="000000"/>
          <w:sz w:val="24"/>
          <w:szCs w:val="24"/>
          <w:highlight w:val="none"/>
          <w:u w:val="single"/>
        </w:rPr>
        <w:t>合同专用条款</w:t>
      </w:r>
      <w:r>
        <w:rPr>
          <w:rFonts w:hint="eastAsia" w:ascii="宋体" w:hAnsi="宋体" w:cs="@仿宋_GB2312"/>
          <w:i/>
          <w:color w:val="000000"/>
          <w:sz w:val="24"/>
          <w:szCs w:val="24"/>
          <w:highlight w:val="none"/>
        </w:rPr>
        <w:t>。</w:t>
      </w:r>
    </w:p>
    <w:bookmarkEnd w:id="148"/>
    <w:bookmarkEnd w:id="149"/>
    <w:bookmarkEnd w:id="150"/>
    <w:bookmarkEnd w:id="151"/>
    <w:p>
      <w:pPr>
        <w:spacing w:line="360" w:lineRule="auto"/>
        <w:ind w:firstLine="437"/>
        <w:outlineLvl w:val="3"/>
        <w:rPr>
          <w:rFonts w:ascii="宋体" w:hAnsi="宋体" w:cs="@仿宋_GB2312"/>
          <w:b/>
          <w:bCs/>
          <w:color w:val="000000"/>
          <w:sz w:val="24"/>
          <w:szCs w:val="24"/>
          <w:highlight w:val="none"/>
        </w:rPr>
      </w:pPr>
      <w:bookmarkStart w:id="179" w:name="_Toc18567"/>
      <w:bookmarkStart w:id="180" w:name="_Toc487900373"/>
      <w:bookmarkStart w:id="181" w:name="_Toc279701263"/>
      <w:bookmarkStart w:id="182" w:name="_Toc10330"/>
      <w:bookmarkStart w:id="183" w:name="_Toc12773"/>
      <w:bookmarkStart w:id="184" w:name="_Toc259093692"/>
      <w:r>
        <w:rPr>
          <w:rFonts w:hint="eastAsia" w:ascii="宋体" w:hAnsi="宋体" w:cs="@仿宋_GB2312"/>
          <w:b/>
          <w:bCs/>
          <w:color w:val="000000"/>
          <w:sz w:val="24"/>
          <w:szCs w:val="24"/>
          <w:highlight w:val="none"/>
        </w:rPr>
        <w:t xml:space="preserve">2.16 </w:t>
      </w:r>
      <w:r>
        <w:rPr>
          <w:rFonts w:hint="eastAsia" w:ascii="宋体" w:hAnsi="宋体" w:cs="@仿宋_GB2312"/>
          <w:b/>
          <w:bCs/>
          <w:color w:val="000000"/>
          <w:sz w:val="24"/>
          <w:szCs w:val="24"/>
          <w:highlight w:val="none"/>
          <w:lang w:val="zh-CN"/>
        </w:rPr>
        <w:t>合同使用的文字和适用的法律</w:t>
      </w:r>
      <w:bookmarkEnd w:id="179"/>
      <w:bookmarkEnd w:id="180"/>
      <w:bookmarkEnd w:id="181"/>
      <w:bookmarkEnd w:id="182"/>
      <w:bookmarkEnd w:id="183"/>
      <w:bookmarkEnd w:id="184"/>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2.16.1合同使用汉语书就、变更和解释；</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2.16.2合同适用中华人民共和国法律。</w:t>
      </w:r>
    </w:p>
    <w:p>
      <w:pPr>
        <w:spacing w:line="360" w:lineRule="auto"/>
        <w:ind w:firstLine="437"/>
        <w:outlineLvl w:val="3"/>
        <w:rPr>
          <w:rFonts w:ascii="宋体" w:hAnsi="宋体" w:cs="@仿宋_GB2312"/>
          <w:b/>
          <w:color w:val="000000"/>
          <w:sz w:val="24"/>
          <w:szCs w:val="24"/>
          <w:highlight w:val="none"/>
        </w:rPr>
      </w:pPr>
      <w:bookmarkStart w:id="185" w:name="_Toc279701264"/>
      <w:bookmarkStart w:id="186" w:name="_Toc16673"/>
      <w:bookmarkStart w:id="187" w:name="_Toc3148"/>
      <w:bookmarkStart w:id="188" w:name="_Toc12004"/>
      <w:bookmarkStart w:id="189" w:name="_Toc259093693"/>
      <w:bookmarkStart w:id="190" w:name="_Toc487900374"/>
      <w:r>
        <w:rPr>
          <w:rFonts w:hint="eastAsia" w:ascii="宋体" w:hAnsi="宋体" w:cs="@仿宋_GB2312"/>
          <w:b/>
          <w:bCs/>
          <w:color w:val="000000"/>
          <w:sz w:val="24"/>
          <w:szCs w:val="24"/>
          <w:highlight w:val="none"/>
          <w:lang w:val="zh-CN"/>
        </w:rPr>
        <w:t>2.17 履约保证金</w:t>
      </w:r>
      <w:bookmarkEnd w:id="185"/>
      <w:bookmarkEnd w:id="186"/>
      <w:bookmarkEnd w:id="187"/>
      <w:bookmarkEnd w:id="188"/>
      <w:bookmarkEnd w:id="189"/>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2.17.1招标文件要求乙方提交履约保证金的，乙方应按</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约定的方式，以支票、汇票、本票或者金融机构、担保机构出具的保函等非现金形式，提交履约保证金；</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2.17.2履约保证金在</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约定期间内不予退还或者应完全有效，前述约定期间届满后，甲方应将履约保证金退还乙方；</w:t>
      </w:r>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90"/>
    <w:p>
      <w:pPr>
        <w:spacing w:line="360" w:lineRule="auto"/>
        <w:ind w:firstLine="437"/>
        <w:outlineLvl w:val="3"/>
        <w:rPr>
          <w:rFonts w:ascii="宋体" w:hAnsi="宋体" w:cs="@仿宋_GB2312"/>
          <w:b/>
          <w:color w:val="000000"/>
          <w:sz w:val="24"/>
          <w:szCs w:val="24"/>
          <w:highlight w:val="none"/>
        </w:rPr>
      </w:pPr>
      <w:bookmarkStart w:id="191" w:name="_Toc19890"/>
      <w:bookmarkStart w:id="192" w:name="_Toc6885"/>
      <w:bookmarkStart w:id="193" w:name="_Toc14001"/>
      <w:r>
        <w:rPr>
          <w:rFonts w:hint="eastAsia" w:ascii="宋体" w:hAnsi="宋体" w:cs="@仿宋_GB2312"/>
          <w:b/>
          <w:bCs/>
          <w:color w:val="000000"/>
          <w:sz w:val="24"/>
          <w:szCs w:val="24"/>
          <w:highlight w:val="none"/>
          <w:lang w:val="zh-CN"/>
        </w:rPr>
        <w:t>2.18 合同份数</w:t>
      </w:r>
      <w:bookmarkEnd w:id="191"/>
      <w:bookmarkEnd w:id="192"/>
      <w:bookmarkEnd w:id="193"/>
    </w:p>
    <w:p>
      <w:pPr>
        <w:spacing w:line="360" w:lineRule="auto"/>
        <w:ind w:firstLine="435"/>
        <w:rPr>
          <w:rFonts w:hint="eastAsia" w:ascii="宋体" w:hAnsi="宋体" w:cs="@仿宋_GB2312"/>
          <w:color w:val="000000"/>
          <w:sz w:val="24"/>
          <w:szCs w:val="24"/>
          <w:highlight w:val="none"/>
        </w:rPr>
      </w:pPr>
      <w:r>
        <w:rPr>
          <w:rFonts w:hint="eastAsia" w:ascii="宋体" w:hAnsi="宋体" w:cs="@仿宋_GB2312"/>
          <w:color w:val="000000"/>
          <w:sz w:val="24"/>
          <w:szCs w:val="24"/>
          <w:highlight w:val="none"/>
        </w:rPr>
        <w:t>合同份数按</w:t>
      </w:r>
      <w:r>
        <w:rPr>
          <w:rFonts w:hint="eastAsia" w:ascii="宋体" w:hAnsi="宋体" w:cs="@仿宋_GB2312"/>
          <w:b/>
          <w:i/>
          <w:color w:val="000000"/>
          <w:sz w:val="24"/>
          <w:szCs w:val="24"/>
          <w:highlight w:val="none"/>
          <w:u w:val="single"/>
        </w:rPr>
        <w:t>合同专用条款</w:t>
      </w:r>
      <w:r>
        <w:rPr>
          <w:rFonts w:hint="eastAsia" w:ascii="宋体" w:hAnsi="宋体" w:cs="@仿宋_GB2312"/>
          <w:color w:val="000000"/>
          <w:sz w:val="24"/>
          <w:szCs w:val="24"/>
          <w:highlight w:val="none"/>
        </w:rPr>
        <w:t>规定，每份均具有同等法律效力。</w:t>
      </w: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hint="eastAsia" w:ascii="宋体" w:hAnsi="宋体" w:cs="@仿宋_GB2312"/>
          <w:color w:val="000000"/>
          <w:sz w:val="24"/>
          <w:szCs w:val="24"/>
          <w:highlight w:val="none"/>
        </w:rPr>
      </w:pPr>
    </w:p>
    <w:p>
      <w:pPr>
        <w:spacing w:line="360" w:lineRule="auto"/>
        <w:ind w:firstLine="435"/>
        <w:rPr>
          <w:rFonts w:ascii="宋体" w:hAnsi="宋体" w:cs="@仿宋_GB2312"/>
          <w:color w:val="000000"/>
          <w:sz w:val="24"/>
          <w:szCs w:val="24"/>
          <w:highlight w:val="none"/>
        </w:rPr>
      </w:pPr>
    </w:p>
    <w:p>
      <w:pPr>
        <w:spacing w:line="360" w:lineRule="auto"/>
        <w:jc w:val="center"/>
        <w:outlineLvl w:val="2"/>
        <w:rPr>
          <w:rFonts w:ascii="宋体" w:hAnsi="宋体" w:cs="@仿宋_GB2312"/>
          <w:b/>
          <w:color w:val="000000"/>
          <w:sz w:val="24"/>
          <w:szCs w:val="24"/>
          <w:highlight w:val="none"/>
        </w:rPr>
      </w:pPr>
      <w:bookmarkStart w:id="194" w:name="_Toc331685784"/>
      <w:r>
        <w:rPr>
          <w:rFonts w:hint="eastAsia" w:ascii="宋体" w:hAnsi="宋体" w:cs="@仿宋_GB2312"/>
          <w:b/>
          <w:color w:val="000000"/>
          <w:sz w:val="24"/>
          <w:szCs w:val="24"/>
          <w:highlight w:val="none"/>
        </w:rPr>
        <w:t>第三部分 合同专用条款</w:t>
      </w:r>
      <w:bookmarkEnd w:id="194"/>
    </w:p>
    <w:p>
      <w:pPr>
        <w:spacing w:line="360" w:lineRule="auto"/>
        <w:ind w:firstLine="435"/>
        <w:rPr>
          <w:rFonts w:ascii="宋体" w:hAnsi="宋体" w:cs="@仿宋_GB2312"/>
          <w:color w:val="000000"/>
          <w:sz w:val="24"/>
          <w:szCs w:val="24"/>
          <w:highlight w:val="none"/>
        </w:rPr>
      </w:pPr>
      <w:r>
        <w:rPr>
          <w:rFonts w:hint="eastAsia" w:ascii="宋体" w:hAnsi="宋体" w:cs="@仿宋_GB2312"/>
          <w:color w:val="000000"/>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8"/>
        <w:gridCol w:w="81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cs="@仿宋_GB2312"/>
                <w:b/>
                <w:color w:val="000000"/>
                <w:sz w:val="24"/>
                <w:szCs w:val="24"/>
                <w:highlight w:val="none"/>
              </w:rPr>
            </w:pPr>
            <w:r>
              <w:rPr>
                <w:rFonts w:hint="eastAsia" w:ascii="宋体" w:hAnsi="宋体" w:cs="@仿宋_GB2312"/>
                <w:b/>
                <w:color w:val="000000"/>
                <w:sz w:val="24"/>
                <w:szCs w:val="24"/>
                <w:highlight w:val="none"/>
              </w:rPr>
              <w:t>条款号</w:t>
            </w:r>
          </w:p>
        </w:tc>
        <w:tc>
          <w:tcPr>
            <w:tcW w:w="452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仿宋_GB2312"/>
                <w:b/>
                <w:color w:val="000000"/>
                <w:sz w:val="24"/>
                <w:szCs w:val="24"/>
                <w:highlight w:val="none"/>
              </w:rPr>
            </w:pPr>
            <w:r>
              <w:rPr>
                <w:rFonts w:hint="eastAsia" w:ascii="宋体" w:hAnsi="宋体" w:cs="@仿宋_GB2312"/>
                <w:b/>
                <w:color w:val="000000"/>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highlight w:val="none"/>
              </w:rPr>
            </w:pPr>
          </w:p>
        </w:tc>
      </w:tr>
    </w:tbl>
    <w:p>
      <w:pPr>
        <w:pStyle w:val="82"/>
        <w:spacing w:before="0" w:after="0" w:line="420" w:lineRule="exact"/>
        <w:ind w:left="0" w:right="-710"/>
        <w:rPr>
          <w:rFonts w:hint="eastAsia" w:ascii="宋体" w:hAnsi="宋体"/>
          <w:color w:val="000000"/>
          <w:kern w:val="2"/>
          <w:szCs w:val="24"/>
          <w:highlight w:val="none"/>
        </w:rPr>
      </w:pPr>
    </w:p>
    <w:p>
      <w:pPr>
        <w:spacing w:before="100" w:beforeLines="50" w:beforeAutospacing="1" w:after="100" w:afterLines="30" w:afterAutospacing="1" w:line="360" w:lineRule="auto"/>
        <w:rPr>
          <w:rFonts w:hint="eastAsia" w:ascii="宋体" w:hAnsi="宋体"/>
          <w:color w:val="000000"/>
          <w:sz w:val="24"/>
          <w:szCs w:val="27"/>
          <w:highlight w:val="none"/>
        </w:rPr>
      </w:pPr>
    </w:p>
    <w:p>
      <w:pPr>
        <w:spacing w:before="100" w:beforeLines="50" w:beforeAutospacing="1" w:after="100" w:afterLines="30" w:afterAutospacing="1" w:line="360" w:lineRule="auto"/>
        <w:rPr>
          <w:rFonts w:hint="eastAsia" w:ascii="宋体" w:hAnsi="宋体"/>
          <w:color w:val="000000"/>
          <w:sz w:val="24"/>
          <w:szCs w:val="27"/>
          <w:highlight w:val="none"/>
        </w:rPr>
      </w:pPr>
    </w:p>
    <w:p>
      <w:pPr>
        <w:spacing w:before="100" w:beforeLines="50" w:beforeAutospacing="1" w:after="100" w:afterLines="30" w:afterAutospacing="1" w:line="360" w:lineRule="auto"/>
        <w:rPr>
          <w:rFonts w:hint="eastAsia" w:ascii="宋体" w:hAnsi="宋体"/>
          <w:color w:val="000000"/>
          <w:sz w:val="24"/>
          <w:szCs w:val="27"/>
          <w:highlight w:val="none"/>
        </w:rPr>
      </w:pPr>
    </w:p>
    <w:p>
      <w:pPr>
        <w:jc w:val="left"/>
        <w:rPr>
          <w:rFonts w:ascii="宋体" w:hAnsi="宋体"/>
          <w:b/>
          <w:color w:val="000000"/>
          <w:sz w:val="24"/>
          <w:szCs w:val="24"/>
          <w:highlight w:val="none"/>
        </w:rPr>
      </w:pPr>
      <w:r>
        <w:rPr>
          <w:rFonts w:hint="eastAsia" w:ascii="宋体" w:hAnsi="宋体"/>
          <w:b/>
          <w:color w:val="000000"/>
          <w:sz w:val="24"/>
          <w:szCs w:val="24"/>
          <w:highlight w:val="none"/>
        </w:rPr>
        <w:t>合同附件：</w:t>
      </w:r>
    </w:p>
    <w:p>
      <w:pPr>
        <w:jc w:val="center"/>
        <w:rPr>
          <w:rFonts w:ascii="宋体" w:hAnsi="宋体"/>
          <w:b/>
          <w:bCs/>
          <w:color w:val="000000"/>
          <w:sz w:val="24"/>
          <w:highlight w:val="none"/>
        </w:rPr>
      </w:pPr>
      <w:r>
        <w:rPr>
          <w:rFonts w:hint="eastAsia" w:ascii="宋体" w:hAnsi="宋体"/>
          <w:b/>
          <w:bCs/>
          <w:color w:val="000000"/>
          <w:sz w:val="24"/>
          <w:highlight w:val="none"/>
        </w:rPr>
        <w:t>承  诺  书</w:t>
      </w:r>
    </w:p>
    <w:p>
      <w:pPr>
        <w:spacing w:line="360" w:lineRule="auto"/>
        <w:rPr>
          <w:rFonts w:ascii="宋体" w:hAnsi="宋体"/>
          <w:color w:val="000000"/>
          <w:sz w:val="24"/>
          <w:szCs w:val="24"/>
          <w:highlight w:val="none"/>
        </w:rPr>
      </w:pPr>
    </w:p>
    <w:p>
      <w:pPr>
        <w:spacing w:line="360" w:lineRule="auto"/>
        <w:ind w:firstLine="438" w:firstLineChars="200"/>
        <w:rPr>
          <w:rFonts w:ascii="宋体" w:hAnsi="宋体"/>
          <w:color w:val="000000"/>
          <w:sz w:val="24"/>
          <w:szCs w:val="24"/>
          <w:highlight w:val="none"/>
        </w:rPr>
      </w:pPr>
      <w:r>
        <w:rPr>
          <w:rFonts w:hint="eastAsia" w:ascii="宋体" w:hAnsi="宋体"/>
          <w:color w:val="000000"/>
          <w:sz w:val="24"/>
          <w:szCs w:val="24"/>
          <w:highlight w:val="none"/>
        </w:rPr>
        <w:t>为维护招投标工作的严肃性，甲乙双方郑重声明并承诺如下：</w:t>
      </w:r>
    </w:p>
    <w:p>
      <w:pPr>
        <w:spacing w:line="360" w:lineRule="auto"/>
        <w:ind w:firstLine="438" w:firstLineChars="200"/>
        <w:rPr>
          <w:rFonts w:ascii="宋体" w:hAnsi="宋体"/>
          <w:color w:val="000000"/>
          <w:sz w:val="24"/>
          <w:szCs w:val="24"/>
          <w:highlight w:val="none"/>
        </w:rPr>
      </w:pPr>
      <w:r>
        <w:rPr>
          <w:rFonts w:hint="eastAsia" w:ascii="宋体" w:hAnsi="宋体"/>
          <w:color w:val="000000"/>
          <w:sz w:val="24"/>
          <w:szCs w:val="24"/>
          <w:highlight w:val="none"/>
        </w:rPr>
        <w:t>一、双方已明确知晓《中华人民共和国招标投标法》《中华人民共和国招标投标法实施条例》及本项目招标公告和谈判文件关于签订书面合同的相关规定：</w:t>
      </w:r>
    </w:p>
    <w:p>
      <w:pPr>
        <w:spacing w:line="360" w:lineRule="auto"/>
        <w:ind w:firstLine="438" w:firstLineChars="200"/>
        <w:rPr>
          <w:rFonts w:ascii="宋体" w:hAnsi="宋体"/>
          <w:color w:val="000000"/>
          <w:sz w:val="24"/>
          <w:szCs w:val="24"/>
          <w:highlight w:val="none"/>
        </w:rPr>
      </w:pPr>
      <w:r>
        <w:rPr>
          <w:rFonts w:hint="eastAsia" w:ascii="宋体" w:hAnsi="宋体"/>
          <w:color w:val="000000"/>
          <w:sz w:val="24"/>
          <w:szCs w:val="24"/>
          <w:highlight w:val="none"/>
        </w:rPr>
        <w:t>（一）《中华人民共和国招标投标法》第四十六条：招标人和中标人应当自中标通知书发出之日起三十日内，按照谈判文件和中标人的响应文件订立书面合同。招标人和中标人不得再行订立背离合同实质性内容的其他协议。</w:t>
      </w:r>
    </w:p>
    <w:p>
      <w:pPr>
        <w:spacing w:line="360" w:lineRule="auto"/>
        <w:ind w:firstLine="429" w:firstLineChars="196"/>
        <w:rPr>
          <w:rFonts w:ascii="宋体" w:hAnsi="宋体"/>
          <w:color w:val="000000"/>
          <w:sz w:val="24"/>
          <w:szCs w:val="24"/>
          <w:highlight w:val="none"/>
        </w:rPr>
      </w:pPr>
      <w:r>
        <w:rPr>
          <w:rFonts w:hint="eastAsia" w:ascii="宋体" w:hAnsi="宋体"/>
          <w:color w:val="000000"/>
          <w:sz w:val="24"/>
          <w:szCs w:val="24"/>
          <w:highlight w:val="none"/>
        </w:rPr>
        <w:t>（二）《中华人民共和国招标投标法实施条例》第五十七条：招标人和中标人应当依照招标投标法和本条例的规定签订书面合同，合同的标的、价款、质量、履行期限等主要条款应当与谈判文件和中标人的响应文件的内容一致。招标人和中标人不得再行订立背离合同实质性内容的其他协议。</w:t>
      </w:r>
    </w:p>
    <w:p>
      <w:pPr>
        <w:spacing w:line="360" w:lineRule="auto"/>
        <w:ind w:firstLine="429" w:firstLineChars="196"/>
        <w:rPr>
          <w:rFonts w:ascii="宋体" w:hAnsi="宋体"/>
          <w:color w:val="000000"/>
          <w:sz w:val="24"/>
          <w:szCs w:val="24"/>
          <w:highlight w:val="none"/>
        </w:rPr>
      </w:pPr>
      <w:r>
        <w:rPr>
          <w:rFonts w:hint="eastAsia" w:ascii="宋体" w:hAnsi="宋体"/>
          <w:color w:val="000000"/>
          <w:sz w:val="24"/>
          <w:szCs w:val="24"/>
          <w:highlight w:val="none"/>
        </w:rPr>
        <w:t>（三）本项目招标公告和谈判文件关于</w:t>
      </w:r>
      <w:r>
        <w:rPr>
          <w:rFonts w:ascii="宋体" w:hAnsi="宋体"/>
          <w:color w:val="000000"/>
          <w:sz w:val="24"/>
          <w:szCs w:val="24"/>
          <w:highlight w:val="none"/>
        </w:rPr>
        <w:t>签订</w:t>
      </w:r>
      <w:r>
        <w:rPr>
          <w:rFonts w:hint="eastAsia" w:ascii="宋体" w:hAnsi="宋体"/>
          <w:color w:val="000000"/>
          <w:sz w:val="24"/>
          <w:szCs w:val="24"/>
          <w:highlight w:val="none"/>
        </w:rPr>
        <w:t>书面</w:t>
      </w:r>
      <w:r>
        <w:rPr>
          <w:rFonts w:ascii="宋体" w:hAnsi="宋体"/>
          <w:color w:val="000000"/>
          <w:sz w:val="24"/>
          <w:szCs w:val="24"/>
          <w:highlight w:val="none"/>
        </w:rPr>
        <w:t>合同的相关</w:t>
      </w:r>
      <w:r>
        <w:rPr>
          <w:rFonts w:hint="eastAsia" w:ascii="宋体" w:hAnsi="宋体"/>
          <w:color w:val="000000"/>
          <w:sz w:val="24"/>
          <w:szCs w:val="24"/>
          <w:highlight w:val="none"/>
        </w:rPr>
        <w:t>约定（</w:t>
      </w:r>
      <w:r>
        <w:rPr>
          <w:rFonts w:ascii="宋体" w:hAnsi="宋体"/>
          <w:color w:val="000000"/>
          <w:sz w:val="24"/>
          <w:szCs w:val="24"/>
          <w:highlight w:val="none"/>
        </w:rPr>
        <w:t>详见</w:t>
      </w:r>
      <w:r>
        <w:rPr>
          <w:rFonts w:hint="eastAsia" w:ascii="宋体" w:hAnsi="宋体"/>
          <w:color w:val="000000"/>
          <w:sz w:val="24"/>
          <w:szCs w:val="24"/>
          <w:highlight w:val="none"/>
        </w:rPr>
        <w:t>本项目招标公告和谈判文件）。</w:t>
      </w:r>
    </w:p>
    <w:p>
      <w:pPr>
        <w:spacing w:line="360" w:lineRule="auto"/>
        <w:ind w:firstLine="438" w:firstLineChars="200"/>
        <w:rPr>
          <w:rFonts w:ascii="宋体" w:hAnsi="宋体"/>
          <w:color w:val="000000"/>
          <w:sz w:val="24"/>
          <w:szCs w:val="24"/>
          <w:highlight w:val="none"/>
        </w:rPr>
      </w:pPr>
      <w:r>
        <w:rPr>
          <w:rFonts w:hint="eastAsia" w:ascii="宋体" w:hAnsi="宋体"/>
          <w:color w:val="000000"/>
          <w:sz w:val="24"/>
          <w:szCs w:val="24"/>
          <w:highlight w:val="none"/>
        </w:rPr>
        <w:t>二、双方承诺严格按照上述规定签订</w:t>
      </w:r>
      <w:r>
        <w:rPr>
          <w:rFonts w:hint="eastAsia" w:ascii="宋体" w:hAnsi="宋体"/>
          <w:color w:val="000000"/>
          <w:sz w:val="24"/>
          <w:szCs w:val="24"/>
          <w:highlight w:val="none"/>
          <w:u w:val="single"/>
        </w:rPr>
        <w:t xml:space="preserve"> </w:t>
      </w:r>
      <w:r>
        <w:rPr>
          <w:rFonts w:hint="eastAsia" w:ascii="宋体" w:hAnsi="宋体"/>
          <w:color w:val="000000"/>
          <w:sz w:val="24"/>
          <w:szCs w:val="24"/>
          <w:highlight w:val="none"/>
          <w:u w:val="single"/>
          <w:lang w:val="en-US" w:eastAsia="zh-CN"/>
        </w:rPr>
        <w:t xml:space="preserve">                                         </w:t>
      </w:r>
      <w:r>
        <w:rPr>
          <w:rFonts w:hint="eastAsia" w:ascii="宋体" w:hAnsi="宋体"/>
          <w:color w:val="000000"/>
          <w:sz w:val="24"/>
          <w:szCs w:val="24"/>
          <w:highlight w:val="none"/>
          <w:u w:val="single"/>
        </w:rPr>
        <w:t xml:space="preserve"> </w:t>
      </w:r>
      <w:r>
        <w:rPr>
          <w:rFonts w:hint="eastAsia" w:ascii="宋体" w:hAnsi="宋体"/>
          <w:color w:val="000000"/>
          <w:sz w:val="24"/>
          <w:szCs w:val="24"/>
          <w:highlight w:val="none"/>
        </w:rPr>
        <w:t>的书面合同。如有违反，自行承担一切法律责任和后果。</w:t>
      </w:r>
    </w:p>
    <w:p>
      <w:pPr>
        <w:spacing w:line="360" w:lineRule="auto"/>
        <w:ind w:firstLine="438" w:firstLineChars="200"/>
        <w:rPr>
          <w:rFonts w:ascii="宋体" w:hAnsi="宋体"/>
          <w:color w:val="000000"/>
          <w:sz w:val="24"/>
          <w:szCs w:val="24"/>
          <w:highlight w:val="none"/>
        </w:rPr>
      </w:pPr>
    </w:p>
    <w:p>
      <w:pPr>
        <w:spacing w:line="360" w:lineRule="auto"/>
        <w:ind w:firstLine="438" w:firstLineChars="200"/>
        <w:rPr>
          <w:rFonts w:ascii="宋体" w:hAnsi="宋体"/>
          <w:color w:val="000000"/>
          <w:sz w:val="24"/>
          <w:szCs w:val="24"/>
          <w:highlight w:val="none"/>
        </w:rPr>
      </w:pPr>
    </w:p>
    <w:p>
      <w:pPr>
        <w:spacing w:line="360" w:lineRule="auto"/>
        <w:ind w:firstLine="438" w:firstLineChars="200"/>
        <w:rPr>
          <w:rFonts w:ascii="宋体" w:hAnsi="宋体"/>
          <w:color w:val="000000"/>
          <w:sz w:val="24"/>
          <w:szCs w:val="24"/>
          <w:highlight w:val="none"/>
        </w:rPr>
      </w:pP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甲方：  (公章)                         乙方：  (公章)</w:t>
      </w:r>
    </w:p>
    <w:p>
      <w:pPr>
        <w:spacing w:line="360" w:lineRule="auto"/>
        <w:rPr>
          <w:rFonts w:ascii="宋体" w:hAnsi="宋体"/>
          <w:color w:val="000000"/>
          <w:sz w:val="24"/>
          <w:szCs w:val="24"/>
          <w:highlight w:val="none"/>
        </w:rPr>
      </w:pP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法定代表人或其委托代理人：            法定代表人或其委托代理人：</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（签字）                                （签字）</w:t>
      </w:r>
    </w:p>
    <w:p>
      <w:pPr>
        <w:rPr>
          <w:color w:val="000000"/>
          <w:highlight w:val="none"/>
        </w:rPr>
      </w:pPr>
    </w:p>
    <w:p>
      <w:pPr>
        <w:spacing w:before="120" w:beforeLines="50" w:after="72" w:afterLines="30"/>
        <w:rPr>
          <w:rFonts w:ascii="宋体" w:hAnsi="宋体"/>
          <w:color w:val="000000"/>
          <w:sz w:val="24"/>
          <w:szCs w:val="24"/>
          <w:highlight w:val="none"/>
        </w:rPr>
      </w:pPr>
      <w:r>
        <w:rPr>
          <w:rFonts w:hint="eastAsia" w:ascii="宋体" w:hAnsi="宋体"/>
          <w:color w:val="000000"/>
          <w:sz w:val="24"/>
          <w:szCs w:val="24"/>
          <w:highlight w:val="none"/>
        </w:rPr>
        <w:t xml:space="preserve">时间：   年   月                      时间：   年   月     </w:t>
      </w:r>
    </w:p>
    <w:p>
      <w:pPr>
        <w:spacing w:line="360" w:lineRule="auto"/>
        <w:rPr>
          <w:rFonts w:hAnsi="宋体"/>
          <w:b/>
          <w:color w:val="000000"/>
          <w:sz w:val="30"/>
          <w:szCs w:val="30"/>
          <w:highlight w:val="none"/>
        </w:rPr>
      </w:pPr>
    </w:p>
    <w:p>
      <w:pPr>
        <w:pStyle w:val="3"/>
        <w:spacing w:before="260" w:after="260" w:line="500" w:lineRule="exact"/>
        <w:jc w:val="center"/>
        <w:rPr>
          <w:rFonts w:hint="eastAsia" w:hAnsi="宋体"/>
          <w:color w:val="000000"/>
          <w:highlight w:val="none"/>
        </w:rPr>
      </w:pPr>
      <w:bookmarkStart w:id="195" w:name="_Toc527117258"/>
      <w:bookmarkStart w:id="196" w:name="_Toc527131323"/>
    </w:p>
    <w:p>
      <w:pPr>
        <w:pStyle w:val="3"/>
        <w:spacing w:before="260" w:after="260" w:line="500" w:lineRule="exact"/>
        <w:jc w:val="center"/>
        <w:rPr>
          <w:rFonts w:hAnsi="宋体"/>
          <w:color w:val="000000"/>
          <w:highlight w:val="none"/>
        </w:rPr>
      </w:pPr>
      <w:r>
        <w:rPr>
          <w:rFonts w:hint="eastAsia" w:hAnsi="宋体"/>
          <w:color w:val="000000"/>
          <w:highlight w:val="none"/>
        </w:rPr>
        <w:t>五、采购需求</w:t>
      </w:r>
      <w:bookmarkEnd w:id="195"/>
      <w:bookmarkEnd w:id="196"/>
    </w:p>
    <w:p>
      <w:pPr>
        <w:pStyle w:val="185"/>
        <w:spacing w:line="560" w:lineRule="exact"/>
        <w:ind w:firstLine="480"/>
        <w:rPr>
          <w:rFonts w:hint="default" w:ascii="宋体" w:hAnsi="宋体" w:eastAsia="宋体"/>
          <w:sz w:val="24"/>
          <w:szCs w:val="22"/>
          <w:highlight w:val="none"/>
          <w:lang w:val="en-US" w:eastAsia="zh-CN"/>
        </w:rPr>
      </w:pPr>
      <w:r>
        <w:rPr>
          <w:rFonts w:hint="eastAsia" w:ascii="宋体" w:hAnsi="宋体"/>
          <w:sz w:val="24"/>
          <w:szCs w:val="22"/>
          <w:highlight w:val="none"/>
          <w:lang w:val="zh-CN"/>
        </w:rPr>
        <w:t>1、要求投标人具有快速组织专业机械设备、车辆、人员等综合服务队伍进入应急工作的能力。解决在日常管理、防汛、应急、环保等工作中出现的常规性、阶段性、临时应急、突击性等工作任务。</w:t>
      </w:r>
    </w:p>
    <w:p>
      <w:pPr>
        <w:pStyle w:val="185"/>
        <w:spacing w:line="560" w:lineRule="exact"/>
        <w:ind w:firstLine="480"/>
        <w:rPr>
          <w:rFonts w:hint="eastAsia" w:ascii="宋体" w:hAnsi="宋体"/>
          <w:sz w:val="24"/>
          <w:szCs w:val="22"/>
          <w:highlight w:val="none"/>
          <w:lang w:val="en-US" w:eastAsia="zh-CN"/>
        </w:rPr>
      </w:pPr>
      <w:r>
        <w:rPr>
          <w:rFonts w:hint="eastAsia" w:ascii="宋体" w:hAnsi="宋体"/>
          <w:sz w:val="24"/>
          <w:szCs w:val="22"/>
          <w:highlight w:val="none"/>
          <w:lang w:val="zh-CN"/>
        </w:rPr>
        <w:t>投标人</w:t>
      </w:r>
      <w:r>
        <w:rPr>
          <w:rFonts w:hint="eastAsia" w:ascii="宋体" w:hAnsi="宋体"/>
          <w:sz w:val="24"/>
          <w:szCs w:val="22"/>
          <w:highlight w:val="none"/>
          <w:lang w:val="en-US" w:eastAsia="zh-CN"/>
        </w:rPr>
        <w:t>需于汛期前后，分别对排涝设施进行至少一次检查，并向投标方出具检查报告，要求检查过程配备一名高级机电工程师。</w:t>
      </w:r>
    </w:p>
    <w:p>
      <w:pPr>
        <w:spacing w:line="560" w:lineRule="exact"/>
        <w:ind w:firstLine="438" w:firstLineChars="200"/>
        <w:rPr>
          <w:rFonts w:hint="default" w:ascii="宋体" w:hAnsi="宋体"/>
          <w:sz w:val="24"/>
          <w:szCs w:val="22"/>
          <w:highlight w:val="none"/>
          <w:lang w:val="en-US" w:eastAsia="zh-CN"/>
        </w:rPr>
      </w:pPr>
      <w:r>
        <w:rPr>
          <w:rFonts w:hint="eastAsia" w:ascii="宋体" w:hAnsi="宋体"/>
          <w:sz w:val="24"/>
          <w:szCs w:val="22"/>
          <w:highlight w:val="none"/>
          <w:lang w:val="en-US" w:eastAsia="zh-CN"/>
        </w:rPr>
        <w:t>投标人在投标阶段需与招标人取得联系，招标人将统一组织对维修内容的现场踏勘。</w:t>
      </w:r>
    </w:p>
    <w:p>
      <w:pPr>
        <w:spacing w:line="560" w:lineRule="exact"/>
        <w:ind w:firstLine="438" w:firstLineChars="200"/>
        <w:rPr>
          <w:rFonts w:ascii="宋体" w:hAnsi="宋体"/>
          <w:sz w:val="24"/>
          <w:szCs w:val="24"/>
          <w:highlight w:val="none"/>
        </w:rPr>
      </w:pPr>
      <w:r>
        <w:rPr>
          <w:rFonts w:hint="eastAsia" w:ascii="宋体" w:hAnsi="宋体"/>
          <w:sz w:val="24"/>
          <w:highlight w:val="none"/>
          <w:lang w:val="zh-CN"/>
        </w:rPr>
        <w:t>2、本项是维修类服务采购，工作内容具有常规性、临时应急性等不同属性，中标价仅为工作金额的上限（</w:t>
      </w:r>
      <w:r>
        <w:rPr>
          <w:rFonts w:hint="eastAsia" w:ascii="宋体" w:hAnsi="宋体"/>
          <w:sz w:val="24"/>
          <w:szCs w:val="24"/>
          <w:highlight w:val="none"/>
        </w:rPr>
        <w:t>因维修工程的不确定性，最终结算金额不超过合同金额±10%</w:t>
      </w:r>
      <w:r>
        <w:rPr>
          <w:rFonts w:hint="eastAsia" w:ascii="宋体" w:hAnsi="宋体"/>
          <w:sz w:val="24"/>
          <w:highlight w:val="none"/>
          <w:lang w:val="zh-CN"/>
        </w:rPr>
        <w:t>），采购方不对该合同价做任何承诺，最终结算按实际中标单价及实际发生的工作量进行结算。</w:t>
      </w:r>
      <w:r>
        <w:rPr>
          <w:rFonts w:hint="eastAsia" w:ascii="宋体" w:hAnsi="宋体"/>
          <w:sz w:val="24"/>
          <w:szCs w:val="24"/>
          <w:highlight w:val="none"/>
        </w:rPr>
        <w:t>日常工作见后附《排水设备（机械类）维修任务单》、《排水设备（机械类）维修验收单》。</w:t>
      </w:r>
    </w:p>
    <w:p>
      <w:pPr>
        <w:spacing w:line="360" w:lineRule="auto"/>
        <w:ind w:firstLine="438" w:firstLineChars="200"/>
        <w:rPr>
          <w:rFonts w:ascii="宋体" w:hAnsi="宋体"/>
          <w:sz w:val="24"/>
          <w:szCs w:val="24"/>
          <w:highlight w:val="none"/>
        </w:rPr>
      </w:pPr>
      <w:r>
        <w:rPr>
          <w:rFonts w:ascii="宋体" w:hAnsi="宋体"/>
          <w:sz w:val="24"/>
          <w:szCs w:val="24"/>
          <w:highlight w:val="none"/>
        </w:rPr>
        <w:t>3</w:t>
      </w:r>
      <w:r>
        <w:rPr>
          <w:rFonts w:hint="eastAsia" w:ascii="宋体" w:hAnsi="宋体"/>
          <w:sz w:val="24"/>
          <w:szCs w:val="24"/>
          <w:highlight w:val="none"/>
        </w:rPr>
        <w:t>、本项目工作分为日常工作（常规工作开展）、应急工作（包括但不限于防汛和铲雪除冰等恶劣天气、夜间工作、春节以及各类突发不可预见的紧急工作），中标人在接到招标人工作任务时，日常工作在2个工作日内安排指定数量人员、机械设备到达指定地点，按照采购人要求开展作业，并在规定的时间内完成任务。应急工作任务要求在接到招标人电话后4个小时内组织人员和机械设备进场。</w:t>
      </w:r>
    </w:p>
    <w:p>
      <w:pPr>
        <w:spacing w:line="360" w:lineRule="auto"/>
        <w:ind w:firstLine="438" w:firstLineChars="200"/>
        <w:rPr>
          <w:rFonts w:hint="eastAsia" w:ascii="宋体" w:hAnsi="宋体" w:eastAsiaTheme="minorEastAsia"/>
          <w:sz w:val="24"/>
          <w:szCs w:val="24"/>
          <w:highlight w:val="none"/>
          <w:lang w:val="en-US" w:eastAsia="zh-CN"/>
        </w:rPr>
      </w:pPr>
      <w:r>
        <w:rPr>
          <w:rFonts w:hint="eastAsia" w:ascii="宋体" w:hAnsi="宋体"/>
          <w:sz w:val="24"/>
          <w:highlight w:val="none"/>
          <w:lang w:val="zh-CN"/>
        </w:rPr>
        <w:t>4、本项目</w:t>
      </w:r>
      <w:r>
        <w:rPr>
          <w:rFonts w:hint="eastAsia" w:ascii="宋体" w:hAnsi="宋体"/>
          <w:sz w:val="24"/>
          <w:highlight w:val="none"/>
        </w:rPr>
        <w:t>成交后试用期三个月，如果在试用期内不能满足招标文件规定的服务要求，采购人有权终止合同。</w:t>
      </w:r>
      <w:r>
        <w:rPr>
          <w:rFonts w:hint="eastAsia" w:ascii="宋体" w:hAnsi="宋体"/>
          <w:sz w:val="24"/>
          <w:highlight w:val="none"/>
          <w:lang w:val="zh-CN"/>
        </w:rPr>
        <w:t>服务为期一年或到达预算金额后自动终止，自合同签订之日起生效。合同期满后经甲方考核合格后双方一致同意，可</w:t>
      </w:r>
      <w:r>
        <w:rPr>
          <w:rFonts w:hint="eastAsia" w:ascii="宋体" w:hAnsi="宋体"/>
          <w:sz w:val="24"/>
          <w:highlight w:val="none"/>
          <w:lang w:val="en-US" w:eastAsia="zh-CN"/>
        </w:rPr>
        <w:t xml:space="preserve">进行续签，最多可续签两年。 </w:t>
      </w:r>
      <w:r>
        <w:rPr>
          <w:rFonts w:hint="eastAsia" w:ascii="宋体" w:hAnsi="宋体"/>
          <w:sz w:val="24"/>
          <w:szCs w:val="24"/>
          <w:highlight w:val="none"/>
        </w:rPr>
        <w:t>中标人在作业过程中所涉及的机械、设备、车辆、劳务人员都必须按照安全生产要求进行操作使用，并按规范要求作业</w:t>
      </w:r>
      <w:r>
        <w:rPr>
          <w:rFonts w:hint="eastAsia" w:ascii="宋体" w:hAnsi="宋体"/>
          <w:sz w:val="24"/>
          <w:szCs w:val="24"/>
          <w:highlight w:val="none"/>
          <w:lang w:eastAsia="zh-CN"/>
        </w:rPr>
        <w:t>。</w:t>
      </w:r>
    </w:p>
    <w:p>
      <w:pPr>
        <w:spacing w:line="360" w:lineRule="auto"/>
        <w:ind w:firstLine="438" w:firstLineChars="200"/>
        <w:rPr>
          <w:rFonts w:ascii="宋体" w:hAnsi="宋体"/>
          <w:sz w:val="24"/>
          <w:szCs w:val="24"/>
          <w:highlight w:val="none"/>
        </w:rPr>
      </w:pPr>
      <w:r>
        <w:rPr>
          <w:rFonts w:hint="eastAsia" w:ascii="宋体" w:hAnsi="宋体"/>
          <w:sz w:val="24"/>
          <w:szCs w:val="24"/>
          <w:highlight w:val="none"/>
        </w:rPr>
        <w:t>5、所有机械设备的中标单价均包含操作人员的工资、劳务人员规定工作服、汽（柴）油费、调机费、维修费、食宿、文明施工、各类保险、税金（劳务6%，车辆租赁9%，</w:t>
      </w:r>
      <w:r>
        <w:rPr>
          <w:rFonts w:ascii="宋体" w:hAnsi="宋体"/>
          <w:sz w:val="24"/>
          <w:szCs w:val="24"/>
          <w:highlight w:val="none"/>
        </w:rPr>
        <w:t>机械租赁</w:t>
      </w:r>
      <w:r>
        <w:rPr>
          <w:rFonts w:hint="eastAsia" w:ascii="宋体" w:hAnsi="宋体"/>
          <w:sz w:val="24"/>
          <w:szCs w:val="24"/>
          <w:highlight w:val="none"/>
        </w:rPr>
        <w:t>13%</w:t>
      </w:r>
      <w:r>
        <w:rPr>
          <w:rFonts w:ascii="宋体" w:hAnsi="宋体"/>
          <w:sz w:val="24"/>
          <w:szCs w:val="24"/>
          <w:highlight w:val="none"/>
        </w:rPr>
        <w:t>增值税专用发票</w:t>
      </w:r>
      <w:r>
        <w:rPr>
          <w:rFonts w:hint="eastAsia" w:ascii="宋体" w:hAnsi="宋体"/>
          <w:sz w:val="24"/>
          <w:szCs w:val="24"/>
          <w:highlight w:val="none"/>
        </w:rPr>
        <w:t>）等费用，不另外计算任何费用；所有维修工作的中标单价均包含人员工资、交通、食宿、各类保险、作业工具（含机械磨损、燃油）、税金等费用。</w:t>
      </w:r>
    </w:p>
    <w:p>
      <w:pPr>
        <w:spacing w:line="360" w:lineRule="auto"/>
        <w:ind w:firstLine="438" w:firstLineChars="200"/>
        <w:rPr>
          <w:rFonts w:ascii="宋体" w:hAnsi="宋体"/>
          <w:sz w:val="24"/>
          <w:szCs w:val="24"/>
          <w:highlight w:val="none"/>
        </w:rPr>
      </w:pPr>
      <w:r>
        <w:rPr>
          <w:rFonts w:ascii="宋体" w:hAnsi="宋体"/>
          <w:sz w:val="24"/>
          <w:szCs w:val="24"/>
          <w:highlight w:val="none"/>
        </w:rPr>
        <w:t>6</w:t>
      </w:r>
      <w:r>
        <w:rPr>
          <w:rFonts w:hint="eastAsia" w:ascii="宋体" w:hAnsi="宋体"/>
          <w:sz w:val="24"/>
          <w:szCs w:val="24"/>
          <w:highlight w:val="none"/>
        </w:rPr>
        <w:t>、中标方要服从招标人的统一安排，未经招标人的同意不得随意改变招标人已制定的工作计划和意图，遇工作中特殊情况及时与招标人保持沟通，服务工程中存有消极怠工、不服从指挥和调配的，单次处罚1000元，因中标方擅自做主造成招标人的损失及其他影响，中标方要承担相应责任及损失。</w:t>
      </w:r>
    </w:p>
    <w:p>
      <w:pPr>
        <w:spacing w:line="360" w:lineRule="auto"/>
        <w:ind w:firstLine="438" w:firstLineChars="200"/>
        <w:rPr>
          <w:rFonts w:ascii="宋体" w:hAnsi="宋体"/>
          <w:sz w:val="24"/>
          <w:szCs w:val="24"/>
          <w:highlight w:val="none"/>
        </w:rPr>
      </w:pPr>
      <w:r>
        <w:rPr>
          <w:rFonts w:ascii="宋体" w:hAnsi="宋体"/>
          <w:sz w:val="24"/>
          <w:szCs w:val="24"/>
          <w:highlight w:val="none"/>
        </w:rPr>
        <w:t>7</w:t>
      </w:r>
      <w:r>
        <w:rPr>
          <w:rFonts w:hint="eastAsia" w:ascii="宋体" w:hAnsi="宋体"/>
          <w:sz w:val="24"/>
          <w:szCs w:val="24"/>
          <w:highlight w:val="none"/>
        </w:rPr>
        <w:t>、中标方不得以任何理由拒绝为招标人提供需要的指定机械设备和人员，由此造成招标人的一切损失及影响，中标方应予以全部承担，并视影响大小，承担相应的法律责任。中标单位未按招标人要求提供劳务或机械设备的，单次罚款1000元，并承担相应连带损失，累计三次的招标人有权解除合同，并扣除履约保证金。</w:t>
      </w:r>
    </w:p>
    <w:p>
      <w:pPr>
        <w:spacing w:line="360" w:lineRule="auto"/>
        <w:ind w:firstLine="438" w:firstLineChars="200"/>
        <w:rPr>
          <w:rFonts w:ascii="宋体" w:hAnsi="宋体"/>
          <w:sz w:val="24"/>
          <w:szCs w:val="24"/>
          <w:highlight w:val="none"/>
        </w:rPr>
      </w:pPr>
      <w:r>
        <w:rPr>
          <w:rFonts w:hint="eastAsia" w:ascii="宋体" w:hAnsi="宋体"/>
          <w:sz w:val="24"/>
          <w:szCs w:val="24"/>
          <w:highlight w:val="none"/>
        </w:rPr>
        <w:t>8、中标人负责承包范围内的安全生产作业管理，严格按照有相关部门的要求，制定有关规范作业的规章制度和要求。</w:t>
      </w:r>
    </w:p>
    <w:p>
      <w:pPr>
        <w:spacing w:line="360" w:lineRule="auto"/>
        <w:ind w:firstLine="438" w:firstLineChars="200"/>
        <w:rPr>
          <w:rFonts w:ascii="宋体" w:hAnsi="宋体"/>
          <w:sz w:val="24"/>
          <w:szCs w:val="24"/>
          <w:highlight w:val="none"/>
        </w:rPr>
      </w:pPr>
      <w:r>
        <w:rPr>
          <w:rFonts w:ascii="宋体" w:hAnsi="宋体"/>
          <w:sz w:val="24"/>
          <w:szCs w:val="24"/>
          <w:highlight w:val="none"/>
        </w:rPr>
        <w:t>9</w:t>
      </w:r>
      <w:r>
        <w:rPr>
          <w:rFonts w:hint="eastAsia" w:ascii="宋体" w:hAnsi="宋体"/>
          <w:sz w:val="24"/>
          <w:szCs w:val="24"/>
          <w:highlight w:val="none"/>
        </w:rPr>
        <w:t>、中标人负责对作业人员进行思想教育，专业培训，安全生产教育，并要求作业人员做到遵纪守法，驾驶员等须配证上岗。</w:t>
      </w:r>
    </w:p>
    <w:p>
      <w:pPr>
        <w:spacing w:line="360" w:lineRule="auto"/>
        <w:ind w:firstLine="438" w:firstLineChars="200"/>
        <w:rPr>
          <w:rFonts w:ascii="宋体" w:hAnsi="宋体"/>
          <w:sz w:val="24"/>
          <w:szCs w:val="24"/>
          <w:highlight w:val="none"/>
        </w:rPr>
      </w:pPr>
      <w:r>
        <w:rPr>
          <w:rFonts w:ascii="宋体" w:hAnsi="宋体"/>
          <w:sz w:val="24"/>
          <w:szCs w:val="24"/>
          <w:highlight w:val="none"/>
        </w:rPr>
        <w:t>10</w:t>
      </w:r>
      <w:r>
        <w:rPr>
          <w:rFonts w:hint="eastAsia" w:ascii="宋体" w:hAnsi="宋体"/>
          <w:sz w:val="24"/>
          <w:szCs w:val="24"/>
          <w:highlight w:val="none"/>
        </w:rPr>
        <w:t>、中标人在承包期内所发生的有关民事、刑事、安全事故、劳资纠纷等一切责任及经济损失均由中标人自行承担。</w:t>
      </w:r>
    </w:p>
    <w:p>
      <w:pPr>
        <w:pStyle w:val="185"/>
        <w:spacing w:line="360" w:lineRule="auto"/>
        <w:ind w:firstLine="480"/>
        <w:rPr>
          <w:rFonts w:ascii="宋体" w:hAnsi="宋体"/>
          <w:sz w:val="24"/>
          <w:highlight w:val="none"/>
        </w:rPr>
      </w:pPr>
      <w:r>
        <w:rPr>
          <w:rFonts w:ascii="宋体" w:hAnsi="宋体"/>
          <w:sz w:val="24"/>
          <w:highlight w:val="none"/>
        </w:rPr>
        <w:t>11</w:t>
      </w:r>
      <w:r>
        <w:rPr>
          <w:rFonts w:hint="eastAsia" w:ascii="宋体" w:hAnsi="宋体"/>
          <w:sz w:val="24"/>
          <w:highlight w:val="none"/>
        </w:rPr>
        <w:t>、</w:t>
      </w:r>
      <w:r>
        <w:rPr>
          <w:rFonts w:ascii="宋体" w:hAnsi="宋体"/>
          <w:sz w:val="24"/>
          <w:highlight w:val="none"/>
        </w:rPr>
        <w:t>中标单位结算时须提供</w:t>
      </w:r>
      <w:r>
        <w:rPr>
          <w:rFonts w:hint="eastAsia" w:ascii="宋体" w:hAnsi="宋体"/>
          <w:sz w:val="24"/>
          <w:highlight w:val="none"/>
        </w:rPr>
        <w:t>甲方</w:t>
      </w:r>
      <w:r>
        <w:rPr>
          <w:rFonts w:ascii="宋体" w:hAnsi="宋体"/>
          <w:sz w:val="24"/>
          <w:highlight w:val="none"/>
        </w:rPr>
        <w:t>管理人员签字的</w:t>
      </w:r>
      <w:r>
        <w:rPr>
          <w:rFonts w:hint="eastAsia" w:ascii="宋体" w:hAnsi="宋体"/>
          <w:sz w:val="24"/>
          <w:highlight w:val="none"/>
        </w:rPr>
        <w:t>《排水设备（机械类）维修任务单》、《排水设备（机械类）维修验收单》作为报审计依据。</w:t>
      </w:r>
    </w:p>
    <w:p>
      <w:pPr>
        <w:spacing w:line="360" w:lineRule="auto"/>
        <w:rPr>
          <w:rFonts w:ascii="宋体" w:hAnsi="宋体"/>
          <w:sz w:val="24"/>
          <w:szCs w:val="24"/>
          <w:highlight w:val="none"/>
        </w:rPr>
      </w:pPr>
    </w:p>
    <w:p>
      <w:pPr>
        <w:spacing w:line="360" w:lineRule="auto"/>
        <w:rPr>
          <w:rFonts w:ascii="宋体" w:hAnsi="宋体"/>
          <w:sz w:val="24"/>
          <w:szCs w:val="24"/>
          <w:highlight w:val="none"/>
        </w:rPr>
      </w:pPr>
      <w:r>
        <w:rPr>
          <w:rFonts w:hint="eastAsia" w:ascii="Times New Roman" w:hAnsi="Times New Roman" w:eastAsia="宋体" w:cs="Times New Roman"/>
          <w:bCs/>
          <w:sz w:val="32"/>
          <w:szCs w:val="32"/>
          <w:highlight w:val="none"/>
        </w:rPr>
        <w:t>四、报价要求</w:t>
      </w:r>
    </w:p>
    <w:p>
      <w:pPr>
        <w:spacing w:line="360" w:lineRule="auto"/>
        <w:ind w:firstLine="438" w:firstLineChars="200"/>
        <w:rPr>
          <w:rFonts w:ascii="宋体" w:hAnsi="宋体"/>
          <w:sz w:val="24"/>
          <w:szCs w:val="24"/>
          <w:highlight w:val="none"/>
        </w:rPr>
      </w:pPr>
      <w:r>
        <w:rPr>
          <w:rFonts w:hint="eastAsia" w:ascii="宋体" w:hAnsi="宋体"/>
          <w:sz w:val="24"/>
          <w:szCs w:val="24"/>
          <w:highlight w:val="none"/>
        </w:rPr>
        <w:t>报价采用费率报价（所列需求项目统一费率），服务项目基准单价详见“公用公司机械类排水设施（机械类）服务项目要求及基准单价表”，每个项目最终结算单价为“服务项目基准单价*投标人所报费率*工作量”。例如：若投标单位所报费率为80%。则更换水泵机油费用为“（维修费350元+材料费400元）*80%*1台）”，其他项目依此类推。结算单价精确到小数点后两位，采用四舍五入。</w:t>
      </w:r>
    </w:p>
    <w:p>
      <w:pPr>
        <w:spacing w:line="360" w:lineRule="auto"/>
        <w:rPr>
          <w:rFonts w:ascii="宋体" w:hAnsi="宋体"/>
          <w:sz w:val="24"/>
          <w:szCs w:val="24"/>
          <w:highlight w:val="none"/>
        </w:rPr>
      </w:pPr>
    </w:p>
    <w:p>
      <w:pPr>
        <w:spacing w:line="360" w:lineRule="auto"/>
        <w:rPr>
          <w:rFonts w:ascii="宋体" w:hAnsi="宋体"/>
          <w:sz w:val="24"/>
          <w:szCs w:val="28"/>
          <w:highlight w:val="none"/>
        </w:rPr>
      </w:pPr>
      <w:r>
        <w:rPr>
          <w:rFonts w:hint="eastAsia" w:ascii="Times New Roman" w:hAnsi="Times New Roman" w:eastAsia="宋体" w:cs="Times New Roman"/>
          <w:bCs/>
          <w:sz w:val="32"/>
          <w:szCs w:val="32"/>
          <w:highlight w:val="none"/>
        </w:rPr>
        <w:t>五、附件：</w:t>
      </w:r>
      <w:r>
        <w:rPr>
          <w:rFonts w:ascii="宋体" w:hAnsi="宋体"/>
          <w:sz w:val="24"/>
          <w:szCs w:val="28"/>
          <w:highlight w:val="none"/>
        </w:rPr>
        <w:t xml:space="preserve"> </w:t>
      </w:r>
    </w:p>
    <w:tbl>
      <w:tblPr>
        <w:tblStyle w:val="65"/>
        <w:tblW w:w="8153" w:type="dxa"/>
        <w:jc w:val="center"/>
        <w:tblLayout w:type="autofit"/>
        <w:tblCellMar>
          <w:top w:w="0" w:type="dxa"/>
          <w:left w:w="108" w:type="dxa"/>
          <w:bottom w:w="0" w:type="dxa"/>
          <w:right w:w="108" w:type="dxa"/>
        </w:tblCellMar>
      </w:tblPr>
      <w:tblGrid>
        <w:gridCol w:w="675"/>
        <w:gridCol w:w="1418"/>
        <w:gridCol w:w="1984"/>
        <w:gridCol w:w="4076"/>
      </w:tblGrid>
      <w:tr>
        <w:tblPrEx>
          <w:tblCellMar>
            <w:top w:w="0" w:type="dxa"/>
            <w:left w:w="108" w:type="dxa"/>
            <w:bottom w:w="0" w:type="dxa"/>
            <w:right w:w="108" w:type="dxa"/>
          </w:tblCellMar>
        </w:tblPrEx>
        <w:trPr>
          <w:trHeight w:val="525" w:hRule="atLeast"/>
          <w:jc w:val="center"/>
        </w:trPr>
        <w:tc>
          <w:tcPr>
            <w:tcW w:w="8153" w:type="dxa"/>
            <w:gridSpan w:val="4"/>
            <w:tcBorders>
              <w:top w:val="nil"/>
              <w:left w:val="nil"/>
              <w:bottom w:val="nil"/>
              <w:right w:val="nil"/>
            </w:tcBorders>
            <w:shd w:val="clear" w:color="auto" w:fill="auto"/>
            <w:noWrap/>
            <w:vAlign w:val="center"/>
          </w:tcPr>
          <w:p>
            <w:pPr>
              <w:widowControl/>
              <w:jc w:val="center"/>
              <w:rPr>
                <w:rFonts w:cs="宋体" w:asciiTheme="minorEastAsia" w:hAnsiTheme="minorEastAsia"/>
                <w:color w:val="000000"/>
                <w:kern w:val="0"/>
                <w:sz w:val="40"/>
                <w:szCs w:val="40"/>
                <w:highlight w:val="none"/>
              </w:rPr>
            </w:pPr>
          </w:p>
        </w:tc>
      </w:tr>
      <w:tr>
        <w:tblPrEx>
          <w:tblCellMar>
            <w:top w:w="0" w:type="dxa"/>
            <w:left w:w="108" w:type="dxa"/>
            <w:bottom w:w="0" w:type="dxa"/>
            <w:right w:w="108" w:type="dxa"/>
          </w:tblCellMar>
        </w:tblPrEx>
        <w:trPr>
          <w:trHeight w:val="480" w:hRule="atLeast"/>
          <w:jc w:val="center"/>
        </w:trPr>
        <w:tc>
          <w:tcPr>
            <w:tcW w:w="8153" w:type="dxa"/>
            <w:gridSpan w:val="4"/>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4"/>
                <w:szCs w:val="24"/>
                <w:highlight w:val="none"/>
              </w:rPr>
            </w:pPr>
            <w:r>
              <w:rPr>
                <w:rFonts w:hint="eastAsia" w:asciiTheme="minorEastAsia" w:hAnsiTheme="minorEastAsia"/>
                <w:kern w:val="0"/>
                <w:sz w:val="32"/>
                <w:szCs w:val="32"/>
                <w:highlight w:val="none"/>
              </w:rPr>
              <w:t>服务单位日常考核表</w:t>
            </w:r>
          </w:p>
        </w:tc>
      </w:tr>
      <w:tr>
        <w:tblPrEx>
          <w:tblCellMar>
            <w:top w:w="0" w:type="dxa"/>
            <w:left w:w="108" w:type="dxa"/>
            <w:bottom w:w="0" w:type="dxa"/>
            <w:right w:w="108" w:type="dxa"/>
          </w:tblCellMar>
        </w:tblPrEx>
        <w:trPr>
          <w:trHeight w:val="1215" w:hRule="atLeas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序号</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考评项目</w:t>
            </w:r>
          </w:p>
        </w:tc>
        <w:tc>
          <w:tcPr>
            <w:tcW w:w="1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考核要素</w:t>
            </w:r>
          </w:p>
        </w:tc>
        <w:tc>
          <w:tcPr>
            <w:tcW w:w="40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考评细则</w:t>
            </w:r>
          </w:p>
        </w:tc>
      </w:tr>
      <w:tr>
        <w:tblPrEx>
          <w:tblCellMar>
            <w:top w:w="0" w:type="dxa"/>
            <w:left w:w="108" w:type="dxa"/>
            <w:bottom w:w="0" w:type="dxa"/>
            <w:right w:w="108" w:type="dxa"/>
          </w:tblCellMar>
        </w:tblPrEx>
        <w:trPr>
          <w:trHeight w:val="1466"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响应时间</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招标人提出需求后响应速度</w:t>
            </w:r>
          </w:p>
        </w:tc>
        <w:tc>
          <w:tcPr>
            <w:tcW w:w="4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服务单位接到任务通知后，迅速回应。未在规定时间内回复或响应的，半年内累计出现3次的处罚1000元。</w:t>
            </w:r>
          </w:p>
        </w:tc>
      </w:tr>
      <w:tr>
        <w:tblPrEx>
          <w:tblCellMar>
            <w:top w:w="0" w:type="dxa"/>
            <w:left w:w="108" w:type="dxa"/>
            <w:bottom w:w="0" w:type="dxa"/>
            <w:right w:w="108" w:type="dxa"/>
          </w:tblCellMar>
        </w:tblPrEx>
        <w:trPr>
          <w:trHeight w:val="1838"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提供服务时间</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在约定时间内按照要求提供足额劳务、机械及车辆</w:t>
            </w:r>
          </w:p>
        </w:tc>
        <w:tc>
          <w:tcPr>
            <w:tcW w:w="4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根据要求提供相应数量的劳务、机械及车辆，未满足要求的单次处罚1000元。1年内累计超出三次的，解除合同，没收全部履约保证金。</w:t>
            </w:r>
          </w:p>
          <w:p>
            <w:pPr>
              <w:widowControl/>
              <w:jc w:val="left"/>
              <w:rPr>
                <w:rFonts w:ascii="宋体" w:hAnsi="宋体" w:cs="宋体"/>
                <w:b/>
                <w:color w:val="000000"/>
                <w:kern w:val="0"/>
                <w:sz w:val="20"/>
                <w:highlight w:val="none"/>
              </w:rPr>
            </w:pPr>
          </w:p>
        </w:tc>
      </w:tr>
      <w:tr>
        <w:tblPrEx>
          <w:tblCellMar>
            <w:top w:w="0" w:type="dxa"/>
            <w:left w:w="108" w:type="dxa"/>
            <w:bottom w:w="0" w:type="dxa"/>
            <w:right w:w="108" w:type="dxa"/>
          </w:tblCellMar>
        </w:tblPrEx>
        <w:trPr>
          <w:trHeight w:val="1561"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服务质量</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服从现场指挥、调度，提供服务规格与采购需求一致</w:t>
            </w:r>
          </w:p>
        </w:tc>
        <w:tc>
          <w:tcPr>
            <w:tcW w:w="4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遵从采购人已制定的工作计划和意图，遇工作中特殊情况及时与招标人保持沟通，服务工程中存有消极怠工、不服从指挥和调配的，单次处罚1000元。提供劳务、机械、车辆不符合采购要求的单次处罚1000元。</w:t>
            </w:r>
          </w:p>
        </w:tc>
      </w:tr>
      <w:tr>
        <w:tblPrEx>
          <w:tblCellMar>
            <w:top w:w="0" w:type="dxa"/>
            <w:left w:w="108" w:type="dxa"/>
            <w:bottom w:w="0" w:type="dxa"/>
            <w:right w:w="108" w:type="dxa"/>
          </w:tblCellMar>
        </w:tblPrEx>
        <w:trPr>
          <w:trHeight w:val="1493"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4</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劳资纠纷处置</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服务出现劳务矛盾、薪资纠纷及时解决</w:t>
            </w:r>
          </w:p>
        </w:tc>
        <w:tc>
          <w:tcPr>
            <w:tcW w:w="4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因劳务矛盾未处理、薪资发放不及时，造成投诉或上访的等带来负面影响的，每出现1例处罚5000元。</w:t>
            </w:r>
          </w:p>
          <w:p>
            <w:pPr>
              <w:widowControl/>
              <w:jc w:val="left"/>
              <w:rPr>
                <w:rFonts w:ascii="宋体" w:hAnsi="宋体" w:cs="宋体"/>
                <w:b/>
                <w:color w:val="000000"/>
                <w:kern w:val="0"/>
                <w:sz w:val="20"/>
                <w:highlight w:val="none"/>
              </w:rPr>
            </w:pPr>
          </w:p>
        </w:tc>
      </w:tr>
      <w:tr>
        <w:tblPrEx>
          <w:tblCellMar>
            <w:top w:w="0" w:type="dxa"/>
            <w:left w:w="108" w:type="dxa"/>
            <w:bottom w:w="0" w:type="dxa"/>
            <w:right w:w="108" w:type="dxa"/>
          </w:tblCellMar>
        </w:tblPrEx>
        <w:trPr>
          <w:trHeight w:val="1524"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结算手续</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配合办理结算、提供发票等手续</w:t>
            </w:r>
          </w:p>
        </w:tc>
        <w:tc>
          <w:tcPr>
            <w:tcW w:w="4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未及时按要求提供结算材料的，累计出现3次的处罚1000元</w:t>
            </w:r>
            <w:r>
              <w:rPr>
                <w:rFonts w:hint="eastAsia" w:ascii="宋体" w:hAnsi="宋体" w:cs="宋体"/>
                <w:b/>
                <w:color w:val="000000"/>
                <w:kern w:val="0"/>
                <w:sz w:val="20"/>
                <w:highlight w:val="none"/>
                <w:lang w:eastAsia="zh-CN"/>
              </w:rPr>
              <w:t>，</w:t>
            </w:r>
            <w:r>
              <w:rPr>
                <w:rFonts w:hint="eastAsia" w:ascii="宋体" w:hAnsi="宋体" w:cs="宋体"/>
                <w:b/>
                <w:color w:val="000000"/>
                <w:kern w:val="0"/>
                <w:sz w:val="20"/>
                <w:highlight w:val="none"/>
                <w:lang w:val="en-US" w:eastAsia="zh-CN"/>
              </w:rPr>
              <w:t>并</w:t>
            </w:r>
            <w:r>
              <w:rPr>
                <w:rFonts w:hint="eastAsia" w:ascii="宋体" w:hAnsi="宋体" w:cs="宋体"/>
                <w:b/>
                <w:color w:val="000000"/>
                <w:kern w:val="0"/>
                <w:sz w:val="20"/>
                <w:highlight w:val="none"/>
              </w:rPr>
              <w:t>解除合同。</w:t>
            </w:r>
          </w:p>
          <w:p>
            <w:pPr>
              <w:widowControl/>
              <w:jc w:val="left"/>
              <w:rPr>
                <w:rFonts w:ascii="宋体" w:hAnsi="宋体" w:cs="宋体"/>
                <w:b/>
                <w:color w:val="000000"/>
                <w:kern w:val="0"/>
                <w:sz w:val="20"/>
                <w:highlight w:val="none"/>
              </w:rPr>
            </w:pPr>
          </w:p>
        </w:tc>
      </w:tr>
      <w:tr>
        <w:tblPrEx>
          <w:tblCellMar>
            <w:top w:w="0" w:type="dxa"/>
            <w:left w:w="108" w:type="dxa"/>
            <w:bottom w:w="0" w:type="dxa"/>
            <w:right w:w="108" w:type="dxa"/>
          </w:tblCellMar>
        </w:tblPrEx>
        <w:trPr>
          <w:trHeight w:val="1002"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highlight w:val="none"/>
              </w:rPr>
            </w:pPr>
            <w:r>
              <w:rPr>
                <w:rFonts w:hint="eastAsia" w:ascii="宋体" w:hAnsi="宋体" w:cs="宋体"/>
                <w:b/>
                <w:color w:val="000000"/>
                <w:kern w:val="0"/>
                <w:sz w:val="20"/>
                <w:highlight w:val="none"/>
              </w:rPr>
              <w:t>6</w:t>
            </w:r>
          </w:p>
        </w:tc>
        <w:tc>
          <w:tcPr>
            <w:tcW w:w="74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备注：1、本表中所列处罚款项将由定点服务单位交至合经区公用公司指定账户，对未在规定时间内缴纳的，招标人有权从中标人缴纳的履约保证金或服务费中扣除。</w:t>
            </w:r>
          </w:p>
          <w:p>
            <w:pPr>
              <w:widowControl/>
              <w:jc w:val="left"/>
              <w:rPr>
                <w:rFonts w:ascii="宋体" w:hAnsi="宋体" w:cs="宋体"/>
                <w:b/>
                <w:color w:val="000000"/>
                <w:kern w:val="0"/>
                <w:sz w:val="20"/>
                <w:highlight w:val="none"/>
              </w:rPr>
            </w:pPr>
            <w:r>
              <w:rPr>
                <w:rFonts w:hint="eastAsia" w:ascii="宋体" w:hAnsi="宋体" w:cs="宋体"/>
                <w:b/>
                <w:color w:val="000000"/>
                <w:kern w:val="0"/>
                <w:sz w:val="20"/>
                <w:highlight w:val="none"/>
              </w:rPr>
              <w:t>2、上述行为造成采购人损失的，服务单位须无条件承担所有连带责任。</w:t>
            </w:r>
          </w:p>
        </w:tc>
      </w:tr>
    </w:tbl>
    <w:p>
      <w:pPr>
        <w:spacing w:line="360" w:lineRule="auto"/>
        <w:ind w:firstLine="429" w:firstLineChars="196"/>
        <w:rPr>
          <w:rFonts w:ascii="宋体" w:hAnsi="宋体" w:eastAsia="宋体" w:cs="Times New Roman"/>
          <w:sz w:val="24"/>
          <w:szCs w:val="20"/>
          <w:highlight w:val="none"/>
        </w:rPr>
      </w:pPr>
    </w:p>
    <w:p>
      <w:pPr>
        <w:spacing w:line="360" w:lineRule="auto"/>
        <w:ind w:firstLine="429" w:firstLineChars="196"/>
        <w:rPr>
          <w:rFonts w:ascii="宋体" w:hAnsi="宋体" w:eastAsia="宋体" w:cs="Times New Roman"/>
          <w:sz w:val="24"/>
          <w:szCs w:val="20"/>
          <w:highlight w:val="none"/>
        </w:rPr>
      </w:pPr>
    </w:p>
    <w:p>
      <w:pPr>
        <w:jc w:val="center"/>
        <w:rPr>
          <w:rFonts w:hint="eastAsia" w:ascii="方正小标宋简体" w:eastAsia="方正小标宋简体"/>
          <w:b/>
          <w:sz w:val="36"/>
          <w:szCs w:val="36"/>
          <w:highlight w:val="none"/>
        </w:rPr>
      </w:pPr>
    </w:p>
    <w:p>
      <w:pPr>
        <w:jc w:val="center"/>
        <w:rPr>
          <w:rFonts w:hint="eastAsia" w:ascii="方正小标宋简体" w:eastAsia="方正小标宋简体"/>
          <w:b/>
          <w:sz w:val="36"/>
          <w:szCs w:val="36"/>
          <w:highlight w:val="none"/>
        </w:rPr>
      </w:pPr>
    </w:p>
    <w:p>
      <w:pPr>
        <w:jc w:val="both"/>
        <w:rPr>
          <w:rFonts w:hint="eastAsia" w:ascii="方正小标宋简体" w:eastAsia="方正小标宋简体"/>
          <w:b/>
          <w:sz w:val="36"/>
          <w:szCs w:val="36"/>
          <w:highlight w:val="none"/>
        </w:rPr>
      </w:pPr>
    </w:p>
    <w:p>
      <w:pPr>
        <w:pStyle w:val="2"/>
        <w:rPr>
          <w:rFonts w:hint="eastAsia"/>
          <w:highlight w:val="none"/>
        </w:rPr>
      </w:pPr>
    </w:p>
    <w:tbl>
      <w:tblPr>
        <w:tblStyle w:val="65"/>
        <w:tblW w:w="5100" w:type="pct"/>
        <w:jc w:val="center"/>
        <w:tblLayout w:type="fixed"/>
        <w:tblCellMar>
          <w:top w:w="0" w:type="dxa"/>
          <w:left w:w="108" w:type="dxa"/>
          <w:bottom w:w="0" w:type="dxa"/>
          <w:right w:w="108" w:type="dxa"/>
        </w:tblCellMar>
      </w:tblPr>
      <w:tblGrid>
        <w:gridCol w:w="702"/>
        <w:gridCol w:w="81"/>
        <w:gridCol w:w="3122"/>
        <w:gridCol w:w="803"/>
        <w:gridCol w:w="637"/>
        <w:gridCol w:w="1091"/>
        <w:gridCol w:w="927"/>
        <w:gridCol w:w="2011"/>
      </w:tblGrid>
      <w:tr>
        <w:tblPrEx>
          <w:tblCellMar>
            <w:top w:w="0" w:type="dxa"/>
            <w:left w:w="108" w:type="dxa"/>
            <w:bottom w:w="0" w:type="dxa"/>
            <w:right w:w="108" w:type="dxa"/>
          </w:tblCellMar>
        </w:tblPrEx>
        <w:trPr>
          <w:trHeight w:val="90" w:hRule="atLeast"/>
          <w:jc w:val="center"/>
        </w:trPr>
        <w:tc>
          <w:tcPr>
            <w:tcW w:w="8694" w:type="dxa"/>
            <w:gridSpan w:val="8"/>
            <w:tcBorders>
              <w:top w:val="nil"/>
              <w:left w:val="nil"/>
              <w:bottom w:val="single" w:color="auto" w:sz="4" w:space="0"/>
              <w:right w:val="nil"/>
            </w:tcBorders>
            <w:shd w:val="clear" w:color="auto" w:fill="auto"/>
            <w:noWrap/>
            <w:vAlign w:val="center"/>
          </w:tcPr>
          <w:p>
            <w:pPr>
              <w:spacing w:line="360" w:lineRule="auto"/>
              <w:jc w:val="center"/>
              <w:rPr>
                <w:rFonts w:ascii="仿宋_GB2312" w:eastAsia="仿宋_GB2312"/>
                <w:b/>
                <w:szCs w:val="24"/>
                <w:highlight w:val="none"/>
              </w:rPr>
            </w:pPr>
            <w:r>
              <w:rPr>
                <w:rFonts w:hint="eastAsia"/>
                <w:b/>
                <w:szCs w:val="24"/>
                <w:highlight w:val="none"/>
              </w:rPr>
              <w:t>公用公司机械类排水设施（机械类）服务项目要求及基准单价表</w:t>
            </w:r>
          </w:p>
        </w:tc>
      </w:tr>
      <w:tr>
        <w:tblPrEx>
          <w:tblCellMar>
            <w:top w:w="0" w:type="dxa"/>
            <w:left w:w="108" w:type="dxa"/>
            <w:bottom w:w="0" w:type="dxa"/>
            <w:right w:w="108" w:type="dxa"/>
          </w:tblCellMar>
        </w:tblPrEx>
        <w:trPr>
          <w:trHeight w:val="600" w:hRule="atLeast"/>
          <w:jc w:val="center"/>
        </w:trPr>
        <w:tc>
          <w:tcPr>
            <w:tcW w:w="72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序号</w:t>
            </w:r>
          </w:p>
        </w:tc>
        <w:tc>
          <w:tcPr>
            <w:tcW w:w="289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szCs w:val="24"/>
                <w:highlight w:val="none"/>
              </w:rPr>
            </w:pPr>
            <w:r>
              <w:rPr>
                <w:rFonts w:hint="eastAsia" w:ascii="仿宋_GB2312" w:eastAsia="仿宋_GB2312"/>
                <w:szCs w:val="24"/>
                <w:highlight w:val="none"/>
              </w:rPr>
              <w:t>维修内容</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单位</w:t>
            </w:r>
          </w:p>
        </w:tc>
        <w:tc>
          <w:tcPr>
            <w:tcW w:w="591"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数量</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人工单价</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材料单价</w:t>
            </w:r>
          </w:p>
        </w:tc>
        <w:tc>
          <w:tcPr>
            <w:tcW w:w="186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szCs w:val="24"/>
                <w:highlight w:val="none"/>
              </w:rPr>
            </w:pPr>
            <w:r>
              <w:rPr>
                <w:rFonts w:hint="eastAsia" w:ascii="仿宋_GB2312" w:eastAsia="仿宋_GB2312"/>
                <w:szCs w:val="24"/>
                <w:highlight w:val="none"/>
              </w:rPr>
              <w:t>备注</w:t>
            </w:r>
          </w:p>
        </w:tc>
      </w:tr>
      <w:tr>
        <w:tblPrEx>
          <w:tblCellMar>
            <w:top w:w="0" w:type="dxa"/>
            <w:left w:w="108" w:type="dxa"/>
            <w:bottom w:w="0" w:type="dxa"/>
            <w:right w:w="108" w:type="dxa"/>
          </w:tblCellMar>
        </w:tblPrEx>
        <w:trPr>
          <w:trHeight w:val="870" w:hRule="atLeast"/>
          <w:jc w:val="center"/>
        </w:trPr>
        <w:tc>
          <w:tcPr>
            <w:tcW w:w="8694"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xml:space="preserve">  一、水泵类（50KW以下）</w:t>
            </w:r>
          </w:p>
        </w:tc>
      </w:tr>
      <w:tr>
        <w:tblPrEx>
          <w:tblCellMar>
            <w:top w:w="0" w:type="dxa"/>
            <w:left w:w="108" w:type="dxa"/>
            <w:bottom w:w="0" w:type="dxa"/>
            <w:right w:w="108" w:type="dxa"/>
          </w:tblCellMar>
        </w:tblPrEx>
        <w:trPr>
          <w:trHeight w:val="435"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水泵现场拆装维修</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850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起吊、拆装、简单故障</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如泵体清理</w:t>
            </w:r>
            <w:r>
              <w:rPr>
                <w:rFonts w:hint="eastAsia" w:ascii="仿宋_GB2312" w:eastAsia="仿宋_GB2312"/>
                <w:szCs w:val="24"/>
                <w:highlight w:val="none"/>
                <w:lang w:eastAsia="zh-CN"/>
              </w:rPr>
              <w:t>）</w:t>
            </w:r>
            <w:r>
              <w:rPr>
                <w:rFonts w:hint="eastAsia" w:ascii="仿宋_GB2312" w:eastAsia="仿宋_GB2312"/>
                <w:szCs w:val="24"/>
                <w:highlight w:val="none"/>
              </w:rPr>
              <w:t>处理</w:t>
            </w:r>
          </w:p>
        </w:tc>
      </w:tr>
      <w:tr>
        <w:tblPrEx>
          <w:tblCellMar>
            <w:top w:w="0" w:type="dxa"/>
            <w:left w:w="108" w:type="dxa"/>
            <w:bottom w:w="0" w:type="dxa"/>
            <w:right w:w="108" w:type="dxa"/>
          </w:tblCellMar>
        </w:tblPrEx>
        <w:trPr>
          <w:trHeight w:val="9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水泵现场保养（含拍门、提升系统等）</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900</w:t>
            </w:r>
          </w:p>
        </w:tc>
        <w:tc>
          <w:tcPr>
            <w:tcW w:w="860" w:type="dxa"/>
            <w:tcBorders>
              <w:top w:val="nil"/>
              <w:left w:val="nil"/>
              <w:bottom w:val="nil"/>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186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除锈、刷漆、检查水泵工作状态</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电缆接头维修更换</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个</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860" w:type="dxa"/>
            <w:tcBorders>
              <w:top w:val="single" w:color="auto" w:sz="4" w:space="0"/>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160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水泵同启动设备连接电缆接头</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更换潜污泵耦合一圈不锈钢螺栓</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450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5</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更换潜污泵耦合处橡胶垫</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个</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信号电缆维修更换</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条</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水泵监控信号设备电缆</w:t>
            </w:r>
          </w:p>
        </w:tc>
      </w:tr>
      <w:tr>
        <w:tblPrEx>
          <w:tblCellMar>
            <w:top w:w="0" w:type="dxa"/>
            <w:left w:w="108" w:type="dxa"/>
            <w:bottom w:w="0" w:type="dxa"/>
            <w:right w:w="108" w:type="dxa"/>
          </w:tblCellMar>
        </w:tblPrEx>
        <w:trPr>
          <w:trHeight w:val="765"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7</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更换电缆（含动力线、信号线、电缆线接头、电缆密封等相关配件）</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项</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2500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设备除锈、刷漆防腐</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项</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460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指设备外部</w:t>
            </w:r>
          </w:p>
        </w:tc>
      </w:tr>
      <w:tr>
        <w:tblPrEx>
          <w:tblCellMar>
            <w:top w:w="0" w:type="dxa"/>
            <w:left w:w="108" w:type="dxa"/>
            <w:bottom w:w="0" w:type="dxa"/>
            <w:right w:w="108" w:type="dxa"/>
          </w:tblCellMar>
        </w:tblPrEx>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设备返厂维修运输及拆装费</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项</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1500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rPr>
              <w:t>含吊装</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大型排水泵</w:t>
            </w:r>
          </w:p>
        </w:tc>
      </w:tr>
      <w:tr>
        <w:tblPrEx>
          <w:tblCellMar>
            <w:top w:w="0" w:type="dxa"/>
            <w:left w:w="108" w:type="dxa"/>
            <w:bottom w:w="0" w:type="dxa"/>
            <w:right w:w="108" w:type="dxa"/>
          </w:tblCellMar>
        </w:tblPrEx>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10</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水泵气密试验</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1200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提供试验报告</w:t>
            </w:r>
          </w:p>
        </w:tc>
      </w:tr>
      <w:tr>
        <w:tblPrEx>
          <w:tblCellMar>
            <w:top w:w="0" w:type="dxa"/>
            <w:left w:w="108" w:type="dxa"/>
            <w:bottom w:w="0" w:type="dxa"/>
            <w:right w:w="108" w:type="dxa"/>
          </w:tblCellMar>
        </w:tblPrEx>
        <w:trPr>
          <w:trHeight w:val="9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11</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lang w:val="en-US" w:eastAsia="zh-CN"/>
              </w:rPr>
              <w:t>水泵</w:t>
            </w:r>
            <w:r>
              <w:rPr>
                <w:rFonts w:hint="eastAsia" w:ascii="仿宋_GB2312" w:eastAsia="仿宋_GB2312"/>
                <w:szCs w:val="24"/>
                <w:highlight w:val="none"/>
              </w:rPr>
              <w:t>电机测试</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lang w:val="en-US" w:eastAsia="zh-CN"/>
              </w:rPr>
              <w:t>800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提供试验报告</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预防性试验：耐压，绝缘，直阻</w:t>
            </w:r>
            <w:r>
              <w:rPr>
                <w:rFonts w:hint="eastAsia" w:ascii="仿宋_GB2312" w:eastAsia="仿宋_GB2312"/>
                <w:szCs w:val="24"/>
                <w:highlight w:val="none"/>
                <w:lang w:eastAsia="zh-CN"/>
              </w:rPr>
              <w:t>）</w:t>
            </w:r>
          </w:p>
        </w:tc>
      </w:tr>
      <w:tr>
        <w:tblPrEx>
          <w:tblCellMar>
            <w:top w:w="0" w:type="dxa"/>
            <w:left w:w="108" w:type="dxa"/>
            <w:bottom w:w="0" w:type="dxa"/>
            <w:right w:w="108" w:type="dxa"/>
          </w:tblCellMar>
        </w:tblPrEx>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12</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更换上轴承</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1300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13</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更换下轴承（含油室内轴承）</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1900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14</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更换上机械密封</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350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1600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15</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更换下机械密封</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380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1600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5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16</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更换O型圈包</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420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69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17</w:t>
            </w:r>
          </w:p>
        </w:tc>
        <w:tc>
          <w:tcPr>
            <w:tcW w:w="2970" w:type="dxa"/>
            <w:gridSpan w:val="2"/>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更换电机绝缘绕组（包含拆除旧绕组、绕线、嵌线、浸漆、烘干等工序）</w:t>
            </w:r>
            <w:r>
              <w:rPr>
                <w:rFonts w:hint="eastAsia" w:ascii="仿宋_GB2312" w:eastAsia="仿宋_GB2312"/>
                <w:szCs w:val="24"/>
                <w:highlight w:val="none"/>
                <w:lang w:val="en-US" w:eastAsia="zh-CN"/>
              </w:rPr>
              <w:t xml:space="preserve"> </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项</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1100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2800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51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18</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更换叶轮</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项</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650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3500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51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19</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更换机油</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350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51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20</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检测元件维修、更换</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350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水泵状态检测设备</w:t>
            </w:r>
          </w:p>
        </w:tc>
      </w:tr>
      <w:tr>
        <w:tblPrEx>
          <w:tblCellMar>
            <w:top w:w="0" w:type="dxa"/>
            <w:left w:w="108" w:type="dxa"/>
            <w:bottom w:w="0" w:type="dxa"/>
            <w:right w:w="108" w:type="dxa"/>
          </w:tblCellMar>
        </w:tblPrEx>
        <w:trPr>
          <w:trHeight w:val="51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21</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更换综合保护器</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650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5600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639"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22</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蜗壳（泵壳）维修更换</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480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3380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51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23</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水泵转子维修更换</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2600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51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24</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15KW及以下水泵更换线圈</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1000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525"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25</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水泵轴维修更换</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650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原水泵同材质</w:t>
            </w:r>
          </w:p>
        </w:tc>
      </w:tr>
      <w:tr>
        <w:trPr>
          <w:trHeight w:val="420" w:hRule="atLeast"/>
          <w:jc w:val="center"/>
        </w:trPr>
        <w:tc>
          <w:tcPr>
            <w:tcW w:w="3621" w:type="dxa"/>
            <w:gridSpan w:val="3"/>
            <w:tcBorders>
              <w:top w:val="nil"/>
              <w:left w:val="single" w:color="auto" w:sz="4" w:space="0"/>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xml:space="preserve">  二、配套系统</w:t>
            </w:r>
          </w:p>
        </w:tc>
        <w:tc>
          <w:tcPr>
            <w:tcW w:w="745"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591"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　</w:t>
            </w:r>
          </w:p>
        </w:tc>
        <w:tc>
          <w:tcPr>
            <w:tcW w:w="1012"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860"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26</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控制柜维修调试保养</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450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含除尘、接头紧固、检查</w:t>
            </w:r>
          </w:p>
        </w:tc>
      </w:tr>
      <w:tr>
        <w:tblPrEx>
          <w:tblCellMar>
            <w:top w:w="0" w:type="dxa"/>
            <w:left w:w="108" w:type="dxa"/>
            <w:bottom w:w="0" w:type="dxa"/>
            <w:right w:w="108" w:type="dxa"/>
          </w:tblCellMar>
        </w:tblPrEx>
        <w:trPr>
          <w:trHeight w:val="63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27</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清污机维修、保养（含液压油、油封、钢丝绳）</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1500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28</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流量计维修、保养</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个</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29</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止回阀维修、更换（直径≤300MM）</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耦合泵提升系统维修</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项</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包括提升系统和水泵上提升装置</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31</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切割式拦污格栅维修</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500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1500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含吊装等</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32</w:t>
            </w:r>
          </w:p>
        </w:tc>
        <w:tc>
          <w:tcPr>
            <w:tcW w:w="2970" w:type="dxa"/>
            <w:gridSpan w:val="2"/>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切割式拦污格栅</w:t>
            </w:r>
            <w:r>
              <w:rPr>
                <w:rFonts w:hint="eastAsia" w:ascii="仿宋_GB2312" w:eastAsia="仿宋_GB2312"/>
                <w:szCs w:val="24"/>
                <w:highlight w:val="none"/>
                <w:lang w:val="en-US" w:eastAsia="zh-CN"/>
              </w:rPr>
              <w:t>保养</w:t>
            </w:r>
          </w:p>
        </w:tc>
        <w:tc>
          <w:tcPr>
            <w:tcW w:w="745"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套</w:t>
            </w:r>
          </w:p>
        </w:tc>
        <w:tc>
          <w:tcPr>
            <w:tcW w:w="591"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850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含吊装</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清掏</w:t>
            </w:r>
            <w:r>
              <w:rPr>
                <w:rFonts w:hint="eastAsia" w:ascii="仿宋_GB2312" w:eastAsia="仿宋_GB2312"/>
                <w:szCs w:val="24"/>
                <w:highlight w:val="none"/>
              </w:rPr>
              <w:t>等</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33</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液位仪维修</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个</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77"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34</w:t>
            </w:r>
          </w:p>
        </w:tc>
        <w:tc>
          <w:tcPr>
            <w:tcW w:w="2970" w:type="dxa"/>
            <w:gridSpan w:val="2"/>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液位仪</w:t>
            </w:r>
            <w:r>
              <w:rPr>
                <w:rFonts w:hint="eastAsia" w:ascii="仿宋_GB2312" w:eastAsia="仿宋_GB2312"/>
                <w:szCs w:val="24"/>
                <w:highlight w:val="none"/>
                <w:lang w:val="en-US" w:eastAsia="zh-CN"/>
              </w:rPr>
              <w:t>更换</w:t>
            </w:r>
          </w:p>
        </w:tc>
        <w:tc>
          <w:tcPr>
            <w:tcW w:w="745"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个</w:t>
            </w:r>
          </w:p>
        </w:tc>
        <w:tc>
          <w:tcPr>
            <w:tcW w:w="591"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400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1000</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含显示屏</w:t>
            </w:r>
            <w:r>
              <w:rPr>
                <w:rFonts w:hint="eastAsia" w:ascii="仿宋_GB2312" w:eastAsia="仿宋_GB2312"/>
                <w:szCs w:val="24"/>
                <w:highlight w:val="none"/>
                <w:lang w:eastAsia="zh-CN"/>
              </w:rPr>
              <w:t>）</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3</w:t>
            </w:r>
            <w:r>
              <w:rPr>
                <w:rFonts w:hint="eastAsia" w:ascii="仿宋_GB2312" w:eastAsia="仿宋_GB2312"/>
                <w:szCs w:val="24"/>
                <w:highlight w:val="none"/>
                <w:lang w:val="en-US" w:eastAsia="zh-CN"/>
              </w:rPr>
              <w:t>5</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行车维修保养</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1500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2700</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年审、养护等</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年审费用约为2000元</w:t>
            </w:r>
            <w:r>
              <w:rPr>
                <w:rFonts w:hint="eastAsia" w:ascii="仿宋_GB2312" w:eastAsia="仿宋_GB2312"/>
                <w:szCs w:val="24"/>
                <w:highlight w:val="none"/>
                <w:lang w:eastAsia="zh-CN"/>
              </w:rPr>
              <w:t>）</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36</w:t>
            </w:r>
          </w:p>
        </w:tc>
        <w:tc>
          <w:tcPr>
            <w:tcW w:w="2970" w:type="dxa"/>
            <w:gridSpan w:val="2"/>
            <w:tcBorders>
              <w:top w:val="nil"/>
              <w:left w:val="nil"/>
              <w:bottom w:val="single" w:color="auto" w:sz="4" w:space="0"/>
              <w:right w:val="single" w:color="auto" w:sz="4" w:space="0"/>
            </w:tcBorders>
            <w:shd w:val="clear" w:color="auto" w:fill="auto"/>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污水泵站、截流闸盖板更换</w:t>
            </w:r>
          </w:p>
        </w:tc>
        <w:tc>
          <w:tcPr>
            <w:tcW w:w="745" w:type="dxa"/>
            <w:tcBorders>
              <w:top w:val="nil"/>
              <w:left w:val="nil"/>
              <w:bottom w:val="single" w:color="auto" w:sz="4" w:space="0"/>
              <w:right w:val="single" w:color="auto" w:sz="4" w:space="0"/>
            </w:tcBorders>
            <w:shd w:val="clear" w:color="auto" w:fill="auto"/>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w:t>
            </w:r>
          </w:p>
        </w:tc>
        <w:tc>
          <w:tcPr>
            <w:tcW w:w="591" w:type="dxa"/>
            <w:tcBorders>
              <w:top w:val="nil"/>
              <w:left w:val="nil"/>
              <w:bottom w:val="single" w:color="auto" w:sz="4" w:space="0"/>
              <w:right w:val="single" w:color="auto" w:sz="4" w:space="0"/>
            </w:tcBorders>
            <w:shd w:val="clear" w:color="auto" w:fill="auto"/>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300</w:t>
            </w:r>
          </w:p>
        </w:tc>
        <w:tc>
          <w:tcPr>
            <w:tcW w:w="1865"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材质为不锈钢</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37</w:t>
            </w:r>
          </w:p>
        </w:tc>
        <w:tc>
          <w:tcPr>
            <w:tcW w:w="2970" w:type="dxa"/>
            <w:gridSpan w:val="2"/>
            <w:tcBorders>
              <w:top w:val="nil"/>
              <w:left w:val="nil"/>
              <w:bottom w:val="single" w:color="auto" w:sz="4" w:space="0"/>
              <w:right w:val="single" w:color="auto" w:sz="4" w:space="0"/>
            </w:tcBorders>
            <w:shd w:val="clear" w:color="auto" w:fill="auto"/>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闸杆更换亚格力套</w:t>
            </w:r>
          </w:p>
        </w:tc>
        <w:tc>
          <w:tcPr>
            <w:tcW w:w="745" w:type="dxa"/>
            <w:tcBorders>
              <w:top w:val="nil"/>
              <w:left w:val="nil"/>
              <w:bottom w:val="single" w:color="auto" w:sz="4" w:space="0"/>
              <w:right w:val="single" w:color="auto" w:sz="4" w:space="0"/>
            </w:tcBorders>
            <w:shd w:val="clear" w:color="auto" w:fill="auto"/>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个</w:t>
            </w:r>
          </w:p>
        </w:tc>
        <w:tc>
          <w:tcPr>
            <w:tcW w:w="591" w:type="dxa"/>
            <w:tcBorders>
              <w:top w:val="nil"/>
              <w:left w:val="nil"/>
              <w:bottom w:val="single" w:color="auto" w:sz="4" w:space="0"/>
              <w:right w:val="single" w:color="auto" w:sz="4" w:space="0"/>
            </w:tcBorders>
            <w:shd w:val="clear" w:color="auto" w:fill="auto"/>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200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100</w:t>
            </w:r>
          </w:p>
        </w:tc>
        <w:tc>
          <w:tcPr>
            <w:tcW w:w="1865"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含底座盖板</w:t>
            </w:r>
          </w:p>
        </w:tc>
      </w:tr>
      <w:tr>
        <w:tblPrEx>
          <w:tblCellMar>
            <w:top w:w="0" w:type="dxa"/>
            <w:left w:w="108" w:type="dxa"/>
            <w:bottom w:w="0" w:type="dxa"/>
            <w:right w:w="108" w:type="dxa"/>
          </w:tblCellMar>
        </w:tblPrEx>
        <w:trPr>
          <w:trHeight w:val="420" w:hRule="atLeast"/>
          <w:jc w:val="center"/>
        </w:trPr>
        <w:tc>
          <w:tcPr>
            <w:tcW w:w="3621" w:type="dxa"/>
            <w:gridSpan w:val="3"/>
            <w:tcBorders>
              <w:top w:val="single" w:color="auto" w:sz="4" w:space="0"/>
              <w:left w:val="single" w:color="auto" w:sz="4" w:space="0"/>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xml:space="preserve">  三、水闸</w:t>
            </w:r>
          </w:p>
        </w:tc>
        <w:tc>
          <w:tcPr>
            <w:tcW w:w="745"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591"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　</w:t>
            </w:r>
          </w:p>
        </w:tc>
        <w:tc>
          <w:tcPr>
            <w:tcW w:w="1012"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860"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9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38</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大型钢闸门维修、保养（2</w:t>
            </w:r>
            <w:r>
              <w:rPr>
                <w:rFonts w:hint="eastAsia" w:ascii="仿宋_GB2312"/>
                <w:szCs w:val="24"/>
                <w:highlight w:val="none"/>
              </w:rPr>
              <w:t>㎡</w:t>
            </w:r>
            <w:r>
              <w:rPr>
                <w:rFonts w:hint="eastAsia" w:ascii="仿宋_GB2312" w:eastAsia="仿宋_GB2312"/>
                <w:szCs w:val="24"/>
                <w:highlight w:val="none"/>
              </w:rPr>
              <w:t>以上）</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2500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含除锈、刷漆等</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3</w:t>
            </w:r>
            <w:r>
              <w:rPr>
                <w:rFonts w:hint="eastAsia" w:ascii="仿宋_GB2312" w:eastAsia="仿宋_GB2312"/>
                <w:szCs w:val="24"/>
                <w:highlight w:val="none"/>
                <w:lang w:val="en-US" w:eastAsia="zh-CN"/>
              </w:rPr>
              <w:t>9</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小型钢闸门维修、保养（2</w:t>
            </w:r>
            <w:r>
              <w:rPr>
                <w:rFonts w:hint="eastAsia" w:ascii="仿宋_GB2312"/>
                <w:szCs w:val="24"/>
                <w:highlight w:val="none"/>
              </w:rPr>
              <w:t>㎡</w:t>
            </w:r>
            <w:r>
              <w:rPr>
                <w:rFonts w:hint="eastAsia" w:ascii="仿宋_GB2312" w:eastAsia="仿宋_GB2312"/>
                <w:szCs w:val="24"/>
                <w:highlight w:val="none"/>
              </w:rPr>
              <w:t>以下）</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1500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含除锈、刷漆等</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40</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重型起闭机维修保养（大于2吨）</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2000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含电动、手动</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41</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轻型起闭机维修保养（≤2吨）</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1500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含电动、手动</w:t>
            </w:r>
          </w:p>
        </w:tc>
      </w:tr>
      <w:tr>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42</w:t>
            </w:r>
          </w:p>
        </w:tc>
        <w:tc>
          <w:tcPr>
            <w:tcW w:w="297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大型拍门保养、维修（直径＞800MM）</w:t>
            </w:r>
          </w:p>
        </w:tc>
        <w:tc>
          <w:tcPr>
            <w:tcW w:w="745"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套</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2000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2500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含密封、铰链等</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pStyle w:val="2"/>
              <w:ind w:left="0" w:leftChars="0" w:firstLine="0" w:firstLineChars="0"/>
              <w:rPr>
                <w:rFonts w:hint="default" w:eastAsia="宋体"/>
                <w:highlight w:val="none"/>
                <w:lang w:val="en-US" w:eastAsia="zh-CN"/>
              </w:rPr>
            </w:pPr>
            <w:r>
              <w:rPr>
                <w:rFonts w:hint="eastAsia"/>
                <w:highlight w:val="none"/>
                <w:lang w:val="en-US" w:eastAsia="zh-CN"/>
              </w:rPr>
              <w:t>43</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压力箱盖板除锈、保养</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个</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rPr>
              <w:t>1</w:t>
            </w:r>
            <w:r>
              <w:rPr>
                <w:rFonts w:hint="eastAsia" w:ascii="仿宋_GB2312" w:eastAsia="仿宋_GB2312"/>
                <w:szCs w:val="24"/>
                <w:highlight w:val="none"/>
                <w:lang w:val="en-US" w:eastAsia="zh-CN"/>
              </w:rPr>
              <w:t>200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含除锈、刷漆等</w:t>
            </w:r>
          </w:p>
        </w:tc>
      </w:tr>
      <w:tr>
        <w:tblPrEx>
          <w:tblCellMar>
            <w:top w:w="0" w:type="dxa"/>
            <w:left w:w="108" w:type="dxa"/>
            <w:bottom w:w="0" w:type="dxa"/>
            <w:right w:w="108" w:type="dxa"/>
          </w:tblCellMar>
        </w:tblPrEx>
        <w:trPr>
          <w:trHeight w:val="420" w:hRule="atLeast"/>
          <w:jc w:val="center"/>
        </w:trPr>
        <w:tc>
          <w:tcPr>
            <w:tcW w:w="3621" w:type="dxa"/>
            <w:gridSpan w:val="3"/>
            <w:tcBorders>
              <w:top w:val="single" w:color="auto" w:sz="4" w:space="0"/>
              <w:left w:val="single" w:color="auto" w:sz="4" w:space="0"/>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xml:space="preserve">  四、超磁、氧化塘设备</w:t>
            </w:r>
          </w:p>
        </w:tc>
        <w:tc>
          <w:tcPr>
            <w:tcW w:w="745"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591"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　</w:t>
            </w:r>
          </w:p>
        </w:tc>
        <w:tc>
          <w:tcPr>
            <w:tcW w:w="1012"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860" w:type="dxa"/>
            <w:tcBorders>
              <w:top w:val="nil"/>
              <w:left w:val="nil"/>
              <w:bottom w:val="single" w:color="auto" w:sz="4" w:space="0"/>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4</w:t>
            </w:r>
            <w:r>
              <w:rPr>
                <w:rFonts w:hint="eastAsia" w:ascii="仿宋_GB2312" w:eastAsia="仿宋_GB2312"/>
                <w:szCs w:val="24"/>
                <w:highlight w:val="none"/>
                <w:lang w:val="en-US" w:eastAsia="zh-CN"/>
              </w:rPr>
              <w:t>4</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提水泵止回阀维修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次</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60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4</w:t>
            </w:r>
            <w:r>
              <w:rPr>
                <w:rFonts w:hint="eastAsia" w:ascii="仿宋_GB2312" w:eastAsia="仿宋_GB2312"/>
                <w:szCs w:val="24"/>
                <w:highlight w:val="none"/>
                <w:lang w:val="en-US" w:eastAsia="zh-CN"/>
              </w:rPr>
              <w:t>5</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超磁加药箱自来水管道维修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处</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609"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4</w:t>
            </w:r>
            <w:r>
              <w:rPr>
                <w:rFonts w:hint="eastAsia" w:ascii="仿宋_GB2312" w:eastAsia="仿宋_GB2312"/>
                <w:szCs w:val="24"/>
                <w:highlight w:val="none"/>
                <w:lang w:val="en-US" w:eastAsia="zh-CN"/>
              </w:rPr>
              <w:t>6</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超磁出水计量泵保养、维修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含常规保养和故障维修</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4</w:t>
            </w:r>
            <w:r>
              <w:rPr>
                <w:rFonts w:hint="eastAsia" w:ascii="仿宋_GB2312" w:eastAsia="仿宋_GB2312"/>
                <w:szCs w:val="24"/>
                <w:highlight w:val="none"/>
                <w:lang w:val="en-US" w:eastAsia="zh-CN"/>
              </w:rPr>
              <w:t>7</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超磁淤泥回流泵保养、维修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900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400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含常规保养和故障维修</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4</w:t>
            </w:r>
            <w:r>
              <w:rPr>
                <w:rFonts w:hint="eastAsia" w:ascii="仿宋_GB2312" w:eastAsia="仿宋_GB2312"/>
                <w:szCs w:val="24"/>
                <w:highlight w:val="none"/>
                <w:lang w:val="en-US" w:eastAsia="zh-CN"/>
              </w:rPr>
              <w:t>8</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电动机保养、维修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含常规保养和故障维修</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4</w:t>
            </w:r>
            <w:r>
              <w:rPr>
                <w:rFonts w:hint="eastAsia" w:ascii="仿宋_GB2312" w:eastAsia="仿宋_GB2312"/>
                <w:szCs w:val="24"/>
                <w:highlight w:val="none"/>
                <w:lang w:val="en-US" w:eastAsia="zh-CN"/>
              </w:rPr>
              <w:t>9</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曝气泵保养、维修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含常规保养和故障维修</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50</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曝气管道维修</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处</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600</w:t>
            </w:r>
          </w:p>
        </w:tc>
        <w:tc>
          <w:tcPr>
            <w:tcW w:w="860"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300</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含主管道，深水区支管不包括</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51</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25T吊车</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台班</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1600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52</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8T吊车</w:t>
            </w:r>
          </w:p>
        </w:tc>
        <w:tc>
          <w:tcPr>
            <w:tcW w:w="74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台班</w:t>
            </w:r>
          </w:p>
        </w:tc>
        <w:tc>
          <w:tcPr>
            <w:tcW w:w="591" w:type="dxa"/>
            <w:tcBorders>
              <w:top w:val="nil"/>
              <w:left w:val="nil"/>
              <w:bottom w:val="single" w:color="auto" w:sz="4" w:space="0"/>
              <w:right w:val="single" w:color="auto" w:sz="4" w:space="0"/>
            </w:tcBorders>
            <w:shd w:val="clear" w:color="auto" w:fill="auto"/>
            <w:vAlign w:val="center"/>
          </w:tcPr>
          <w:p>
            <w:pPr>
              <w:rPr>
                <w:rFonts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800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rPr>
              <w:t>　</w:t>
            </w:r>
            <w:r>
              <w:rPr>
                <w:rFonts w:hint="eastAsia" w:ascii="仿宋_GB2312" w:eastAsia="仿宋_GB2312"/>
                <w:szCs w:val="24"/>
                <w:highlight w:val="none"/>
                <w:lang w:val="en-US" w:eastAsia="zh-CN"/>
              </w:rPr>
              <w:t>/</w:t>
            </w:r>
          </w:p>
        </w:tc>
        <w:tc>
          <w:tcPr>
            <w:tcW w:w="1865"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　</w:t>
            </w:r>
          </w:p>
        </w:tc>
      </w:tr>
      <w:tr>
        <w:tblPrEx>
          <w:tblCellMar>
            <w:top w:w="0" w:type="dxa"/>
            <w:left w:w="108" w:type="dxa"/>
            <w:bottom w:w="0" w:type="dxa"/>
            <w:right w:w="108" w:type="dxa"/>
          </w:tblCellMar>
        </w:tblPrEx>
        <w:trPr>
          <w:trHeight w:val="420" w:hRule="atLeast"/>
          <w:jc w:val="center"/>
        </w:trPr>
        <w:tc>
          <w:tcPr>
            <w:tcW w:w="8694" w:type="dxa"/>
            <w:gridSpan w:val="8"/>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应急电源车</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5</w:t>
            </w:r>
            <w:r>
              <w:rPr>
                <w:rFonts w:hint="eastAsia" w:ascii="仿宋_GB2312" w:eastAsia="仿宋_GB2312"/>
                <w:szCs w:val="24"/>
                <w:highlight w:val="none"/>
                <w:lang w:val="en-US" w:eastAsia="zh-CN"/>
              </w:rPr>
              <w:t>3</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柴油发电机组维保</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200KW以上</w:t>
            </w:r>
            <w:r>
              <w:rPr>
                <w:rFonts w:hint="eastAsia" w:ascii="仿宋_GB2312" w:eastAsia="仿宋_GB2312"/>
                <w:szCs w:val="24"/>
                <w:highlight w:val="none"/>
                <w:lang w:eastAsia="zh-CN"/>
              </w:rPr>
              <w:t>）</w:t>
            </w:r>
          </w:p>
        </w:tc>
        <w:tc>
          <w:tcPr>
            <w:tcW w:w="74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3340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包括更换四滤,机油,冷却液。电气检测</w:t>
            </w:r>
          </w:p>
        </w:tc>
      </w:tr>
      <w:tr>
        <w:tblPrEx>
          <w:tblCellMar>
            <w:top w:w="0" w:type="dxa"/>
            <w:left w:w="108" w:type="dxa"/>
            <w:bottom w:w="0" w:type="dxa"/>
            <w:right w:w="108" w:type="dxa"/>
          </w:tblCellMar>
        </w:tblPrEx>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5</w:t>
            </w:r>
            <w:r>
              <w:rPr>
                <w:rFonts w:hint="eastAsia" w:ascii="仿宋_GB2312" w:eastAsia="仿宋_GB2312"/>
                <w:szCs w:val="24"/>
                <w:highlight w:val="none"/>
                <w:lang w:val="en-US" w:eastAsia="zh-CN"/>
              </w:rPr>
              <w:t>4</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eastAsia="zh-CN"/>
              </w:rPr>
            </w:pPr>
            <w:r>
              <w:rPr>
                <w:rFonts w:hint="eastAsia" w:ascii="仿宋_GB2312" w:eastAsia="仿宋_GB2312"/>
                <w:szCs w:val="24"/>
                <w:highlight w:val="none"/>
              </w:rPr>
              <w:t>柴油发电机组维保</w:t>
            </w:r>
            <w:r>
              <w:rPr>
                <w:rFonts w:hint="eastAsia" w:ascii="仿宋_GB2312" w:eastAsia="仿宋_GB2312"/>
                <w:szCs w:val="24"/>
                <w:highlight w:val="none"/>
                <w:lang w:eastAsia="zh-CN"/>
              </w:rPr>
              <w:t>（</w:t>
            </w:r>
            <w:r>
              <w:rPr>
                <w:rFonts w:hint="eastAsia" w:ascii="仿宋_GB2312" w:eastAsia="仿宋_GB2312"/>
                <w:szCs w:val="24"/>
                <w:highlight w:val="none"/>
                <w:lang w:val="en-US" w:eastAsia="zh-CN"/>
              </w:rPr>
              <w:t>200KW以下</w:t>
            </w:r>
            <w:r>
              <w:rPr>
                <w:rFonts w:hint="eastAsia" w:ascii="仿宋_GB2312" w:eastAsia="仿宋_GB2312"/>
                <w:szCs w:val="24"/>
                <w:highlight w:val="none"/>
                <w:lang w:eastAsia="zh-CN"/>
              </w:rPr>
              <w:t>）</w:t>
            </w:r>
          </w:p>
        </w:tc>
        <w:tc>
          <w:tcPr>
            <w:tcW w:w="74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台</w:t>
            </w:r>
          </w:p>
        </w:tc>
        <w:tc>
          <w:tcPr>
            <w:tcW w:w="591"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rPr>
            </w:pPr>
            <w:r>
              <w:rPr>
                <w:rFonts w:hint="eastAsia" w:ascii="仿宋_GB2312" w:eastAsia="仿宋_GB2312"/>
                <w:szCs w:val="24"/>
                <w:highlight w:val="none"/>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1800</w:t>
            </w:r>
          </w:p>
        </w:tc>
        <w:tc>
          <w:tcPr>
            <w:tcW w:w="860"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800</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r>
              <w:rPr>
                <w:rFonts w:hint="eastAsia" w:ascii="仿宋_GB2312" w:eastAsia="仿宋_GB2312"/>
                <w:szCs w:val="24"/>
                <w:highlight w:val="none"/>
              </w:rPr>
              <w:t>包括更换四滤,机油,冷却液。电气检测</w:t>
            </w:r>
          </w:p>
        </w:tc>
      </w:tr>
      <w:tr>
        <w:trPr>
          <w:trHeight w:val="420" w:hRule="atLeast"/>
          <w:jc w:val="center"/>
        </w:trPr>
        <w:tc>
          <w:tcPr>
            <w:tcW w:w="651"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55</w:t>
            </w:r>
          </w:p>
        </w:tc>
        <w:tc>
          <w:tcPr>
            <w:tcW w:w="2970" w:type="dxa"/>
            <w:gridSpan w:val="2"/>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发电机更换电瓶</w:t>
            </w:r>
          </w:p>
        </w:tc>
        <w:tc>
          <w:tcPr>
            <w:tcW w:w="74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台</w:t>
            </w:r>
          </w:p>
        </w:tc>
        <w:tc>
          <w:tcPr>
            <w:tcW w:w="591"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Cs w:val="24"/>
                <w:highlight w:val="none"/>
                <w:lang w:val="en-US" w:eastAsia="zh-CN"/>
              </w:rPr>
            </w:pPr>
            <w:r>
              <w:rPr>
                <w:rFonts w:hint="eastAsia" w:ascii="仿宋_GB2312" w:eastAsia="仿宋_GB2312"/>
                <w:szCs w:val="24"/>
                <w:highlight w:val="none"/>
                <w:lang w:val="en-US" w:eastAsia="zh-CN"/>
              </w:rPr>
              <w:t>1</w:t>
            </w:r>
          </w:p>
        </w:tc>
        <w:tc>
          <w:tcPr>
            <w:tcW w:w="1012"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500</w:t>
            </w:r>
          </w:p>
        </w:tc>
        <w:tc>
          <w:tcPr>
            <w:tcW w:w="860" w:type="dxa"/>
            <w:tcBorders>
              <w:top w:val="nil"/>
              <w:left w:val="nil"/>
              <w:bottom w:val="single" w:color="auto" w:sz="4" w:space="0"/>
              <w:right w:val="single" w:color="auto" w:sz="4" w:space="0"/>
            </w:tcBorders>
            <w:shd w:val="clear" w:color="auto" w:fill="auto"/>
            <w:noWrap/>
            <w:vAlign w:val="center"/>
          </w:tcPr>
          <w:p>
            <w:pPr>
              <w:rPr>
                <w:rFonts w:hint="default" w:ascii="仿宋_GB2312" w:eastAsia="仿宋_GB2312"/>
                <w:szCs w:val="24"/>
                <w:highlight w:val="none"/>
                <w:lang w:val="en-US" w:eastAsia="zh-CN"/>
              </w:rPr>
            </w:pPr>
            <w:r>
              <w:rPr>
                <w:rFonts w:hint="eastAsia" w:ascii="仿宋_GB2312" w:eastAsia="仿宋_GB2312"/>
                <w:szCs w:val="24"/>
                <w:highlight w:val="none"/>
                <w:lang w:val="en-US" w:eastAsia="zh-CN"/>
              </w:rPr>
              <w:t>1000</w:t>
            </w:r>
          </w:p>
        </w:tc>
        <w:tc>
          <w:tcPr>
            <w:tcW w:w="1865" w:type="dxa"/>
            <w:tcBorders>
              <w:top w:val="nil"/>
              <w:left w:val="nil"/>
              <w:bottom w:val="single" w:color="auto" w:sz="4" w:space="0"/>
              <w:right w:val="single" w:color="auto" w:sz="4" w:space="0"/>
            </w:tcBorders>
            <w:shd w:val="clear" w:color="auto" w:fill="auto"/>
            <w:noWrap/>
            <w:vAlign w:val="center"/>
          </w:tcPr>
          <w:p>
            <w:pPr>
              <w:rPr>
                <w:rFonts w:hint="eastAsia" w:ascii="仿宋_GB2312" w:eastAsia="仿宋_GB2312"/>
                <w:szCs w:val="24"/>
                <w:highlight w:val="none"/>
              </w:rPr>
            </w:pPr>
          </w:p>
        </w:tc>
      </w:tr>
      <w:tr>
        <w:tblPrEx>
          <w:tblCellMar>
            <w:top w:w="0" w:type="dxa"/>
            <w:left w:w="108" w:type="dxa"/>
            <w:bottom w:w="0" w:type="dxa"/>
            <w:right w:w="108" w:type="dxa"/>
          </w:tblCellMar>
        </w:tblPrEx>
        <w:trPr>
          <w:trHeight w:val="405" w:hRule="atLeast"/>
          <w:jc w:val="center"/>
        </w:trPr>
        <w:tc>
          <w:tcPr>
            <w:tcW w:w="8694" w:type="dxa"/>
            <w:gridSpan w:val="8"/>
            <w:tcBorders>
              <w:top w:val="single" w:color="auto" w:sz="4" w:space="0"/>
              <w:left w:val="nil"/>
              <w:bottom w:val="nil"/>
              <w:right w:val="nil"/>
            </w:tcBorders>
            <w:shd w:val="clear" w:color="auto" w:fill="auto"/>
            <w:noWrap/>
            <w:vAlign w:val="center"/>
          </w:tcPr>
          <w:p>
            <w:pPr>
              <w:rPr>
                <w:rFonts w:ascii="仿宋_GB2312" w:eastAsia="仿宋_GB2312"/>
                <w:szCs w:val="24"/>
                <w:highlight w:val="none"/>
              </w:rPr>
            </w:pPr>
            <w:r>
              <w:rPr>
                <w:rFonts w:hint="eastAsia" w:ascii="仿宋_GB2312" w:eastAsia="仿宋_GB2312"/>
                <w:szCs w:val="24"/>
                <w:highlight w:val="none"/>
              </w:rPr>
              <w:t>说明：</w:t>
            </w:r>
          </w:p>
          <w:p>
            <w:pPr>
              <w:ind w:firstLine="429" w:firstLineChars="196"/>
              <w:rPr>
                <w:rFonts w:ascii="仿宋_GB2312" w:eastAsia="仿宋_GB2312"/>
                <w:szCs w:val="24"/>
                <w:highlight w:val="none"/>
              </w:rPr>
            </w:pPr>
            <w:r>
              <w:rPr>
                <w:rFonts w:hint="eastAsia" w:ascii="仿宋_GB2312" w:eastAsia="仿宋_GB2312"/>
                <w:szCs w:val="24"/>
                <w:highlight w:val="none"/>
              </w:rPr>
              <w:t>1、本次按所测算市场单价折扣率报价，维修费及材料同比例折扣。</w:t>
            </w:r>
          </w:p>
        </w:tc>
      </w:tr>
      <w:tr>
        <w:tblPrEx>
          <w:tblCellMar>
            <w:top w:w="0" w:type="dxa"/>
            <w:left w:w="108" w:type="dxa"/>
            <w:bottom w:w="0" w:type="dxa"/>
            <w:right w:w="108" w:type="dxa"/>
          </w:tblCellMar>
        </w:tblPrEx>
        <w:trPr>
          <w:trHeight w:val="405" w:hRule="atLeast"/>
          <w:jc w:val="center"/>
        </w:trPr>
        <w:tc>
          <w:tcPr>
            <w:tcW w:w="8694" w:type="dxa"/>
            <w:gridSpan w:val="8"/>
            <w:tcBorders>
              <w:top w:val="nil"/>
              <w:left w:val="nil"/>
              <w:bottom w:val="nil"/>
              <w:right w:val="nil"/>
            </w:tcBorders>
            <w:shd w:val="clear" w:color="auto" w:fill="auto"/>
            <w:noWrap/>
            <w:vAlign w:val="center"/>
          </w:tcPr>
          <w:p>
            <w:pPr>
              <w:numPr>
                <w:ilvl w:val="0"/>
                <w:numId w:val="3"/>
              </w:numPr>
              <w:ind w:left="480" w:leftChars="0" w:firstLine="0" w:firstLineChars="0"/>
              <w:rPr>
                <w:rFonts w:hint="eastAsia" w:ascii="仿宋_GB2312" w:eastAsia="仿宋_GB2312"/>
                <w:szCs w:val="24"/>
                <w:highlight w:val="none"/>
              </w:rPr>
            </w:pPr>
            <w:r>
              <w:rPr>
                <w:rFonts w:hint="eastAsia" w:ascii="仿宋_GB2312" w:eastAsia="仿宋_GB2312"/>
                <w:szCs w:val="24"/>
                <w:highlight w:val="none"/>
              </w:rPr>
              <w:t>表中设计保养、维修两项内容的，实际结算中保养只有人工费，有维修工作量才含材料费。</w:t>
            </w:r>
          </w:p>
          <w:p>
            <w:pPr>
              <w:pStyle w:val="2"/>
              <w:numPr>
                <w:ilvl w:val="0"/>
                <w:numId w:val="3"/>
              </w:numPr>
              <w:ind w:left="480" w:leftChars="0" w:firstLine="0" w:firstLineChars="0"/>
              <w:rPr>
                <w:highlight w:val="none"/>
              </w:rPr>
            </w:pPr>
            <w:r>
              <w:rPr>
                <w:rFonts w:hint="eastAsia" w:ascii="仿宋_GB2312" w:eastAsia="仿宋_GB2312" w:hAnsiTheme="minorHAnsi" w:cstheme="minorBidi"/>
                <w:kern w:val="2"/>
                <w:sz w:val="21"/>
                <w:szCs w:val="24"/>
                <w:highlight w:val="none"/>
                <w:lang w:val="en-US" w:eastAsia="zh-CN" w:bidi="ar-SA"/>
              </w:rPr>
              <w:t>中标单位需于汛期前后，分别对排涝设施进行至少一次检查，并向投标方出具检查报告，要求检查过程配备一名高级机电工程师。</w:t>
            </w:r>
          </w:p>
        </w:tc>
      </w:tr>
    </w:tbl>
    <w:p>
      <w:pPr>
        <w:jc w:val="center"/>
        <w:rPr>
          <w:rFonts w:hint="eastAsia" w:ascii="方正小标宋简体" w:eastAsia="方正小标宋简体"/>
          <w:b/>
          <w:sz w:val="36"/>
          <w:szCs w:val="36"/>
          <w:highlight w:val="none"/>
        </w:rPr>
      </w:pPr>
    </w:p>
    <w:p>
      <w:pPr>
        <w:jc w:val="both"/>
        <w:rPr>
          <w:rFonts w:hint="eastAsia" w:ascii="方正小标宋简体" w:eastAsia="方正小标宋简体"/>
          <w:b/>
          <w:sz w:val="36"/>
          <w:szCs w:val="36"/>
          <w:highlight w:val="none"/>
        </w:rPr>
      </w:pPr>
    </w:p>
    <w:p>
      <w:pPr>
        <w:ind w:firstLine="1356" w:firstLineChars="400"/>
        <w:jc w:val="both"/>
        <w:rPr>
          <w:rFonts w:ascii="方正小标宋简体" w:eastAsia="方正小标宋简体"/>
          <w:b/>
          <w:sz w:val="36"/>
          <w:szCs w:val="36"/>
          <w:highlight w:val="none"/>
        </w:rPr>
      </w:pPr>
      <w:r>
        <w:rPr>
          <w:rFonts w:hint="eastAsia" w:ascii="方正小标宋简体" w:eastAsia="方正小标宋简体"/>
          <w:b/>
          <w:sz w:val="36"/>
          <w:szCs w:val="36"/>
          <w:highlight w:val="none"/>
        </w:rPr>
        <w:t>排水设备（机械、电器）维修</w:t>
      </w:r>
      <w:r>
        <w:rPr>
          <w:rFonts w:hint="eastAsia" w:ascii="方正小标宋简体" w:eastAsia="方正小标宋简体"/>
          <w:b/>
          <w:sz w:val="36"/>
          <w:szCs w:val="36"/>
          <w:highlight w:val="none"/>
          <w:lang w:val="en-US" w:eastAsia="zh-CN"/>
        </w:rPr>
        <w:t>派单验收</w:t>
      </w:r>
      <w:r>
        <w:rPr>
          <w:rFonts w:hint="eastAsia" w:ascii="方正小标宋简体" w:eastAsia="方正小标宋简体"/>
          <w:b/>
          <w:sz w:val="36"/>
          <w:szCs w:val="36"/>
          <w:highlight w:val="none"/>
        </w:rPr>
        <w:t>单</w:t>
      </w:r>
    </w:p>
    <w:p>
      <w:pPr>
        <w:jc w:val="center"/>
        <w:rPr>
          <w:highlight w:val="none"/>
        </w:rPr>
      </w:pPr>
    </w:p>
    <w:p>
      <w:pPr>
        <w:jc w:val="center"/>
        <w:rPr>
          <w:highlight w:val="none"/>
        </w:rPr>
      </w:pPr>
    </w:p>
    <w:p>
      <w:pPr>
        <w:ind w:firstLine="438" w:firstLineChars="200"/>
        <w:rPr>
          <w:highlight w:val="none"/>
        </w:rPr>
      </w:pPr>
      <w:r>
        <w:rPr>
          <w:rFonts w:hint="eastAsia"/>
          <w:highlight w:val="none"/>
        </w:rPr>
        <w:t>编号：【JX2023-    】</w:t>
      </w:r>
    </w:p>
    <w:tbl>
      <w:tblPr>
        <w:tblStyle w:val="65"/>
        <w:tblW w:w="5000" w:type="pct"/>
        <w:tblInd w:w="0" w:type="dxa"/>
        <w:tblLayout w:type="autofit"/>
        <w:tblCellMar>
          <w:top w:w="0" w:type="dxa"/>
          <w:left w:w="108" w:type="dxa"/>
          <w:bottom w:w="0" w:type="dxa"/>
          <w:right w:w="108" w:type="dxa"/>
        </w:tblCellMar>
      </w:tblPr>
      <w:tblGrid>
        <w:gridCol w:w="1452"/>
        <w:gridCol w:w="3244"/>
        <w:gridCol w:w="1224"/>
        <w:gridCol w:w="3271"/>
      </w:tblGrid>
      <w:tr>
        <w:tblPrEx>
          <w:tblCellMar>
            <w:top w:w="0" w:type="dxa"/>
            <w:left w:w="108" w:type="dxa"/>
            <w:bottom w:w="0" w:type="dxa"/>
            <w:right w:w="108" w:type="dxa"/>
          </w:tblCellMar>
        </w:tblPrEx>
        <w:trPr>
          <w:trHeight w:val="614" w:hRule="atLeast"/>
        </w:trPr>
        <w:tc>
          <w:tcPr>
            <w:tcW w:w="79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highlight w:val="none"/>
              </w:rPr>
            </w:pPr>
            <w:r>
              <w:rPr>
                <w:rFonts w:hint="eastAsia"/>
                <w:sz w:val="18"/>
                <w:szCs w:val="18"/>
                <w:highlight w:val="none"/>
              </w:rPr>
              <w:t>申请部门</w:t>
            </w:r>
          </w:p>
        </w:tc>
        <w:tc>
          <w:tcPr>
            <w:tcW w:w="1765" w:type="pct"/>
            <w:tcBorders>
              <w:top w:val="single" w:color="auto" w:sz="4" w:space="0"/>
              <w:left w:val="nil"/>
              <w:bottom w:val="single" w:color="auto" w:sz="4" w:space="0"/>
              <w:right w:val="single" w:color="auto" w:sz="4" w:space="0"/>
            </w:tcBorders>
            <w:noWrap/>
            <w:vAlign w:val="center"/>
          </w:tcPr>
          <w:p>
            <w:pPr>
              <w:widowControl/>
              <w:rPr>
                <w:rFonts w:ascii="仿宋" w:hAnsi="仿宋" w:eastAsia="仿宋" w:cs="仿宋"/>
                <w:highlight w:val="none"/>
              </w:rPr>
            </w:pPr>
          </w:p>
        </w:tc>
        <w:tc>
          <w:tcPr>
            <w:tcW w:w="666" w:type="pct"/>
            <w:tcBorders>
              <w:top w:val="single" w:color="auto" w:sz="4" w:space="0"/>
              <w:left w:val="nil"/>
              <w:bottom w:val="single" w:color="auto" w:sz="4" w:space="0"/>
              <w:right w:val="single" w:color="auto" w:sz="4" w:space="0"/>
            </w:tcBorders>
            <w:vAlign w:val="center"/>
          </w:tcPr>
          <w:p>
            <w:pPr>
              <w:jc w:val="center"/>
              <w:rPr>
                <w:highlight w:val="none"/>
              </w:rPr>
            </w:pPr>
            <w:r>
              <w:rPr>
                <w:rFonts w:hint="eastAsia"/>
                <w:sz w:val="18"/>
                <w:szCs w:val="18"/>
                <w:highlight w:val="none"/>
              </w:rPr>
              <w:t>申请人</w:t>
            </w:r>
          </w:p>
        </w:tc>
        <w:tc>
          <w:tcPr>
            <w:tcW w:w="1779" w:type="pct"/>
            <w:tcBorders>
              <w:top w:val="single" w:color="auto" w:sz="4" w:space="0"/>
              <w:left w:val="nil"/>
              <w:bottom w:val="single" w:color="auto" w:sz="4" w:space="0"/>
              <w:right w:val="single" w:color="auto" w:sz="4" w:space="0"/>
            </w:tcBorders>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518" w:hRule="atLeast"/>
        </w:trPr>
        <w:tc>
          <w:tcPr>
            <w:tcW w:w="790" w:type="pct"/>
            <w:tcBorders>
              <w:top w:val="nil"/>
              <w:left w:val="single" w:color="auto" w:sz="4" w:space="0"/>
              <w:bottom w:val="single" w:color="auto" w:sz="4" w:space="0"/>
              <w:right w:val="single" w:color="auto" w:sz="4" w:space="0"/>
            </w:tcBorders>
            <w:noWrap/>
            <w:vAlign w:val="center"/>
          </w:tcPr>
          <w:p>
            <w:pPr>
              <w:jc w:val="center"/>
              <w:rPr>
                <w:rFonts w:ascii="隶书" w:hAnsi="仿宋" w:eastAsia="隶书" w:cs="仿宋"/>
                <w:szCs w:val="24"/>
                <w:highlight w:val="none"/>
              </w:rPr>
            </w:pPr>
            <w:r>
              <w:rPr>
                <w:rFonts w:hint="eastAsia"/>
                <w:sz w:val="18"/>
                <w:szCs w:val="18"/>
                <w:highlight w:val="none"/>
              </w:rPr>
              <w:t>委托时间</w:t>
            </w:r>
          </w:p>
        </w:tc>
        <w:tc>
          <w:tcPr>
            <w:tcW w:w="1765"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highlight w:val="none"/>
              </w:rPr>
            </w:pPr>
          </w:p>
        </w:tc>
        <w:tc>
          <w:tcPr>
            <w:tcW w:w="666" w:type="pct"/>
            <w:tcBorders>
              <w:top w:val="nil"/>
              <w:left w:val="single" w:color="auto" w:sz="4" w:space="0"/>
              <w:bottom w:val="single" w:color="auto" w:sz="4" w:space="0"/>
              <w:right w:val="single" w:color="auto" w:sz="4" w:space="0"/>
            </w:tcBorders>
            <w:vAlign w:val="center"/>
          </w:tcPr>
          <w:p>
            <w:pPr>
              <w:jc w:val="center"/>
              <w:rPr>
                <w:rFonts w:ascii="隶书" w:hAnsi="仿宋" w:eastAsia="隶书" w:cs="仿宋"/>
                <w:szCs w:val="24"/>
                <w:highlight w:val="none"/>
              </w:rPr>
            </w:pPr>
            <w:r>
              <w:rPr>
                <w:rFonts w:hint="eastAsia"/>
                <w:sz w:val="18"/>
                <w:szCs w:val="18"/>
                <w:highlight w:val="none"/>
              </w:rPr>
              <w:t>工期要求</w:t>
            </w:r>
          </w:p>
        </w:tc>
        <w:tc>
          <w:tcPr>
            <w:tcW w:w="1779"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1537" w:hRule="atLeast"/>
        </w:trPr>
        <w:tc>
          <w:tcPr>
            <w:tcW w:w="790" w:type="pct"/>
            <w:tcBorders>
              <w:top w:val="single" w:color="auto" w:sz="4" w:space="0"/>
              <w:left w:val="single" w:color="auto" w:sz="4" w:space="0"/>
              <w:bottom w:val="single" w:color="auto" w:sz="4" w:space="0"/>
              <w:right w:val="single" w:color="auto" w:sz="4" w:space="0"/>
            </w:tcBorders>
            <w:noWrap/>
            <w:vAlign w:val="center"/>
          </w:tcPr>
          <w:p>
            <w:pPr>
              <w:jc w:val="center"/>
              <w:rPr>
                <w:sz w:val="18"/>
                <w:szCs w:val="18"/>
                <w:highlight w:val="none"/>
              </w:rPr>
            </w:pPr>
            <w:r>
              <w:rPr>
                <w:rFonts w:hint="eastAsia"/>
                <w:sz w:val="18"/>
                <w:szCs w:val="18"/>
                <w:highlight w:val="none"/>
              </w:rPr>
              <w:t>维修内容</w:t>
            </w:r>
          </w:p>
        </w:tc>
        <w:tc>
          <w:tcPr>
            <w:tcW w:w="4210" w:type="pct"/>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CellMar>
            <w:top w:w="0" w:type="dxa"/>
            <w:left w:w="108" w:type="dxa"/>
            <w:bottom w:w="0" w:type="dxa"/>
            <w:right w:w="108" w:type="dxa"/>
          </w:tblCellMar>
        </w:tblPrEx>
        <w:trPr>
          <w:trHeight w:val="1828" w:hRule="atLeast"/>
        </w:trPr>
        <w:tc>
          <w:tcPr>
            <w:tcW w:w="790" w:type="pct"/>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sz w:val="18"/>
                <w:szCs w:val="18"/>
                <w:highlight w:val="none"/>
              </w:rPr>
              <w:t>维修组意见</w:t>
            </w:r>
          </w:p>
        </w:tc>
        <w:tc>
          <w:tcPr>
            <w:tcW w:w="4210" w:type="pct"/>
            <w:gridSpan w:val="3"/>
            <w:tcBorders>
              <w:top w:val="single" w:color="auto" w:sz="4" w:space="0"/>
              <w:left w:val="nil"/>
              <w:bottom w:val="single" w:color="auto" w:sz="4" w:space="0"/>
              <w:right w:val="single" w:color="auto" w:sz="4" w:space="0"/>
            </w:tcBorders>
            <w:noWrap/>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562" w:hRule="atLeast"/>
        </w:trPr>
        <w:tc>
          <w:tcPr>
            <w:tcW w:w="790" w:type="pct"/>
            <w:tcBorders>
              <w:top w:val="single" w:color="auto" w:sz="4" w:space="0"/>
              <w:left w:val="single" w:color="auto" w:sz="4" w:space="0"/>
              <w:bottom w:val="single" w:color="auto" w:sz="4" w:space="0"/>
              <w:right w:val="single" w:color="auto" w:sz="4" w:space="0"/>
            </w:tcBorders>
            <w:vAlign w:val="center"/>
          </w:tcPr>
          <w:p>
            <w:pPr>
              <w:widowControl/>
              <w:jc w:val="center"/>
              <w:rPr>
                <w:sz w:val="18"/>
                <w:szCs w:val="18"/>
                <w:highlight w:val="none"/>
              </w:rPr>
            </w:pPr>
            <w:r>
              <w:rPr>
                <w:sz w:val="18"/>
                <w:szCs w:val="18"/>
                <w:highlight w:val="none"/>
              </w:rPr>
              <w:t>需采购材料</w:t>
            </w:r>
          </w:p>
        </w:tc>
        <w:tc>
          <w:tcPr>
            <w:tcW w:w="4210" w:type="pct"/>
            <w:gridSpan w:val="3"/>
            <w:tcBorders>
              <w:top w:val="single" w:color="auto" w:sz="4" w:space="0"/>
              <w:left w:val="nil"/>
              <w:bottom w:val="single" w:color="auto" w:sz="4" w:space="0"/>
              <w:right w:val="single" w:color="auto" w:sz="4" w:space="0"/>
            </w:tcBorders>
            <w:noWrap/>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562" w:hRule="atLeast"/>
        </w:trPr>
        <w:tc>
          <w:tcPr>
            <w:tcW w:w="790" w:type="pct"/>
            <w:tcBorders>
              <w:top w:val="single" w:color="auto" w:sz="4" w:space="0"/>
              <w:left w:val="single" w:color="auto" w:sz="4" w:space="0"/>
              <w:bottom w:val="single" w:color="auto" w:sz="4" w:space="0"/>
              <w:right w:val="single" w:color="auto" w:sz="4" w:space="0"/>
            </w:tcBorders>
            <w:vAlign w:val="center"/>
          </w:tcPr>
          <w:p>
            <w:pPr>
              <w:widowControl/>
              <w:jc w:val="center"/>
              <w:rPr>
                <w:sz w:val="18"/>
                <w:szCs w:val="18"/>
                <w:highlight w:val="none"/>
              </w:rPr>
            </w:pPr>
            <w:r>
              <w:rPr>
                <w:sz w:val="18"/>
                <w:szCs w:val="18"/>
                <w:highlight w:val="none"/>
              </w:rPr>
              <w:t>费用预算</w:t>
            </w:r>
          </w:p>
        </w:tc>
        <w:tc>
          <w:tcPr>
            <w:tcW w:w="1" w:type="pct"/>
            <w:gridSpan w:val="3"/>
            <w:tcBorders>
              <w:top w:val="single" w:color="auto" w:sz="4" w:space="0"/>
              <w:left w:val="nil"/>
              <w:bottom w:val="single" w:color="auto" w:sz="4" w:space="0"/>
              <w:right w:val="single" w:color="auto" w:sz="4" w:space="0"/>
            </w:tcBorders>
            <w:noWrap/>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710" w:hRule="atLeast"/>
        </w:trPr>
        <w:tc>
          <w:tcPr>
            <w:tcW w:w="790" w:type="pct"/>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rFonts w:hint="eastAsia"/>
                <w:sz w:val="18"/>
                <w:szCs w:val="18"/>
                <w:highlight w:val="none"/>
              </w:rPr>
              <w:t>处长意见</w:t>
            </w:r>
          </w:p>
        </w:tc>
        <w:tc>
          <w:tcPr>
            <w:tcW w:w="4210" w:type="pct"/>
            <w:gridSpan w:val="3"/>
            <w:tcBorders>
              <w:top w:val="single" w:color="auto" w:sz="4" w:space="0"/>
              <w:left w:val="single" w:color="auto" w:sz="4" w:space="0"/>
              <w:right w:val="single" w:color="auto" w:sz="4" w:space="0"/>
            </w:tcBorders>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834" w:hRule="atLeast"/>
        </w:trPr>
        <w:tc>
          <w:tcPr>
            <w:tcW w:w="790" w:type="pct"/>
            <w:tcBorders>
              <w:top w:val="nil"/>
              <w:left w:val="single" w:color="auto" w:sz="4" w:space="0"/>
              <w:bottom w:val="double" w:color="auto" w:sz="4" w:space="0"/>
              <w:right w:val="single" w:color="auto" w:sz="4" w:space="0"/>
            </w:tcBorders>
            <w:vAlign w:val="center"/>
          </w:tcPr>
          <w:p>
            <w:pPr>
              <w:jc w:val="center"/>
              <w:rPr>
                <w:sz w:val="18"/>
                <w:szCs w:val="18"/>
                <w:highlight w:val="none"/>
              </w:rPr>
            </w:pPr>
            <w:r>
              <w:rPr>
                <w:rFonts w:hint="eastAsia"/>
                <w:sz w:val="18"/>
                <w:szCs w:val="18"/>
                <w:highlight w:val="none"/>
              </w:rPr>
              <w:t>中心主任    意见</w:t>
            </w:r>
          </w:p>
        </w:tc>
        <w:tc>
          <w:tcPr>
            <w:tcW w:w="1765" w:type="pct"/>
            <w:tcBorders>
              <w:top w:val="single" w:color="auto" w:sz="4" w:space="0"/>
              <w:left w:val="nil"/>
              <w:bottom w:val="double" w:color="auto" w:sz="4" w:space="0"/>
              <w:right w:val="single" w:color="auto" w:sz="4" w:space="0"/>
            </w:tcBorders>
            <w:noWrap/>
            <w:vAlign w:val="center"/>
          </w:tcPr>
          <w:p>
            <w:pPr>
              <w:widowControl/>
              <w:rPr>
                <w:rFonts w:ascii="仿宋" w:hAnsi="仿宋" w:eastAsia="仿宋" w:cs="仿宋"/>
                <w:highlight w:val="none"/>
              </w:rPr>
            </w:pPr>
          </w:p>
        </w:tc>
        <w:tc>
          <w:tcPr>
            <w:tcW w:w="666" w:type="pct"/>
            <w:tcBorders>
              <w:top w:val="single" w:color="auto" w:sz="4" w:space="0"/>
              <w:left w:val="nil"/>
              <w:bottom w:val="double" w:color="auto" w:sz="4" w:space="0"/>
              <w:right w:val="single" w:color="auto" w:sz="4" w:space="0"/>
            </w:tcBorders>
            <w:vAlign w:val="center"/>
          </w:tcPr>
          <w:p>
            <w:pPr>
              <w:widowControl/>
              <w:jc w:val="center"/>
              <w:rPr>
                <w:rFonts w:ascii="仿宋" w:hAnsi="仿宋" w:eastAsia="仿宋" w:cs="仿宋"/>
                <w:highlight w:val="none"/>
              </w:rPr>
            </w:pPr>
            <w:r>
              <w:rPr>
                <w:sz w:val="18"/>
                <w:szCs w:val="18"/>
                <w:highlight w:val="none"/>
              </w:rPr>
              <w:t>分管经理</w:t>
            </w:r>
            <w:r>
              <w:rPr>
                <w:rFonts w:hint="eastAsia"/>
                <w:sz w:val="18"/>
                <w:szCs w:val="18"/>
                <w:highlight w:val="none"/>
              </w:rPr>
              <w:t xml:space="preserve">  </w:t>
            </w:r>
            <w:r>
              <w:rPr>
                <w:sz w:val="18"/>
                <w:szCs w:val="18"/>
                <w:highlight w:val="none"/>
              </w:rPr>
              <w:t>意见</w:t>
            </w:r>
          </w:p>
        </w:tc>
        <w:tc>
          <w:tcPr>
            <w:tcW w:w="1779" w:type="pct"/>
            <w:tcBorders>
              <w:top w:val="single" w:color="auto" w:sz="4" w:space="0"/>
              <w:left w:val="nil"/>
              <w:bottom w:val="double" w:color="auto" w:sz="4" w:space="0"/>
              <w:right w:val="single" w:color="auto" w:sz="4" w:space="0"/>
            </w:tcBorders>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1503" w:hRule="atLeast"/>
        </w:trPr>
        <w:tc>
          <w:tcPr>
            <w:tcW w:w="790" w:type="pct"/>
            <w:tcBorders>
              <w:left w:val="single" w:color="auto" w:sz="4" w:space="0"/>
              <w:bottom w:val="single" w:color="auto" w:sz="4" w:space="0"/>
              <w:right w:val="single" w:color="auto" w:sz="4" w:space="0"/>
            </w:tcBorders>
            <w:vAlign w:val="center"/>
          </w:tcPr>
          <w:p>
            <w:pPr>
              <w:widowControl/>
              <w:jc w:val="center"/>
              <w:rPr>
                <w:sz w:val="18"/>
                <w:szCs w:val="18"/>
                <w:highlight w:val="none"/>
              </w:rPr>
            </w:pPr>
            <w:r>
              <w:rPr>
                <w:rFonts w:hint="eastAsia"/>
                <w:sz w:val="18"/>
                <w:szCs w:val="18"/>
                <w:highlight w:val="none"/>
              </w:rPr>
              <w:t>验收组意见</w:t>
            </w:r>
          </w:p>
        </w:tc>
        <w:tc>
          <w:tcPr>
            <w:tcW w:w="4210" w:type="pct"/>
            <w:gridSpan w:val="3"/>
            <w:tcBorders>
              <w:left w:val="nil"/>
              <w:bottom w:val="single" w:color="auto" w:sz="4" w:space="0"/>
              <w:right w:val="single" w:color="auto" w:sz="4" w:space="0"/>
            </w:tcBorders>
            <w:noWrap/>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994" w:hRule="atLeast"/>
        </w:trPr>
        <w:tc>
          <w:tcPr>
            <w:tcW w:w="790" w:type="pct"/>
            <w:tcBorders>
              <w:top w:val="nil"/>
              <w:left w:val="single" w:color="auto" w:sz="4" w:space="0"/>
              <w:bottom w:val="single" w:color="auto" w:sz="4" w:space="0"/>
              <w:right w:val="single" w:color="auto" w:sz="4" w:space="0"/>
            </w:tcBorders>
            <w:vAlign w:val="center"/>
          </w:tcPr>
          <w:p>
            <w:pPr>
              <w:widowControl/>
              <w:jc w:val="center"/>
              <w:rPr>
                <w:sz w:val="18"/>
                <w:szCs w:val="18"/>
                <w:highlight w:val="none"/>
              </w:rPr>
            </w:pPr>
            <w:r>
              <w:rPr>
                <w:sz w:val="18"/>
                <w:szCs w:val="18"/>
                <w:highlight w:val="none"/>
              </w:rPr>
              <w:t>验收结果</w:t>
            </w:r>
          </w:p>
        </w:tc>
        <w:tc>
          <w:tcPr>
            <w:tcW w:w="4210" w:type="pct"/>
            <w:gridSpan w:val="3"/>
            <w:tcBorders>
              <w:top w:val="nil"/>
              <w:left w:val="nil"/>
              <w:bottom w:val="single" w:color="auto" w:sz="4" w:space="0"/>
              <w:right w:val="single" w:color="auto" w:sz="4" w:space="0"/>
            </w:tcBorders>
            <w:noWrap/>
            <w:vAlign w:val="center"/>
          </w:tcPr>
          <w:p>
            <w:pPr>
              <w:widowControl/>
              <w:rPr>
                <w:rFonts w:ascii="仿宋" w:hAnsi="仿宋" w:eastAsia="仿宋" w:cs="仿宋"/>
                <w:highlight w:val="none"/>
              </w:rPr>
            </w:pPr>
          </w:p>
        </w:tc>
      </w:tr>
      <w:tr>
        <w:tblPrEx>
          <w:tblCellMar>
            <w:top w:w="0" w:type="dxa"/>
            <w:left w:w="108" w:type="dxa"/>
            <w:bottom w:w="0" w:type="dxa"/>
            <w:right w:w="108" w:type="dxa"/>
          </w:tblCellMar>
        </w:tblPrEx>
        <w:trPr>
          <w:trHeight w:val="936" w:hRule="atLeast"/>
        </w:trPr>
        <w:tc>
          <w:tcPr>
            <w:tcW w:w="790" w:type="pct"/>
            <w:tcBorders>
              <w:top w:val="nil"/>
              <w:left w:val="single" w:color="auto" w:sz="4" w:space="0"/>
              <w:bottom w:val="single" w:color="auto" w:sz="4" w:space="0"/>
              <w:right w:val="single" w:color="auto" w:sz="4" w:space="0"/>
            </w:tcBorders>
            <w:vAlign w:val="center"/>
          </w:tcPr>
          <w:p>
            <w:pPr>
              <w:widowControl/>
              <w:jc w:val="center"/>
              <w:rPr>
                <w:sz w:val="18"/>
                <w:szCs w:val="18"/>
                <w:highlight w:val="none"/>
              </w:rPr>
            </w:pPr>
            <w:r>
              <w:rPr>
                <w:rFonts w:hint="eastAsia"/>
                <w:sz w:val="18"/>
                <w:szCs w:val="18"/>
                <w:highlight w:val="none"/>
              </w:rPr>
              <w:t>备注</w:t>
            </w:r>
          </w:p>
        </w:tc>
        <w:tc>
          <w:tcPr>
            <w:tcW w:w="4210" w:type="pct"/>
            <w:gridSpan w:val="3"/>
            <w:tcBorders>
              <w:top w:val="nil"/>
              <w:left w:val="nil"/>
              <w:bottom w:val="single" w:color="auto" w:sz="4" w:space="0"/>
              <w:right w:val="single" w:color="auto" w:sz="4" w:space="0"/>
            </w:tcBorders>
            <w:noWrap/>
            <w:vAlign w:val="center"/>
          </w:tcPr>
          <w:p>
            <w:pPr>
              <w:widowControl/>
              <w:rPr>
                <w:rFonts w:ascii="仿宋" w:hAnsi="仿宋" w:eastAsia="仿宋" w:cs="仿宋"/>
                <w:highlight w:val="none"/>
              </w:rPr>
            </w:pPr>
          </w:p>
        </w:tc>
      </w:tr>
    </w:tbl>
    <w:p>
      <w:pPr>
        <w:ind w:firstLine="318" w:firstLineChars="200"/>
        <w:rPr>
          <w:sz w:val="18"/>
          <w:szCs w:val="18"/>
          <w:highlight w:val="none"/>
        </w:rPr>
      </w:pPr>
      <w:r>
        <w:rPr>
          <w:rFonts w:hint="eastAsia"/>
          <w:sz w:val="18"/>
          <w:szCs w:val="18"/>
          <w:highlight w:val="none"/>
        </w:rPr>
        <w:t>1、本维修单一式二份，维修组合维修单位各执一份，决算报审时附扫描件。</w:t>
      </w:r>
    </w:p>
    <w:p>
      <w:pPr>
        <w:spacing w:line="360" w:lineRule="auto"/>
        <w:ind w:firstLine="318" w:firstLineChars="200"/>
        <w:rPr>
          <w:sz w:val="18"/>
          <w:szCs w:val="18"/>
          <w:highlight w:val="none"/>
        </w:rPr>
      </w:pPr>
      <w:r>
        <w:rPr>
          <w:rFonts w:hint="eastAsia"/>
          <w:sz w:val="18"/>
          <w:szCs w:val="18"/>
          <w:highlight w:val="none"/>
        </w:rPr>
        <w:t>2、本维修单为对应维修单位合同的应用部分，所有疑问以合同为准。</w:t>
      </w:r>
    </w:p>
    <w:p>
      <w:pPr>
        <w:spacing w:line="360" w:lineRule="auto"/>
        <w:ind w:firstLine="318" w:firstLineChars="200"/>
        <w:rPr>
          <w:rFonts w:ascii="宋体" w:hAnsi="宋体" w:eastAsia="宋体" w:cs="Times New Roman"/>
          <w:sz w:val="24"/>
          <w:szCs w:val="20"/>
          <w:highlight w:val="none"/>
        </w:rPr>
      </w:pPr>
      <w:r>
        <w:rPr>
          <w:rFonts w:hint="eastAsia"/>
          <w:sz w:val="18"/>
          <w:szCs w:val="18"/>
          <w:highlight w:val="none"/>
        </w:rPr>
        <w:t>3、维修组根据现场情况确定自行实施或者委托维修单位，并简述维修方案。</w:t>
      </w:r>
    </w:p>
    <w:p>
      <w:pPr>
        <w:rPr>
          <w:rFonts w:hAnsi="宋体" w:cs="宋体"/>
          <w:b/>
          <w:bCs/>
          <w:color w:val="000000"/>
          <w:sz w:val="28"/>
          <w:szCs w:val="28"/>
          <w:highlight w:val="none"/>
        </w:rPr>
      </w:pPr>
    </w:p>
    <w:p>
      <w:pPr>
        <w:rPr>
          <w:sz w:val="21"/>
          <w:szCs w:val="21"/>
          <w:highlight w:val="none"/>
        </w:rPr>
      </w:pPr>
    </w:p>
    <w:p>
      <w:pPr>
        <w:pStyle w:val="3"/>
        <w:spacing w:before="480" w:after="260" w:line="500" w:lineRule="exact"/>
        <w:rPr>
          <w:rFonts w:hAnsi="宋体"/>
          <w:b w:val="0"/>
          <w:bCs w:val="0"/>
          <w:color w:val="000000"/>
          <w:highlight w:val="none"/>
        </w:rPr>
      </w:pPr>
      <w:bookmarkStart w:id="197" w:name="_Toc527131324"/>
      <w:r>
        <w:rPr>
          <w:rFonts w:hint="eastAsia" w:hAnsi="宋体"/>
          <w:color w:val="000000"/>
          <w:highlight w:val="none"/>
        </w:rPr>
        <w:t>六、响应文件格式</w:t>
      </w:r>
      <w:bookmarkEnd w:id="19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156" w:afterLines="50"/>
        <w:jc w:val="center"/>
        <w:rPr>
          <w:rFonts w:hAnsi="宋体"/>
          <w:b/>
          <w:color w:val="000000"/>
          <w:sz w:val="72"/>
          <w:szCs w:val="24"/>
          <w:highlight w:val="none"/>
        </w:rPr>
      </w:pPr>
    </w:p>
    <w:p>
      <w:pPr>
        <w:spacing w:after="156" w:afterLines="50" w:line="500" w:lineRule="exact"/>
        <w:jc w:val="center"/>
        <w:rPr>
          <w:rFonts w:hAnsi="宋体"/>
          <w:b/>
          <w:color w:val="000000"/>
          <w:sz w:val="72"/>
          <w:szCs w:val="24"/>
          <w:highlight w:val="none"/>
        </w:rPr>
      </w:pPr>
    </w:p>
    <w:p>
      <w:pPr>
        <w:spacing w:after="156" w:afterLines="50" w:line="500" w:lineRule="exact"/>
        <w:jc w:val="center"/>
        <w:rPr>
          <w:rFonts w:hAnsi="宋体"/>
          <w:b/>
          <w:color w:val="000000"/>
          <w:sz w:val="72"/>
          <w:szCs w:val="24"/>
          <w:highlight w:val="none"/>
        </w:rPr>
      </w:pPr>
    </w:p>
    <w:p>
      <w:pPr>
        <w:spacing w:after="156"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156"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198" w:name="_Toc438648618"/>
      <w:r>
        <w:rPr>
          <w:rFonts w:hint="eastAsia" w:hAnsi="宋体" w:cs="宋体"/>
          <w:b/>
          <w:color w:val="000000"/>
          <w:szCs w:val="24"/>
          <w:highlight w:val="none"/>
        </w:rPr>
        <w:t>响应文件资料清单</w:t>
      </w:r>
    </w:p>
    <w:tbl>
      <w:tblPr>
        <w:tblStyle w:val="6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4"/>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199" w:name="_Toc461053086"/>
      <w:bookmarkStart w:id="200" w:name="_Toc461056631"/>
      <w:bookmarkStart w:id="201" w:name="_Toc2774249"/>
      <w:r>
        <w:rPr>
          <w:rFonts w:hint="eastAsia" w:ascii="宋体" w:hAnsi="宋体" w:eastAsia="宋体"/>
          <w:bCs w:val="0"/>
          <w:color w:val="000000"/>
          <w:sz w:val="24"/>
          <w:szCs w:val="24"/>
          <w:highlight w:val="none"/>
        </w:rPr>
        <w:t>附件一</w:t>
      </w:r>
      <w:bookmarkEnd w:id="199"/>
      <w:bookmarkEnd w:id="200"/>
      <w:bookmarkEnd w:id="201"/>
    </w:p>
    <w:p>
      <w:pPr>
        <w:spacing w:before="156" w:beforeLines="50" w:after="156"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156" w:beforeLines="50" w:after="156"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156"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1617" w:firstLineChars="738"/>
              <w:rPr>
                <w:rFonts w:hint="eastAsia" w:hAnsi="宋体" w:eastAsia="宋体"/>
                <w:bCs/>
                <w:color w:val="000000"/>
                <w:highlight w:val="none"/>
                <w:u w:val="single"/>
                <w:lang w:val="en-US" w:eastAsia="zh-CN"/>
              </w:rPr>
            </w:pPr>
            <w:r>
              <w:rPr>
                <w:rFonts w:hint="eastAsia" w:hAnsi="宋体"/>
                <w:bCs/>
                <w:color w:val="000000"/>
                <w:highlight w:val="none"/>
                <w:lang w:val="en-US" w:eastAsia="zh-CN"/>
              </w:rPr>
              <w:t>费率</w:t>
            </w:r>
            <w:r>
              <w:rPr>
                <w:rFonts w:hint="eastAsia" w:hAnsi="宋体"/>
                <w:bCs/>
                <w:color w:val="000000"/>
                <w:highlight w:val="none"/>
              </w:rPr>
              <w:t xml:space="preserve"> </w:t>
            </w:r>
            <w:r>
              <w:rPr>
                <w:rFonts w:hint="eastAsia" w:hAnsi="宋体"/>
                <w:bCs/>
                <w:color w:val="000000"/>
                <w:highlight w:val="none"/>
                <w:u w:val="single"/>
              </w:rPr>
              <w:t xml:space="preserve">           </w:t>
            </w:r>
            <w:r>
              <w:rPr>
                <w:rFonts w:hint="eastAsia" w:hAnsi="宋体"/>
                <w:bCs/>
                <w:color w:val="000000"/>
                <w:highlight w:val="none"/>
                <w:u w:val="single"/>
                <w:lang w:val="en-US" w:eastAsia="zh-CN"/>
              </w:rPr>
              <w:t>%</w:t>
            </w:r>
          </w:p>
          <w:p>
            <w:pPr>
              <w:snapToGrid w:val="0"/>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int="default" w:hAnsi="宋体" w:eastAsia="宋体"/>
                <w:b/>
                <w:color w:val="000000"/>
                <w:highlight w:val="none"/>
                <w:lang w:val="en-US" w:eastAsia="zh-CN"/>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bookmarkEnd w:id="198"/>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202" w:name="_Toc438648620"/>
      <w:r>
        <w:rPr>
          <w:rFonts w:hint="eastAsia" w:hAnsi="宋体" w:cs="宋体"/>
          <w:b/>
          <w:color w:val="000000"/>
          <w:szCs w:val="24"/>
          <w:highlight w:val="none"/>
        </w:rPr>
        <w:br w:type="page"/>
      </w:r>
      <w:bookmarkEnd w:id="202"/>
      <w:r>
        <w:rPr>
          <w:rFonts w:hint="eastAsia" w:hAnsi="宋体" w:cs="宋体"/>
          <w:b/>
          <w:color w:val="000000"/>
          <w:szCs w:val="24"/>
          <w:highlight w:val="none"/>
        </w:rPr>
        <w:t>三</w:t>
      </w:r>
    </w:p>
    <w:p>
      <w:pPr>
        <w:spacing w:before="156" w:beforeLines="50" w:after="156"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62" w:beforeLines="20" w:after="62"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62" w:beforeLines="20" w:after="62"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62" w:beforeLines="20" w:after="62"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62" w:beforeLines="20" w:after="62" w:afterLines="20" w:line="540" w:lineRule="exact"/>
        <w:ind w:firstLine="610"/>
        <w:rPr>
          <w:rFonts w:hAnsi="宋体" w:cs="宋体"/>
          <w:color w:val="000000"/>
          <w:szCs w:val="24"/>
          <w:highlight w:val="none"/>
        </w:rPr>
      </w:pPr>
    </w:p>
    <w:p>
      <w:pPr>
        <w:pStyle w:val="26"/>
        <w:spacing w:before="62" w:beforeLines="20" w:after="62"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highlight w:val="none"/>
        </w:rPr>
      </w:pPr>
    </w:p>
    <w:p>
      <w:pPr>
        <w:tabs>
          <w:tab w:val="left" w:pos="720"/>
          <w:tab w:val="left" w:pos="900"/>
        </w:tabs>
        <w:spacing w:before="62" w:beforeLines="20" w:after="62" w:afterLines="20" w:line="540" w:lineRule="exact"/>
        <w:ind w:firstLine="438" w:firstLineChars="200"/>
        <w:rPr>
          <w:rFonts w:hAnsi="宋体" w:cs="宋体"/>
          <w:color w:val="000000"/>
          <w:szCs w:val="24"/>
          <w:highlight w:val="none"/>
        </w:rPr>
      </w:pPr>
    </w:p>
    <w:p>
      <w:pPr>
        <w:tabs>
          <w:tab w:val="left" w:pos="720"/>
          <w:tab w:val="left" w:pos="900"/>
        </w:tabs>
        <w:spacing w:before="62" w:beforeLines="20" w:after="62" w:afterLines="20" w:line="540" w:lineRule="exact"/>
        <w:ind w:firstLine="4161" w:firstLineChars="1900"/>
        <w:rPr>
          <w:rFonts w:hAnsi="宋体" w:cs="宋体"/>
          <w:color w:val="000000"/>
          <w:szCs w:val="24"/>
          <w:highlight w:val="none"/>
        </w:rPr>
      </w:pPr>
    </w:p>
    <w:p>
      <w:pPr>
        <w:tabs>
          <w:tab w:val="left" w:pos="720"/>
          <w:tab w:val="left" w:pos="900"/>
        </w:tabs>
        <w:spacing w:before="62" w:beforeLines="20" w:after="62"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62" w:beforeLines="20" w:after="62"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62" w:beforeLines="20" w:after="62"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203" w:name="_Toc438648622"/>
      <w:r>
        <w:rPr>
          <w:rFonts w:hint="eastAsia" w:hAnsi="宋体" w:cs="宋体"/>
          <w:b/>
          <w:color w:val="000000"/>
          <w:szCs w:val="24"/>
          <w:highlight w:val="none"/>
        </w:rPr>
        <w:t>五</w:t>
      </w:r>
    </w:p>
    <w:p>
      <w:pPr>
        <w:spacing w:before="156" w:beforeLines="50" w:after="156"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3"/>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3"/>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3"/>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3"/>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203"/>
      <w:bookmarkStart w:id="204" w:name="_Toc438648630"/>
      <w:bookmarkStart w:id="205" w:name="_Toc433835936"/>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204"/>
    <w:bookmarkEnd w:id="205"/>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jc w:val="center"/>
        <w:rPr>
          <w:rFonts w:hAnsi="宋体" w:cs="宋体"/>
          <w:b/>
          <w:color w:val="000000"/>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10609000101010101"/>
    <w:charset w:val="88"/>
    <w:family w:val="modern"/>
    <w:pitch w:val="default"/>
    <w:sig w:usb0="00000000" w:usb1="00000000" w:usb2="00000010" w:usb3="00000000" w:csb0="00100000" w:csb1="00000000"/>
  </w:font>
  <w:font w:name="DotumChe">
    <w:altName w:val="Malgun Gothic"/>
    <w:panose1 w:val="00000000000000000000"/>
    <w:charset w:val="81"/>
    <w:family w:val="modern"/>
    <w:pitch w:val="default"/>
    <w:sig w:usb0="00000000" w:usb1="00000000"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9"/>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合肥经济技术开发区公用事业</w:t>
    </w:r>
    <w:r>
      <w:rPr>
        <w:rFonts w:hint="eastAsia"/>
      </w:rPr>
      <w:t>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F9A6C"/>
    <w:multiLevelType w:val="singleLevel"/>
    <w:tmpl w:val="B3CF9A6C"/>
    <w:lvl w:ilvl="0" w:tentative="0">
      <w:start w:val="2"/>
      <w:numFmt w:val="decimal"/>
      <w:suff w:val="nothing"/>
      <w:lvlText w:val="%1、"/>
      <w:lvlJc w:val="left"/>
      <w:pPr>
        <w:ind w:left="480" w:leftChars="0" w:firstLine="0" w:firstLineChars="0"/>
      </w:pPr>
    </w:lvl>
  </w:abstractNum>
  <w:abstractNum w:abstractNumId="1">
    <w:nsid w:val="FD2EF93B"/>
    <w:multiLevelType w:val="singleLevel"/>
    <w:tmpl w:val="FD2EF93B"/>
    <w:lvl w:ilvl="0" w:tentative="0">
      <w:start w:val="1"/>
      <w:numFmt w:val="decimal"/>
      <w:suff w:val="nothing"/>
      <w:lvlText w:val="%1、"/>
      <w:lvlJc w:val="left"/>
    </w:lvl>
  </w:abstractNum>
  <w:abstractNum w:abstractNumId="2">
    <w:nsid w:val="4B13CB8D"/>
    <w:multiLevelType w:val="singleLevel"/>
    <w:tmpl w:val="4B13CB8D"/>
    <w:lvl w:ilvl="0" w:tentative="0">
      <w:start w:val="1"/>
      <w:numFmt w:val="decimal"/>
      <w:pStyle w:val="14"/>
      <w:lvlText w:val="%1."/>
      <w:lvlJc w:val="left"/>
      <w:pPr>
        <w:tabs>
          <w:tab w:val="left" w:pos="780"/>
        </w:tabs>
        <w:ind w:left="7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MjhjNmE2YmUyNzZmZDRkMmFiYmExNzEyZjM4NWYifQ=="/>
  </w:docVars>
  <w:rsids>
    <w:rsidRoot w:val="00172A27"/>
    <w:rsid w:val="0000386D"/>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3938"/>
    <w:rsid w:val="00053B6A"/>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352"/>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B66CB"/>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71EF"/>
    <w:rsid w:val="00222CCE"/>
    <w:rsid w:val="00227496"/>
    <w:rsid w:val="00231921"/>
    <w:rsid w:val="00231A42"/>
    <w:rsid w:val="00231F95"/>
    <w:rsid w:val="00236A99"/>
    <w:rsid w:val="00244EF5"/>
    <w:rsid w:val="0024637C"/>
    <w:rsid w:val="0024664B"/>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3EB5"/>
    <w:rsid w:val="0037525A"/>
    <w:rsid w:val="00375D9F"/>
    <w:rsid w:val="00377820"/>
    <w:rsid w:val="0038255F"/>
    <w:rsid w:val="00382BC7"/>
    <w:rsid w:val="00390CDF"/>
    <w:rsid w:val="003920AE"/>
    <w:rsid w:val="0039352F"/>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95F"/>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C579B"/>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2708C"/>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8AB"/>
    <w:rsid w:val="005709B4"/>
    <w:rsid w:val="005712EE"/>
    <w:rsid w:val="00572D3F"/>
    <w:rsid w:val="00574CF9"/>
    <w:rsid w:val="00575D0E"/>
    <w:rsid w:val="00575D8B"/>
    <w:rsid w:val="00575DBC"/>
    <w:rsid w:val="00576CEB"/>
    <w:rsid w:val="00580FE0"/>
    <w:rsid w:val="005837F8"/>
    <w:rsid w:val="00584268"/>
    <w:rsid w:val="005926F6"/>
    <w:rsid w:val="00592CB4"/>
    <w:rsid w:val="00593A21"/>
    <w:rsid w:val="00593EC9"/>
    <w:rsid w:val="0059531D"/>
    <w:rsid w:val="005A206C"/>
    <w:rsid w:val="005A461C"/>
    <w:rsid w:val="005A59E0"/>
    <w:rsid w:val="005B0ADB"/>
    <w:rsid w:val="005B15E2"/>
    <w:rsid w:val="005B356E"/>
    <w:rsid w:val="005B4384"/>
    <w:rsid w:val="005B5429"/>
    <w:rsid w:val="005B63B9"/>
    <w:rsid w:val="005B69F1"/>
    <w:rsid w:val="005B7902"/>
    <w:rsid w:val="005C0C1D"/>
    <w:rsid w:val="005C102E"/>
    <w:rsid w:val="005C1803"/>
    <w:rsid w:val="005C319B"/>
    <w:rsid w:val="005C36AB"/>
    <w:rsid w:val="005C5B53"/>
    <w:rsid w:val="005C5E16"/>
    <w:rsid w:val="005C7218"/>
    <w:rsid w:val="005D1197"/>
    <w:rsid w:val="005E0924"/>
    <w:rsid w:val="005E195F"/>
    <w:rsid w:val="005E2AB2"/>
    <w:rsid w:val="005E492B"/>
    <w:rsid w:val="005E4ED1"/>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51C1"/>
    <w:rsid w:val="006054EC"/>
    <w:rsid w:val="0060560C"/>
    <w:rsid w:val="00605C47"/>
    <w:rsid w:val="006066FE"/>
    <w:rsid w:val="00606CFB"/>
    <w:rsid w:val="00607DA2"/>
    <w:rsid w:val="0061394E"/>
    <w:rsid w:val="0061458F"/>
    <w:rsid w:val="006166B0"/>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49F4"/>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2EF4"/>
    <w:rsid w:val="0068398F"/>
    <w:rsid w:val="00684C67"/>
    <w:rsid w:val="00684D37"/>
    <w:rsid w:val="006858C3"/>
    <w:rsid w:val="00685AEE"/>
    <w:rsid w:val="0068648B"/>
    <w:rsid w:val="0068795D"/>
    <w:rsid w:val="006902B7"/>
    <w:rsid w:val="0069127D"/>
    <w:rsid w:val="00693DC7"/>
    <w:rsid w:val="0069723F"/>
    <w:rsid w:val="006A176E"/>
    <w:rsid w:val="006A540E"/>
    <w:rsid w:val="006A7B5A"/>
    <w:rsid w:val="006B1395"/>
    <w:rsid w:val="006B3AE6"/>
    <w:rsid w:val="006B6704"/>
    <w:rsid w:val="006C6FD0"/>
    <w:rsid w:val="006D47A3"/>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166B"/>
    <w:rsid w:val="006F2B6D"/>
    <w:rsid w:val="006F3C99"/>
    <w:rsid w:val="00700F8C"/>
    <w:rsid w:val="0070282D"/>
    <w:rsid w:val="00705094"/>
    <w:rsid w:val="007062C3"/>
    <w:rsid w:val="00721695"/>
    <w:rsid w:val="00722324"/>
    <w:rsid w:val="007233BB"/>
    <w:rsid w:val="00723629"/>
    <w:rsid w:val="0072409D"/>
    <w:rsid w:val="00724BE4"/>
    <w:rsid w:val="007263EC"/>
    <w:rsid w:val="00726672"/>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2FCC"/>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6F4B"/>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55B1F"/>
    <w:rsid w:val="008629D2"/>
    <w:rsid w:val="00867382"/>
    <w:rsid w:val="008714BD"/>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2FE2"/>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C0E65"/>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26AE"/>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75D21"/>
    <w:rsid w:val="00977BCF"/>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069"/>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879E2"/>
    <w:rsid w:val="00A914D9"/>
    <w:rsid w:val="00A91D54"/>
    <w:rsid w:val="00A94841"/>
    <w:rsid w:val="00A955DC"/>
    <w:rsid w:val="00A95BD8"/>
    <w:rsid w:val="00AA4644"/>
    <w:rsid w:val="00AA70C2"/>
    <w:rsid w:val="00AA71A1"/>
    <w:rsid w:val="00AB154C"/>
    <w:rsid w:val="00AB5D62"/>
    <w:rsid w:val="00AB6D75"/>
    <w:rsid w:val="00AC47ED"/>
    <w:rsid w:val="00AC4C84"/>
    <w:rsid w:val="00AC5549"/>
    <w:rsid w:val="00AD061B"/>
    <w:rsid w:val="00AD0C55"/>
    <w:rsid w:val="00AD18DF"/>
    <w:rsid w:val="00AD33DF"/>
    <w:rsid w:val="00AD5D04"/>
    <w:rsid w:val="00AD64CD"/>
    <w:rsid w:val="00AE2A89"/>
    <w:rsid w:val="00AE3398"/>
    <w:rsid w:val="00AE588F"/>
    <w:rsid w:val="00AE71F8"/>
    <w:rsid w:val="00AF0433"/>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467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2BD"/>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5A7E"/>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55F"/>
    <w:rsid w:val="00C861DA"/>
    <w:rsid w:val="00C902A3"/>
    <w:rsid w:val="00C92766"/>
    <w:rsid w:val="00CA0E8B"/>
    <w:rsid w:val="00CA630A"/>
    <w:rsid w:val="00CA6E2A"/>
    <w:rsid w:val="00CA7C97"/>
    <w:rsid w:val="00CB08EF"/>
    <w:rsid w:val="00CB2FDF"/>
    <w:rsid w:val="00CB3102"/>
    <w:rsid w:val="00CB5085"/>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5DB3"/>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67334"/>
    <w:rsid w:val="00D71E6C"/>
    <w:rsid w:val="00D7404C"/>
    <w:rsid w:val="00D7476E"/>
    <w:rsid w:val="00D8098B"/>
    <w:rsid w:val="00D83AEA"/>
    <w:rsid w:val="00D86D74"/>
    <w:rsid w:val="00D87042"/>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B7205"/>
    <w:rsid w:val="00DB7706"/>
    <w:rsid w:val="00DC1C51"/>
    <w:rsid w:val="00DC315B"/>
    <w:rsid w:val="00DC484E"/>
    <w:rsid w:val="00DC70FD"/>
    <w:rsid w:val="00DC7CC2"/>
    <w:rsid w:val="00DD126C"/>
    <w:rsid w:val="00DD3714"/>
    <w:rsid w:val="00DD59E7"/>
    <w:rsid w:val="00DD7CD0"/>
    <w:rsid w:val="00DE5689"/>
    <w:rsid w:val="00DE5FBD"/>
    <w:rsid w:val="00DF1B99"/>
    <w:rsid w:val="00DF4B83"/>
    <w:rsid w:val="00DF75A2"/>
    <w:rsid w:val="00DF7C0F"/>
    <w:rsid w:val="00E00928"/>
    <w:rsid w:val="00E00A6E"/>
    <w:rsid w:val="00E032F3"/>
    <w:rsid w:val="00E05588"/>
    <w:rsid w:val="00E07EA5"/>
    <w:rsid w:val="00E10B66"/>
    <w:rsid w:val="00E12270"/>
    <w:rsid w:val="00E127C8"/>
    <w:rsid w:val="00E12BC5"/>
    <w:rsid w:val="00E1488C"/>
    <w:rsid w:val="00E153ED"/>
    <w:rsid w:val="00E15994"/>
    <w:rsid w:val="00E15AE5"/>
    <w:rsid w:val="00E15BB6"/>
    <w:rsid w:val="00E17EE2"/>
    <w:rsid w:val="00E23676"/>
    <w:rsid w:val="00E2393F"/>
    <w:rsid w:val="00E258AE"/>
    <w:rsid w:val="00E2696A"/>
    <w:rsid w:val="00E33F82"/>
    <w:rsid w:val="00E35FD1"/>
    <w:rsid w:val="00E40749"/>
    <w:rsid w:val="00E40D9A"/>
    <w:rsid w:val="00E42332"/>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6898"/>
    <w:rsid w:val="00E77972"/>
    <w:rsid w:val="00E800E1"/>
    <w:rsid w:val="00E8025B"/>
    <w:rsid w:val="00E81C40"/>
    <w:rsid w:val="00E81E85"/>
    <w:rsid w:val="00E81EB8"/>
    <w:rsid w:val="00E82342"/>
    <w:rsid w:val="00E84CFB"/>
    <w:rsid w:val="00E8527D"/>
    <w:rsid w:val="00E87E8C"/>
    <w:rsid w:val="00E900B2"/>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D50E9"/>
    <w:rsid w:val="00EE157D"/>
    <w:rsid w:val="00EE251B"/>
    <w:rsid w:val="00EE315F"/>
    <w:rsid w:val="00EE3C3D"/>
    <w:rsid w:val="00EF0A61"/>
    <w:rsid w:val="00EF0E54"/>
    <w:rsid w:val="00EF0EC3"/>
    <w:rsid w:val="00EF590A"/>
    <w:rsid w:val="00F000AE"/>
    <w:rsid w:val="00F00105"/>
    <w:rsid w:val="00F02DBD"/>
    <w:rsid w:val="00F0667A"/>
    <w:rsid w:val="00F068FE"/>
    <w:rsid w:val="00F06B30"/>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25F5"/>
    <w:rsid w:val="00F63CC4"/>
    <w:rsid w:val="00F64771"/>
    <w:rsid w:val="00F67ECF"/>
    <w:rsid w:val="00F7020B"/>
    <w:rsid w:val="00F747D1"/>
    <w:rsid w:val="00F76257"/>
    <w:rsid w:val="00F83EE0"/>
    <w:rsid w:val="00F86C8B"/>
    <w:rsid w:val="00F87BF5"/>
    <w:rsid w:val="00F919D7"/>
    <w:rsid w:val="00F922DA"/>
    <w:rsid w:val="00F93FB4"/>
    <w:rsid w:val="00F959B0"/>
    <w:rsid w:val="00F963E8"/>
    <w:rsid w:val="00F966A2"/>
    <w:rsid w:val="00F9746D"/>
    <w:rsid w:val="00FA0B39"/>
    <w:rsid w:val="00FA2C82"/>
    <w:rsid w:val="00FA32C1"/>
    <w:rsid w:val="00FA45EB"/>
    <w:rsid w:val="00FA5F47"/>
    <w:rsid w:val="00FA6D55"/>
    <w:rsid w:val="00FA75BA"/>
    <w:rsid w:val="00FB1274"/>
    <w:rsid w:val="00FB1F84"/>
    <w:rsid w:val="00FB35B5"/>
    <w:rsid w:val="00FB40D5"/>
    <w:rsid w:val="00FB607D"/>
    <w:rsid w:val="00FB7A5F"/>
    <w:rsid w:val="00FC1279"/>
    <w:rsid w:val="00FC73E2"/>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665D07"/>
    <w:rsid w:val="05905DF7"/>
    <w:rsid w:val="05A63A8C"/>
    <w:rsid w:val="073308E6"/>
    <w:rsid w:val="07CC5746"/>
    <w:rsid w:val="08C80B30"/>
    <w:rsid w:val="092034C7"/>
    <w:rsid w:val="092C5938"/>
    <w:rsid w:val="093376EA"/>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0E6C27EF"/>
    <w:rsid w:val="10912EC3"/>
    <w:rsid w:val="11E85BC4"/>
    <w:rsid w:val="128727B8"/>
    <w:rsid w:val="13B0220C"/>
    <w:rsid w:val="14420D88"/>
    <w:rsid w:val="15B12C0B"/>
    <w:rsid w:val="15CC6AEE"/>
    <w:rsid w:val="167A7DAC"/>
    <w:rsid w:val="17726828"/>
    <w:rsid w:val="184247A3"/>
    <w:rsid w:val="18465535"/>
    <w:rsid w:val="198B5630"/>
    <w:rsid w:val="19EC6CCB"/>
    <w:rsid w:val="1A5D2CFB"/>
    <w:rsid w:val="1AEC4059"/>
    <w:rsid w:val="1B023953"/>
    <w:rsid w:val="1CCE4908"/>
    <w:rsid w:val="1D946CCE"/>
    <w:rsid w:val="1E212D2C"/>
    <w:rsid w:val="1FAF6052"/>
    <w:rsid w:val="216900C3"/>
    <w:rsid w:val="220F56F1"/>
    <w:rsid w:val="247C01A4"/>
    <w:rsid w:val="24F075EF"/>
    <w:rsid w:val="25235D17"/>
    <w:rsid w:val="25863B04"/>
    <w:rsid w:val="259B6D97"/>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AC4DF2"/>
    <w:rsid w:val="32CC4C19"/>
    <w:rsid w:val="32DF6E6C"/>
    <w:rsid w:val="32EA53D2"/>
    <w:rsid w:val="333D17B4"/>
    <w:rsid w:val="33610BC3"/>
    <w:rsid w:val="33D07626"/>
    <w:rsid w:val="3426478E"/>
    <w:rsid w:val="34FB0156"/>
    <w:rsid w:val="350A2D03"/>
    <w:rsid w:val="3740068C"/>
    <w:rsid w:val="37A46854"/>
    <w:rsid w:val="381F7139"/>
    <w:rsid w:val="3A064448"/>
    <w:rsid w:val="3ADB63A2"/>
    <w:rsid w:val="3B461731"/>
    <w:rsid w:val="3B607653"/>
    <w:rsid w:val="3BA537DF"/>
    <w:rsid w:val="3D1B1DE9"/>
    <w:rsid w:val="3E0C652E"/>
    <w:rsid w:val="3E503843"/>
    <w:rsid w:val="3ED23298"/>
    <w:rsid w:val="3F4F1107"/>
    <w:rsid w:val="40466FDB"/>
    <w:rsid w:val="40773F96"/>
    <w:rsid w:val="408C373D"/>
    <w:rsid w:val="40C50DE9"/>
    <w:rsid w:val="411D29D5"/>
    <w:rsid w:val="41E62125"/>
    <w:rsid w:val="42441329"/>
    <w:rsid w:val="42827FAD"/>
    <w:rsid w:val="435F0738"/>
    <w:rsid w:val="43D65DBF"/>
    <w:rsid w:val="441377A8"/>
    <w:rsid w:val="45D13C93"/>
    <w:rsid w:val="45F5412F"/>
    <w:rsid w:val="465042E3"/>
    <w:rsid w:val="473138EC"/>
    <w:rsid w:val="4755784C"/>
    <w:rsid w:val="47771AC7"/>
    <w:rsid w:val="48AF480F"/>
    <w:rsid w:val="49100CD7"/>
    <w:rsid w:val="4A9B6FBB"/>
    <w:rsid w:val="4B7904A6"/>
    <w:rsid w:val="4BBB11F2"/>
    <w:rsid w:val="4CFD02CC"/>
    <w:rsid w:val="4E5A0389"/>
    <w:rsid w:val="4E867B2E"/>
    <w:rsid w:val="4F9E443B"/>
    <w:rsid w:val="503D1CD1"/>
    <w:rsid w:val="50595446"/>
    <w:rsid w:val="50EB7180"/>
    <w:rsid w:val="51075C5A"/>
    <w:rsid w:val="51076E80"/>
    <w:rsid w:val="525F1ECA"/>
    <w:rsid w:val="52F12FDC"/>
    <w:rsid w:val="52F77142"/>
    <w:rsid w:val="53112AB6"/>
    <w:rsid w:val="537D5B1F"/>
    <w:rsid w:val="53885680"/>
    <w:rsid w:val="57A82F18"/>
    <w:rsid w:val="59503A2E"/>
    <w:rsid w:val="59771907"/>
    <w:rsid w:val="599F2EC1"/>
    <w:rsid w:val="59E5547D"/>
    <w:rsid w:val="5A246F8E"/>
    <w:rsid w:val="5B4D74F0"/>
    <w:rsid w:val="5E661FE6"/>
    <w:rsid w:val="5EA96802"/>
    <w:rsid w:val="5ED72AC2"/>
    <w:rsid w:val="5EDA1941"/>
    <w:rsid w:val="5F9C06A7"/>
    <w:rsid w:val="612A4F36"/>
    <w:rsid w:val="62A819D0"/>
    <w:rsid w:val="62C124BF"/>
    <w:rsid w:val="62EC7940"/>
    <w:rsid w:val="638C1840"/>
    <w:rsid w:val="643F2933"/>
    <w:rsid w:val="648C501F"/>
    <w:rsid w:val="64D65719"/>
    <w:rsid w:val="677102A6"/>
    <w:rsid w:val="6A462692"/>
    <w:rsid w:val="6A6E367C"/>
    <w:rsid w:val="6C0C505C"/>
    <w:rsid w:val="6CAB69A8"/>
    <w:rsid w:val="6CBE1293"/>
    <w:rsid w:val="6D0464DC"/>
    <w:rsid w:val="6D102A04"/>
    <w:rsid w:val="6E146DCC"/>
    <w:rsid w:val="6E252855"/>
    <w:rsid w:val="6E2D073C"/>
    <w:rsid w:val="6F45735D"/>
    <w:rsid w:val="72A6388B"/>
    <w:rsid w:val="73065AE0"/>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68"/>
    <w:autoRedefine/>
    <w:qFormat/>
    <w:uiPriority w:val="0"/>
    <w:pPr>
      <w:keepNext/>
      <w:keepLines/>
      <w:spacing w:before="340" w:after="330" w:line="576" w:lineRule="auto"/>
      <w:outlineLvl w:val="0"/>
    </w:pPr>
    <w:rPr>
      <w:rFonts w:ascii="Times New Roman"/>
      <w:b/>
      <w:bCs/>
      <w:kern w:val="44"/>
      <w:sz w:val="30"/>
      <w:szCs w:val="44"/>
    </w:rPr>
  </w:style>
  <w:style w:type="paragraph" w:styleId="4">
    <w:name w:val="heading 2"/>
    <w:basedOn w:val="1"/>
    <w:next w:val="1"/>
    <w:link w:val="111"/>
    <w:autoRedefine/>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5">
    <w:name w:val="heading 3"/>
    <w:basedOn w:val="1"/>
    <w:next w:val="1"/>
    <w:link w:val="143"/>
    <w:autoRedefine/>
    <w:qFormat/>
    <w:uiPriority w:val="0"/>
    <w:pPr>
      <w:keepNext/>
      <w:keepLines/>
      <w:spacing w:before="260" w:after="260" w:line="415" w:lineRule="auto"/>
      <w:jc w:val="center"/>
      <w:outlineLvl w:val="2"/>
    </w:pPr>
    <w:rPr>
      <w:b/>
      <w:bCs/>
      <w:kern w:val="2"/>
      <w:sz w:val="32"/>
      <w:szCs w:val="32"/>
    </w:rPr>
  </w:style>
  <w:style w:type="paragraph" w:styleId="6">
    <w:name w:val="heading 4"/>
    <w:basedOn w:val="1"/>
    <w:next w:val="1"/>
    <w:link w:val="152"/>
    <w:autoRedefine/>
    <w:qFormat/>
    <w:uiPriority w:val="0"/>
    <w:pPr>
      <w:keepNext/>
      <w:keepLines/>
      <w:spacing w:before="280" w:after="290" w:line="374" w:lineRule="auto"/>
      <w:outlineLvl w:val="3"/>
    </w:pPr>
    <w:rPr>
      <w:rFonts w:ascii="Arial" w:hAnsi="Arial" w:eastAsia="黑体"/>
      <w:b/>
      <w:bCs/>
      <w:kern w:val="2"/>
      <w:sz w:val="28"/>
      <w:szCs w:val="28"/>
    </w:rPr>
  </w:style>
  <w:style w:type="paragraph" w:styleId="7">
    <w:name w:val="heading 5"/>
    <w:basedOn w:val="1"/>
    <w:next w:val="1"/>
    <w:link w:val="170"/>
    <w:autoRedefine/>
    <w:qFormat/>
    <w:uiPriority w:val="0"/>
    <w:pPr>
      <w:keepNext/>
      <w:outlineLvl w:val="4"/>
    </w:pPr>
    <w:rPr>
      <w:rFonts w:hAnsi="Arial"/>
      <w:bCs/>
      <w:kern w:val="2"/>
      <w:sz w:val="28"/>
    </w:rPr>
  </w:style>
  <w:style w:type="paragraph" w:styleId="8">
    <w:name w:val="heading 6"/>
    <w:basedOn w:val="1"/>
    <w:next w:val="1"/>
    <w:link w:val="125"/>
    <w:autoRedefine/>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9">
    <w:name w:val="heading 7"/>
    <w:basedOn w:val="1"/>
    <w:next w:val="1"/>
    <w:link w:val="172"/>
    <w:autoRedefine/>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0">
    <w:name w:val="heading 8"/>
    <w:basedOn w:val="1"/>
    <w:next w:val="1"/>
    <w:link w:val="127"/>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1">
    <w:name w:val="heading 9"/>
    <w:basedOn w:val="1"/>
    <w:next w:val="1"/>
    <w:link w:val="144"/>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7">
    <w:name w:val="Default Paragraph Font"/>
    <w:autoRedefine/>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szCs w:val="24"/>
    </w:rPr>
  </w:style>
  <w:style w:type="paragraph" w:styleId="12">
    <w:name w:val="List 3"/>
    <w:basedOn w:val="1"/>
    <w:autoRedefine/>
    <w:qFormat/>
    <w:uiPriority w:val="0"/>
    <w:pPr>
      <w:ind w:left="100" w:leftChars="400" w:hanging="200" w:hangingChars="200"/>
    </w:pPr>
    <w:rPr>
      <w:rFonts w:ascii="Calibri" w:hAnsi="Calibri"/>
      <w:kern w:val="2"/>
      <w:sz w:val="21"/>
      <w:szCs w:val="22"/>
    </w:rPr>
  </w:style>
  <w:style w:type="paragraph" w:styleId="13">
    <w:name w:val="toc 7"/>
    <w:basedOn w:val="1"/>
    <w:next w:val="1"/>
    <w:autoRedefine/>
    <w:qFormat/>
    <w:uiPriority w:val="39"/>
    <w:pPr>
      <w:ind w:left="1260"/>
      <w:jc w:val="left"/>
    </w:pPr>
    <w:rPr>
      <w:szCs w:val="21"/>
    </w:rPr>
  </w:style>
  <w:style w:type="paragraph" w:styleId="14">
    <w:name w:val="List Number 2"/>
    <w:basedOn w:val="1"/>
    <w:autoRedefine/>
    <w:semiHidden/>
    <w:unhideWhenUsed/>
    <w:qFormat/>
    <w:uiPriority w:val="99"/>
    <w:pPr>
      <w:numPr>
        <w:ilvl w:val="0"/>
        <w:numId w:val="1"/>
      </w:numPr>
    </w:pPr>
  </w:style>
  <w:style w:type="paragraph" w:styleId="15">
    <w:name w:val="table of authorities"/>
    <w:basedOn w:val="1"/>
    <w:next w:val="1"/>
    <w:autoRedefine/>
    <w:qFormat/>
    <w:uiPriority w:val="0"/>
    <w:pPr>
      <w:ind w:left="420" w:leftChars="200"/>
    </w:pPr>
  </w:style>
  <w:style w:type="paragraph" w:styleId="16">
    <w:name w:val="index 8"/>
    <w:basedOn w:val="1"/>
    <w:next w:val="1"/>
    <w:autoRedefine/>
    <w:qFormat/>
    <w:uiPriority w:val="0"/>
    <w:pPr>
      <w:ind w:left="1400" w:leftChars="1400"/>
    </w:pPr>
  </w:style>
  <w:style w:type="paragraph" w:styleId="17">
    <w:name w:val="caption"/>
    <w:basedOn w:val="1"/>
    <w:next w:val="1"/>
    <w:autoRedefine/>
    <w:qFormat/>
    <w:uiPriority w:val="0"/>
    <w:pPr>
      <w:spacing w:before="152" w:after="160"/>
    </w:pPr>
    <w:rPr>
      <w:rFonts w:ascii="Arial" w:hAnsi="Arial" w:eastAsia="黑体" w:cs="Arial"/>
      <w:kern w:val="2"/>
      <w:sz w:val="20"/>
    </w:rPr>
  </w:style>
  <w:style w:type="paragraph" w:styleId="18">
    <w:name w:val="index 5"/>
    <w:basedOn w:val="1"/>
    <w:next w:val="1"/>
    <w:autoRedefine/>
    <w:qFormat/>
    <w:uiPriority w:val="0"/>
    <w:pPr>
      <w:ind w:left="800" w:leftChars="800"/>
    </w:pPr>
  </w:style>
  <w:style w:type="paragraph" w:styleId="19">
    <w:name w:val="Document Map"/>
    <w:basedOn w:val="1"/>
    <w:link w:val="121"/>
    <w:autoRedefine/>
    <w:qFormat/>
    <w:uiPriority w:val="0"/>
    <w:pPr>
      <w:shd w:val="clear" w:color="auto" w:fill="000080"/>
    </w:pPr>
    <w:rPr>
      <w:rFonts w:ascii="Times New Roman"/>
      <w:kern w:val="2"/>
      <w:sz w:val="21"/>
    </w:rPr>
  </w:style>
  <w:style w:type="paragraph" w:styleId="20">
    <w:name w:val="toa heading"/>
    <w:basedOn w:val="1"/>
    <w:next w:val="1"/>
    <w:autoRedefine/>
    <w:qFormat/>
    <w:uiPriority w:val="0"/>
    <w:pPr>
      <w:spacing w:before="120"/>
    </w:pPr>
    <w:rPr>
      <w:rFonts w:ascii="Arial" w:hAnsi="Arial"/>
      <w:b/>
      <w:bCs/>
      <w:szCs w:val="24"/>
    </w:rPr>
  </w:style>
  <w:style w:type="paragraph" w:styleId="21">
    <w:name w:val="annotation text"/>
    <w:basedOn w:val="1"/>
    <w:link w:val="129"/>
    <w:autoRedefine/>
    <w:qFormat/>
    <w:uiPriority w:val="99"/>
    <w:pPr>
      <w:jc w:val="left"/>
    </w:pPr>
    <w:rPr>
      <w:rFonts w:ascii="Times New Roman"/>
      <w:kern w:val="2"/>
      <w:sz w:val="21"/>
    </w:rPr>
  </w:style>
  <w:style w:type="paragraph" w:styleId="22">
    <w:name w:val="index 6"/>
    <w:basedOn w:val="1"/>
    <w:next w:val="1"/>
    <w:autoRedefine/>
    <w:qFormat/>
    <w:uiPriority w:val="0"/>
    <w:pPr>
      <w:ind w:left="1000" w:leftChars="1000"/>
    </w:pPr>
  </w:style>
  <w:style w:type="paragraph" w:styleId="23">
    <w:name w:val="Salutation"/>
    <w:basedOn w:val="1"/>
    <w:next w:val="1"/>
    <w:link w:val="123"/>
    <w:autoRedefine/>
    <w:qFormat/>
    <w:uiPriority w:val="0"/>
    <w:rPr>
      <w:rFonts w:ascii="仿宋_GB2312" w:eastAsia="仿宋_GB2312"/>
      <w:sz w:val="28"/>
    </w:rPr>
  </w:style>
  <w:style w:type="paragraph" w:styleId="24">
    <w:name w:val="Body Text 3"/>
    <w:basedOn w:val="1"/>
    <w:link w:val="128"/>
    <w:autoRedefine/>
    <w:qFormat/>
    <w:uiPriority w:val="0"/>
    <w:rPr>
      <w:rFonts w:ascii="黑体" w:hAnsi="Arial" w:eastAsia="黑体"/>
      <w:b/>
      <w:sz w:val="28"/>
    </w:rPr>
  </w:style>
  <w:style w:type="paragraph" w:styleId="25">
    <w:name w:val="Body Text"/>
    <w:basedOn w:val="1"/>
    <w:link w:val="173"/>
    <w:autoRedefine/>
    <w:qFormat/>
    <w:uiPriority w:val="0"/>
    <w:rPr>
      <w:rFonts w:hAnsi="Arial"/>
      <w:kern w:val="2"/>
      <w:sz w:val="28"/>
    </w:rPr>
  </w:style>
  <w:style w:type="paragraph" w:styleId="26">
    <w:name w:val="Body Text Indent"/>
    <w:basedOn w:val="1"/>
    <w:link w:val="74"/>
    <w:autoRedefine/>
    <w:qFormat/>
    <w:uiPriority w:val="0"/>
    <w:pPr>
      <w:ind w:firstLine="645"/>
    </w:pPr>
    <w:rPr>
      <w:rFonts w:ascii="楷体_GB2312" w:eastAsia="楷体_GB2312"/>
      <w:kern w:val="2"/>
      <w:sz w:val="32"/>
    </w:rPr>
  </w:style>
  <w:style w:type="paragraph" w:styleId="27">
    <w:name w:val="List 2"/>
    <w:basedOn w:val="1"/>
    <w:autoRedefine/>
    <w:qFormat/>
    <w:uiPriority w:val="0"/>
    <w:pPr>
      <w:ind w:left="100" w:leftChars="200" w:hanging="200" w:hangingChars="200"/>
    </w:pPr>
    <w:rPr>
      <w:szCs w:val="24"/>
    </w:rPr>
  </w:style>
  <w:style w:type="paragraph" w:styleId="28">
    <w:name w:val="List Continue"/>
    <w:basedOn w:val="1"/>
    <w:autoRedefine/>
    <w:qFormat/>
    <w:uiPriority w:val="0"/>
    <w:pPr>
      <w:spacing w:after="120"/>
      <w:ind w:left="420" w:leftChars="200"/>
    </w:pPr>
    <w:rPr>
      <w:szCs w:val="24"/>
    </w:rPr>
  </w:style>
  <w:style w:type="paragraph" w:styleId="29">
    <w:name w:val="Block Text"/>
    <w:basedOn w:val="1"/>
    <w:autoRedefine/>
    <w:qFormat/>
    <w:uiPriority w:val="0"/>
    <w:pPr>
      <w:spacing w:after="120"/>
      <w:ind w:left="1440" w:leftChars="700" w:right="1440" w:rightChars="700"/>
    </w:pPr>
    <w:rPr>
      <w:szCs w:val="24"/>
    </w:rPr>
  </w:style>
  <w:style w:type="paragraph" w:styleId="30">
    <w:name w:val="index 4"/>
    <w:basedOn w:val="1"/>
    <w:next w:val="1"/>
    <w:autoRedefine/>
    <w:qFormat/>
    <w:uiPriority w:val="0"/>
    <w:pPr>
      <w:ind w:left="600" w:leftChars="600"/>
    </w:pPr>
  </w:style>
  <w:style w:type="paragraph" w:styleId="31">
    <w:name w:val="toc 5"/>
    <w:basedOn w:val="1"/>
    <w:next w:val="1"/>
    <w:autoRedefine/>
    <w:qFormat/>
    <w:uiPriority w:val="39"/>
    <w:pPr>
      <w:ind w:left="840"/>
      <w:jc w:val="left"/>
    </w:pPr>
    <w:rPr>
      <w:szCs w:val="21"/>
    </w:rPr>
  </w:style>
  <w:style w:type="paragraph" w:styleId="32">
    <w:name w:val="toc 3"/>
    <w:basedOn w:val="1"/>
    <w:next w:val="1"/>
    <w:autoRedefine/>
    <w:qFormat/>
    <w:uiPriority w:val="39"/>
    <w:pPr>
      <w:ind w:left="420"/>
      <w:jc w:val="left"/>
    </w:pPr>
    <w:rPr>
      <w:i/>
      <w:iCs/>
      <w:szCs w:val="24"/>
    </w:rPr>
  </w:style>
  <w:style w:type="paragraph" w:styleId="33">
    <w:name w:val="Plain Text"/>
    <w:basedOn w:val="1"/>
    <w:link w:val="160"/>
    <w:autoRedefine/>
    <w:qFormat/>
    <w:uiPriority w:val="0"/>
    <w:rPr>
      <w:rFonts w:hAnsi="Courier New"/>
      <w:kern w:val="2"/>
      <w:sz w:val="21"/>
    </w:rPr>
  </w:style>
  <w:style w:type="paragraph" w:styleId="34">
    <w:name w:val="toc 8"/>
    <w:basedOn w:val="1"/>
    <w:next w:val="1"/>
    <w:autoRedefine/>
    <w:qFormat/>
    <w:uiPriority w:val="39"/>
    <w:pPr>
      <w:ind w:left="1470"/>
      <w:jc w:val="left"/>
    </w:pPr>
    <w:rPr>
      <w:szCs w:val="21"/>
    </w:rPr>
  </w:style>
  <w:style w:type="paragraph" w:styleId="35">
    <w:name w:val="index 3"/>
    <w:basedOn w:val="1"/>
    <w:next w:val="1"/>
    <w:autoRedefine/>
    <w:qFormat/>
    <w:uiPriority w:val="0"/>
    <w:pPr>
      <w:ind w:left="400" w:leftChars="400"/>
    </w:pPr>
  </w:style>
  <w:style w:type="paragraph" w:styleId="36">
    <w:name w:val="Date"/>
    <w:basedOn w:val="1"/>
    <w:next w:val="1"/>
    <w:link w:val="92"/>
    <w:autoRedefine/>
    <w:qFormat/>
    <w:uiPriority w:val="0"/>
    <w:rPr>
      <w:rFonts w:ascii="Times New Roman"/>
      <w:b/>
      <w:kern w:val="2"/>
      <w:sz w:val="28"/>
    </w:rPr>
  </w:style>
  <w:style w:type="paragraph" w:styleId="37">
    <w:name w:val="Body Text Indent 2"/>
    <w:basedOn w:val="1"/>
    <w:link w:val="176"/>
    <w:autoRedefine/>
    <w:qFormat/>
    <w:uiPriority w:val="0"/>
    <w:pPr>
      <w:ind w:left="630" w:firstLine="645"/>
    </w:pPr>
    <w:rPr>
      <w:rFonts w:ascii="Arial" w:hAnsi="Arial" w:eastAsia="仿宋_GB2312"/>
      <w:sz w:val="32"/>
    </w:rPr>
  </w:style>
  <w:style w:type="paragraph" w:styleId="38">
    <w:name w:val="Balloon Text"/>
    <w:basedOn w:val="1"/>
    <w:link w:val="85"/>
    <w:autoRedefine/>
    <w:qFormat/>
    <w:uiPriority w:val="99"/>
    <w:rPr>
      <w:sz w:val="18"/>
      <w:szCs w:val="18"/>
    </w:rPr>
  </w:style>
  <w:style w:type="paragraph" w:styleId="39">
    <w:name w:val="footer"/>
    <w:basedOn w:val="1"/>
    <w:link w:val="182"/>
    <w:autoRedefine/>
    <w:qFormat/>
    <w:uiPriority w:val="99"/>
    <w:pPr>
      <w:tabs>
        <w:tab w:val="center" w:pos="4153"/>
        <w:tab w:val="right" w:pos="8306"/>
      </w:tabs>
      <w:snapToGrid w:val="0"/>
      <w:jc w:val="left"/>
    </w:pPr>
    <w:rPr>
      <w:rFonts w:ascii="Times New Roman"/>
      <w:kern w:val="2"/>
      <w:sz w:val="18"/>
    </w:rPr>
  </w:style>
  <w:style w:type="paragraph" w:styleId="40">
    <w:name w:val="envelope return"/>
    <w:basedOn w:val="1"/>
    <w:autoRedefine/>
    <w:qFormat/>
    <w:uiPriority w:val="0"/>
    <w:pPr>
      <w:snapToGrid w:val="0"/>
    </w:pPr>
    <w:rPr>
      <w:rFonts w:ascii="Arial" w:hAnsi="Arial" w:cs="Arial"/>
      <w:szCs w:val="24"/>
    </w:rPr>
  </w:style>
  <w:style w:type="paragraph" w:styleId="41">
    <w:name w:val="header"/>
    <w:basedOn w:val="1"/>
    <w:link w:val="102"/>
    <w:autoRedefine/>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2">
    <w:name w:val="toc 1"/>
    <w:basedOn w:val="1"/>
    <w:next w:val="1"/>
    <w:autoRedefine/>
    <w:qFormat/>
    <w:uiPriority w:val="39"/>
    <w:pPr>
      <w:spacing w:before="120" w:after="120"/>
      <w:jc w:val="left"/>
    </w:pPr>
    <w:rPr>
      <w:caps/>
      <w:szCs w:val="24"/>
    </w:rPr>
  </w:style>
  <w:style w:type="paragraph" w:styleId="43">
    <w:name w:val="List Continue 4"/>
    <w:basedOn w:val="1"/>
    <w:autoRedefine/>
    <w:qFormat/>
    <w:uiPriority w:val="0"/>
    <w:pPr>
      <w:spacing w:after="120"/>
      <w:ind w:left="1680" w:leftChars="800"/>
    </w:pPr>
    <w:rPr>
      <w:rFonts w:ascii="Calibri" w:hAnsi="Calibri"/>
      <w:kern w:val="2"/>
      <w:sz w:val="21"/>
      <w:szCs w:val="22"/>
    </w:rPr>
  </w:style>
  <w:style w:type="paragraph" w:styleId="44">
    <w:name w:val="toc 4"/>
    <w:basedOn w:val="1"/>
    <w:next w:val="1"/>
    <w:autoRedefine/>
    <w:qFormat/>
    <w:uiPriority w:val="39"/>
    <w:pPr>
      <w:ind w:left="630"/>
      <w:jc w:val="left"/>
    </w:pPr>
    <w:rPr>
      <w:szCs w:val="21"/>
    </w:rPr>
  </w:style>
  <w:style w:type="paragraph" w:styleId="45">
    <w:name w:val="index heading"/>
    <w:basedOn w:val="1"/>
    <w:next w:val="46"/>
    <w:autoRedefine/>
    <w:qFormat/>
    <w:uiPriority w:val="0"/>
  </w:style>
  <w:style w:type="paragraph" w:styleId="46">
    <w:name w:val="index 1"/>
    <w:basedOn w:val="1"/>
    <w:next w:val="1"/>
    <w:autoRedefine/>
    <w:qFormat/>
    <w:uiPriority w:val="0"/>
    <w:pPr>
      <w:spacing w:line="300" w:lineRule="exact"/>
    </w:pPr>
    <w:rPr>
      <w:rFonts w:hAnsi="宋体"/>
      <w:b/>
      <w:bCs/>
      <w:szCs w:val="21"/>
    </w:rPr>
  </w:style>
  <w:style w:type="paragraph" w:styleId="47">
    <w:name w:val="Subtitle"/>
    <w:basedOn w:val="1"/>
    <w:link w:val="75"/>
    <w:autoRedefine/>
    <w:qFormat/>
    <w:uiPriority w:val="0"/>
    <w:pPr>
      <w:spacing w:before="240" w:after="60" w:line="312" w:lineRule="auto"/>
      <w:jc w:val="center"/>
      <w:outlineLvl w:val="1"/>
    </w:pPr>
    <w:rPr>
      <w:rFonts w:ascii="Arial" w:hAnsi="Arial" w:cs="Arial"/>
      <w:b/>
      <w:bCs/>
      <w:kern w:val="28"/>
      <w:sz w:val="32"/>
      <w:szCs w:val="32"/>
    </w:rPr>
  </w:style>
  <w:style w:type="paragraph" w:styleId="48">
    <w:name w:val="List"/>
    <w:basedOn w:val="1"/>
    <w:autoRedefine/>
    <w:qFormat/>
    <w:uiPriority w:val="0"/>
    <w:pPr>
      <w:ind w:left="200" w:hanging="200" w:hangingChars="200"/>
    </w:pPr>
    <w:rPr>
      <w:szCs w:val="24"/>
    </w:rPr>
  </w:style>
  <w:style w:type="paragraph" w:styleId="49">
    <w:name w:val="footnote text"/>
    <w:basedOn w:val="1"/>
    <w:link w:val="167"/>
    <w:autoRedefine/>
    <w:qFormat/>
    <w:uiPriority w:val="0"/>
    <w:pPr>
      <w:adjustRightInd w:val="0"/>
      <w:snapToGrid w:val="0"/>
      <w:spacing w:line="420" w:lineRule="atLeast"/>
      <w:ind w:firstLine="454"/>
      <w:jc w:val="left"/>
      <w:textAlignment w:val="baseline"/>
    </w:pPr>
    <w:rPr>
      <w:rFonts w:ascii="Calibri" w:hAnsi="Calibri"/>
      <w:bCs/>
      <w:sz w:val="18"/>
    </w:rPr>
  </w:style>
  <w:style w:type="paragraph" w:styleId="50">
    <w:name w:val="toc 6"/>
    <w:basedOn w:val="1"/>
    <w:next w:val="1"/>
    <w:autoRedefine/>
    <w:qFormat/>
    <w:uiPriority w:val="39"/>
    <w:pPr>
      <w:ind w:left="1050"/>
      <w:jc w:val="left"/>
    </w:pPr>
    <w:rPr>
      <w:szCs w:val="21"/>
    </w:rPr>
  </w:style>
  <w:style w:type="paragraph" w:styleId="51">
    <w:name w:val="Body Text Indent 3"/>
    <w:basedOn w:val="1"/>
    <w:link w:val="156"/>
    <w:autoRedefine/>
    <w:qFormat/>
    <w:uiPriority w:val="0"/>
    <w:pPr>
      <w:ind w:firstLine="645"/>
    </w:pPr>
    <w:rPr>
      <w:rFonts w:ascii="仿宋_GB2312" w:hAnsi="Arial" w:eastAsia="仿宋_GB2312"/>
      <w:color w:val="000000"/>
      <w:sz w:val="30"/>
    </w:rPr>
  </w:style>
  <w:style w:type="paragraph" w:styleId="52">
    <w:name w:val="index 7"/>
    <w:basedOn w:val="1"/>
    <w:next w:val="1"/>
    <w:autoRedefine/>
    <w:qFormat/>
    <w:uiPriority w:val="0"/>
    <w:pPr>
      <w:ind w:left="1200" w:leftChars="1200"/>
    </w:pPr>
  </w:style>
  <w:style w:type="paragraph" w:styleId="53">
    <w:name w:val="index 9"/>
    <w:basedOn w:val="1"/>
    <w:next w:val="1"/>
    <w:autoRedefine/>
    <w:qFormat/>
    <w:uiPriority w:val="0"/>
    <w:pPr>
      <w:ind w:left="1600" w:leftChars="1600"/>
    </w:pPr>
  </w:style>
  <w:style w:type="paragraph" w:styleId="54">
    <w:name w:val="toc 2"/>
    <w:basedOn w:val="1"/>
    <w:next w:val="1"/>
    <w:autoRedefine/>
    <w:qFormat/>
    <w:uiPriority w:val="39"/>
    <w:pPr>
      <w:ind w:left="210"/>
      <w:jc w:val="left"/>
    </w:pPr>
    <w:rPr>
      <w:smallCaps/>
      <w:sz w:val="28"/>
      <w:szCs w:val="24"/>
    </w:rPr>
  </w:style>
  <w:style w:type="paragraph" w:styleId="55">
    <w:name w:val="toc 9"/>
    <w:basedOn w:val="1"/>
    <w:next w:val="1"/>
    <w:autoRedefine/>
    <w:qFormat/>
    <w:uiPriority w:val="39"/>
    <w:pPr>
      <w:ind w:left="1680"/>
      <w:jc w:val="left"/>
    </w:pPr>
    <w:rPr>
      <w:szCs w:val="21"/>
    </w:rPr>
  </w:style>
  <w:style w:type="paragraph" w:styleId="56">
    <w:name w:val="Body Text 2"/>
    <w:basedOn w:val="1"/>
    <w:link w:val="138"/>
    <w:autoRedefine/>
    <w:qFormat/>
    <w:uiPriority w:val="0"/>
    <w:rPr>
      <w:rFonts w:ascii="仿宋_GB2312" w:eastAsia="仿宋_GB2312"/>
      <w:b/>
    </w:rPr>
  </w:style>
  <w:style w:type="paragraph" w:styleId="57">
    <w:name w:val="List 4"/>
    <w:basedOn w:val="1"/>
    <w:autoRedefine/>
    <w:qFormat/>
    <w:uiPriority w:val="0"/>
    <w:pPr>
      <w:ind w:left="100" w:leftChars="600" w:hanging="200" w:hangingChars="200"/>
    </w:pPr>
    <w:rPr>
      <w:rFonts w:ascii="Calibri" w:hAnsi="Calibri"/>
      <w:kern w:val="2"/>
      <w:sz w:val="21"/>
      <w:szCs w:val="22"/>
    </w:rPr>
  </w:style>
  <w:style w:type="paragraph" w:styleId="58">
    <w:name w:val="List Continue 2"/>
    <w:basedOn w:val="1"/>
    <w:autoRedefine/>
    <w:qFormat/>
    <w:uiPriority w:val="0"/>
    <w:pPr>
      <w:spacing w:after="120"/>
      <w:ind w:left="840" w:leftChars="400"/>
    </w:pPr>
    <w:rPr>
      <w:rFonts w:ascii="Calibri" w:hAnsi="Calibri"/>
      <w:kern w:val="2"/>
      <w:sz w:val="21"/>
      <w:szCs w:val="22"/>
    </w:rPr>
  </w:style>
  <w:style w:type="paragraph" w:styleId="59">
    <w:name w:val="Normal (Web)"/>
    <w:basedOn w:val="1"/>
    <w:autoRedefine/>
    <w:qFormat/>
    <w:uiPriority w:val="0"/>
    <w:pPr>
      <w:widowControl/>
      <w:spacing w:before="100" w:beforeAutospacing="1" w:after="100" w:afterAutospacing="1"/>
      <w:jc w:val="left"/>
    </w:pPr>
    <w:rPr>
      <w:rFonts w:hAnsi="宋体"/>
      <w:szCs w:val="24"/>
    </w:rPr>
  </w:style>
  <w:style w:type="paragraph" w:styleId="60">
    <w:name w:val="index 2"/>
    <w:basedOn w:val="1"/>
    <w:next w:val="1"/>
    <w:autoRedefine/>
    <w:qFormat/>
    <w:uiPriority w:val="0"/>
    <w:pPr>
      <w:ind w:left="200" w:leftChars="200"/>
    </w:pPr>
  </w:style>
  <w:style w:type="paragraph" w:styleId="61">
    <w:name w:val="Title"/>
    <w:basedOn w:val="1"/>
    <w:next w:val="1"/>
    <w:link w:val="166"/>
    <w:autoRedefine/>
    <w:qFormat/>
    <w:uiPriority w:val="0"/>
    <w:pPr>
      <w:spacing w:before="240" w:after="60"/>
      <w:jc w:val="center"/>
      <w:outlineLvl w:val="0"/>
    </w:pPr>
    <w:rPr>
      <w:rFonts w:ascii="Cambria" w:hAnsi="Cambria"/>
      <w:b/>
      <w:bCs/>
      <w:kern w:val="2"/>
      <w:sz w:val="32"/>
      <w:szCs w:val="32"/>
    </w:rPr>
  </w:style>
  <w:style w:type="paragraph" w:styleId="62">
    <w:name w:val="annotation subject"/>
    <w:basedOn w:val="21"/>
    <w:next w:val="21"/>
    <w:link w:val="180"/>
    <w:autoRedefine/>
    <w:qFormat/>
    <w:uiPriority w:val="0"/>
    <w:rPr>
      <w:rFonts w:ascii="宋体"/>
      <w:b/>
      <w:bCs/>
      <w:kern w:val="0"/>
      <w:sz w:val="28"/>
    </w:rPr>
  </w:style>
  <w:style w:type="paragraph" w:styleId="63">
    <w:name w:val="Body Text First Indent"/>
    <w:basedOn w:val="1"/>
    <w:autoRedefine/>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paragraph" w:styleId="64">
    <w:name w:val="Body Text First Indent 2"/>
    <w:basedOn w:val="26"/>
    <w:next w:val="1"/>
    <w:autoRedefine/>
    <w:qFormat/>
    <w:uiPriority w:val="0"/>
    <w:pPr>
      <w:ind w:left="420" w:leftChars="200" w:firstLine="420" w:firstLineChars="200"/>
    </w:pPr>
  </w:style>
  <w:style w:type="table" w:styleId="66">
    <w:name w:val="Table Grid"/>
    <w:basedOn w:val="6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autoRedefine/>
    <w:qFormat/>
    <w:uiPriority w:val="0"/>
    <w:rPr>
      <w:b/>
      <w:bCs/>
    </w:rPr>
  </w:style>
  <w:style w:type="character" w:styleId="69">
    <w:name w:val="page number"/>
    <w:basedOn w:val="67"/>
    <w:autoRedefine/>
    <w:qFormat/>
    <w:uiPriority w:val="0"/>
  </w:style>
  <w:style w:type="character" w:styleId="70">
    <w:name w:val="FollowedHyperlink"/>
    <w:autoRedefine/>
    <w:qFormat/>
    <w:uiPriority w:val="99"/>
    <w:rPr>
      <w:color w:val="800080"/>
      <w:u w:val="single"/>
    </w:rPr>
  </w:style>
  <w:style w:type="character" w:styleId="71">
    <w:name w:val="Emphasis"/>
    <w:autoRedefine/>
    <w:qFormat/>
    <w:uiPriority w:val="0"/>
    <w:rPr>
      <w:color w:val="CC0033"/>
    </w:rPr>
  </w:style>
  <w:style w:type="character" w:styleId="72">
    <w:name w:val="Hyperlink"/>
    <w:autoRedefine/>
    <w:qFormat/>
    <w:uiPriority w:val="99"/>
    <w:rPr>
      <w:color w:val="0000FF"/>
      <w:u w:val="single"/>
    </w:rPr>
  </w:style>
  <w:style w:type="character" w:styleId="73">
    <w:name w:val="annotation reference"/>
    <w:autoRedefine/>
    <w:unhideWhenUsed/>
    <w:qFormat/>
    <w:uiPriority w:val="99"/>
    <w:rPr>
      <w:sz w:val="21"/>
      <w:szCs w:val="21"/>
    </w:rPr>
  </w:style>
  <w:style w:type="character" w:customStyle="1" w:styleId="74">
    <w:name w:val="正文文本缩进 字符"/>
    <w:link w:val="26"/>
    <w:autoRedefine/>
    <w:qFormat/>
    <w:uiPriority w:val="0"/>
    <w:rPr>
      <w:rFonts w:ascii="楷体_GB2312" w:eastAsia="楷体_GB2312"/>
      <w:kern w:val="2"/>
      <w:sz w:val="32"/>
    </w:rPr>
  </w:style>
  <w:style w:type="character" w:customStyle="1" w:styleId="75">
    <w:name w:val="副标题 字符"/>
    <w:link w:val="47"/>
    <w:autoRedefine/>
    <w:qFormat/>
    <w:uiPriority w:val="0"/>
    <w:rPr>
      <w:rFonts w:ascii="Arial" w:hAnsi="Arial" w:eastAsia="宋体" w:cs="Arial"/>
      <w:b/>
      <w:bCs/>
      <w:kern w:val="28"/>
      <w:sz w:val="32"/>
      <w:szCs w:val="32"/>
      <w:lang w:val="en-US" w:eastAsia="zh-CN" w:bidi="ar-SA"/>
    </w:rPr>
  </w:style>
  <w:style w:type="character" w:customStyle="1" w:styleId="76">
    <w:name w:val="标题 6 Char1"/>
    <w:autoRedefine/>
    <w:semiHidden/>
    <w:qFormat/>
    <w:uiPriority w:val="0"/>
    <w:rPr>
      <w:rFonts w:ascii="Cambria" w:hAnsi="Cambria" w:eastAsia="宋体"/>
      <w:b/>
      <w:kern w:val="2"/>
      <w:sz w:val="24"/>
      <w:szCs w:val="24"/>
    </w:rPr>
  </w:style>
  <w:style w:type="character" w:customStyle="1" w:styleId="77">
    <w:name w:val="脚注文本 Char_0"/>
    <w:link w:val="78"/>
    <w:autoRedefine/>
    <w:qFormat/>
    <w:uiPriority w:val="0"/>
    <w:rPr>
      <w:sz w:val="18"/>
    </w:rPr>
  </w:style>
  <w:style w:type="paragraph" w:customStyle="1" w:styleId="78">
    <w:name w:val="脚注文本_0"/>
    <w:basedOn w:val="79"/>
    <w:link w:val="77"/>
    <w:autoRedefine/>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9">
    <w:name w:val="正文_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
    <w:name w:val="标题 Char1"/>
    <w:autoRedefine/>
    <w:qFormat/>
    <w:uiPriority w:val="10"/>
    <w:rPr>
      <w:rFonts w:ascii="Calibri Light" w:hAnsi="Calibri Light" w:cs="Times New Roman"/>
      <w:b/>
      <w:bCs/>
      <w:kern w:val="2"/>
      <w:sz w:val="32"/>
      <w:szCs w:val="32"/>
    </w:rPr>
  </w:style>
  <w:style w:type="character" w:customStyle="1" w:styleId="81">
    <w:name w:val="Blockquote Char"/>
    <w:link w:val="82"/>
    <w:autoRedefine/>
    <w:qFormat/>
    <w:uiPriority w:val="0"/>
    <w:rPr>
      <w:rFonts w:ascii="宋体"/>
      <w:sz w:val="24"/>
    </w:rPr>
  </w:style>
  <w:style w:type="paragraph" w:customStyle="1" w:styleId="82">
    <w:name w:val="Blockquote"/>
    <w:basedOn w:val="1"/>
    <w:link w:val="81"/>
    <w:autoRedefine/>
    <w:qFormat/>
    <w:uiPriority w:val="0"/>
    <w:pPr>
      <w:autoSpaceDE w:val="0"/>
      <w:autoSpaceDN w:val="0"/>
      <w:adjustRightInd w:val="0"/>
      <w:spacing w:before="100" w:after="100"/>
      <w:ind w:left="360" w:right="360"/>
      <w:jc w:val="left"/>
    </w:pPr>
  </w:style>
  <w:style w:type="character" w:customStyle="1" w:styleId="83">
    <w:name w:val="脚注文本 Char1"/>
    <w:autoRedefine/>
    <w:qFormat/>
    <w:uiPriority w:val="0"/>
    <w:rPr>
      <w:kern w:val="2"/>
      <w:sz w:val="18"/>
      <w:szCs w:val="18"/>
    </w:rPr>
  </w:style>
  <w:style w:type="character" w:customStyle="1" w:styleId="84">
    <w:name w:val="标题 3 Char2"/>
    <w:autoRedefine/>
    <w:qFormat/>
    <w:uiPriority w:val="0"/>
    <w:rPr>
      <w:rFonts w:ascii="Calibri" w:hAnsi="Calibri" w:eastAsia="黑体"/>
      <w:b/>
      <w:bCs/>
      <w:kern w:val="2"/>
      <w:sz w:val="32"/>
      <w:szCs w:val="32"/>
    </w:rPr>
  </w:style>
  <w:style w:type="character" w:customStyle="1" w:styleId="85">
    <w:name w:val="批注框文本 字符"/>
    <w:link w:val="38"/>
    <w:autoRedefine/>
    <w:qFormat/>
    <w:uiPriority w:val="99"/>
    <w:rPr>
      <w:rFonts w:ascii="宋体"/>
      <w:sz w:val="18"/>
      <w:szCs w:val="18"/>
    </w:rPr>
  </w:style>
  <w:style w:type="character" w:customStyle="1" w:styleId="86">
    <w:name w:val="标题5 Char Char"/>
    <w:link w:val="87"/>
    <w:autoRedefine/>
    <w:qFormat/>
    <w:uiPriority w:val="0"/>
    <w:rPr>
      <w:rFonts w:ascii="Arial" w:hAnsi="Arial"/>
      <w:b/>
      <w:bCs/>
      <w:sz w:val="24"/>
      <w:szCs w:val="32"/>
      <w:lang w:bidi="ar-SA"/>
    </w:rPr>
  </w:style>
  <w:style w:type="paragraph" w:customStyle="1" w:styleId="87">
    <w:name w:val="标题5"/>
    <w:basedOn w:val="5"/>
    <w:link w:val="86"/>
    <w:autoRedefine/>
    <w:qFormat/>
    <w:uiPriority w:val="0"/>
    <w:pPr>
      <w:spacing w:line="413" w:lineRule="auto"/>
      <w:jc w:val="both"/>
    </w:pPr>
    <w:rPr>
      <w:rFonts w:ascii="Arial" w:hAnsi="Arial"/>
      <w:kern w:val="0"/>
      <w:sz w:val="24"/>
    </w:rPr>
  </w:style>
  <w:style w:type="character" w:customStyle="1" w:styleId="88">
    <w:name w:val="页脚 字符"/>
    <w:autoRedefine/>
    <w:qFormat/>
    <w:uiPriority w:val="99"/>
    <w:rPr>
      <w:kern w:val="2"/>
      <w:sz w:val="18"/>
    </w:rPr>
  </w:style>
  <w:style w:type="character" w:customStyle="1" w:styleId="89">
    <w:name w:val="纯文本 Char1_1"/>
    <w:link w:val="90"/>
    <w:autoRedefine/>
    <w:qFormat/>
    <w:uiPriority w:val="0"/>
    <w:rPr>
      <w:rFonts w:ascii="宋体" w:hAnsi="Courier New"/>
      <w:kern w:val="2"/>
      <w:sz w:val="21"/>
      <w:szCs w:val="21"/>
    </w:rPr>
  </w:style>
  <w:style w:type="paragraph" w:customStyle="1" w:styleId="90">
    <w:name w:val="纯文本_2"/>
    <w:basedOn w:val="91"/>
    <w:link w:val="89"/>
    <w:autoRedefine/>
    <w:qFormat/>
    <w:uiPriority w:val="0"/>
    <w:rPr>
      <w:rFonts w:ascii="宋体" w:hAnsi="Courier New"/>
      <w:szCs w:val="21"/>
    </w:rPr>
  </w:style>
  <w:style w:type="paragraph" w:customStyle="1" w:styleId="91">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日期 字符1"/>
    <w:link w:val="36"/>
    <w:autoRedefine/>
    <w:qFormat/>
    <w:uiPriority w:val="0"/>
    <w:rPr>
      <w:rFonts w:eastAsia="宋体"/>
      <w:b/>
      <w:kern w:val="2"/>
      <w:sz w:val="28"/>
      <w:lang w:val="en-US" w:eastAsia="zh-CN" w:bidi="ar-SA"/>
    </w:rPr>
  </w:style>
  <w:style w:type="character" w:customStyle="1" w:styleId="93">
    <w:name w:val="标题 6 Char_0"/>
    <w:link w:val="94"/>
    <w:autoRedefine/>
    <w:qFormat/>
    <w:uiPriority w:val="0"/>
    <w:rPr>
      <w:rFonts w:ascii="Arial" w:hAnsi="Arial" w:eastAsia="黑体"/>
      <w:b/>
      <w:bCs/>
      <w:sz w:val="24"/>
      <w:szCs w:val="24"/>
    </w:rPr>
  </w:style>
  <w:style w:type="paragraph" w:customStyle="1" w:styleId="94">
    <w:name w:val="标题 6_0"/>
    <w:basedOn w:val="91"/>
    <w:next w:val="91"/>
    <w:link w:val="93"/>
    <w:autoRedefine/>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5">
    <w:name w:val="Blockquote Char_0_1"/>
    <w:link w:val="96"/>
    <w:autoRedefine/>
    <w:qFormat/>
    <w:locked/>
    <w:uiPriority w:val="0"/>
    <w:rPr>
      <w:sz w:val="24"/>
    </w:rPr>
  </w:style>
  <w:style w:type="paragraph" w:customStyle="1" w:styleId="96">
    <w:name w:val="Blockquote_0_1"/>
    <w:basedOn w:val="97"/>
    <w:link w:val="95"/>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标题 7 Char_0"/>
    <w:link w:val="99"/>
    <w:autoRedefine/>
    <w:qFormat/>
    <w:uiPriority w:val="0"/>
    <w:rPr>
      <w:b/>
      <w:bCs/>
      <w:sz w:val="24"/>
      <w:szCs w:val="24"/>
    </w:rPr>
  </w:style>
  <w:style w:type="paragraph" w:customStyle="1" w:styleId="99">
    <w:name w:val="标题 7_0"/>
    <w:basedOn w:val="91"/>
    <w:next w:val="91"/>
    <w:link w:val="98"/>
    <w:autoRedefine/>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0">
    <w:name w:val="tdrownotice1"/>
    <w:autoRedefine/>
    <w:qFormat/>
    <w:uiPriority w:val="0"/>
    <w:rPr>
      <w:sz w:val="22"/>
    </w:rPr>
  </w:style>
  <w:style w:type="character" w:customStyle="1" w:styleId="101">
    <w:name w:val="font01"/>
    <w:autoRedefine/>
    <w:qFormat/>
    <w:uiPriority w:val="0"/>
    <w:rPr>
      <w:rFonts w:ascii="font-weight : 400" w:hAnsi="font-weight : 400" w:eastAsia="font-weight : 400" w:cs="font-weight : 400"/>
      <w:color w:val="000000"/>
      <w:sz w:val="22"/>
      <w:szCs w:val="22"/>
      <w:u w:val="none"/>
    </w:rPr>
  </w:style>
  <w:style w:type="character" w:customStyle="1" w:styleId="102">
    <w:name w:val="页眉 字符1"/>
    <w:link w:val="41"/>
    <w:autoRedefine/>
    <w:qFormat/>
    <w:uiPriority w:val="99"/>
    <w:rPr>
      <w:rFonts w:eastAsia="宋体"/>
      <w:kern w:val="2"/>
      <w:sz w:val="18"/>
      <w:lang w:val="en-US" w:eastAsia="zh-CN" w:bidi="ar-SA"/>
    </w:rPr>
  </w:style>
  <w:style w:type="character" w:customStyle="1" w:styleId="103">
    <w:name w:val="引用 字符"/>
    <w:link w:val="104"/>
    <w:autoRedefine/>
    <w:qFormat/>
    <w:uiPriority w:val="0"/>
    <w:rPr>
      <w:i/>
      <w:iCs/>
      <w:color w:val="000000"/>
      <w:kern w:val="2"/>
      <w:sz w:val="21"/>
      <w:szCs w:val="22"/>
      <w:lang w:bidi="ar-SA"/>
    </w:rPr>
  </w:style>
  <w:style w:type="paragraph" w:styleId="104">
    <w:name w:val="Quote"/>
    <w:basedOn w:val="1"/>
    <w:next w:val="1"/>
    <w:link w:val="103"/>
    <w:autoRedefine/>
    <w:qFormat/>
    <w:uiPriority w:val="0"/>
    <w:rPr>
      <w:rFonts w:ascii="Times New Roman"/>
      <w:i/>
      <w:iCs/>
      <w:color w:val="000000"/>
      <w:kern w:val="2"/>
      <w:sz w:val="21"/>
      <w:szCs w:val="22"/>
    </w:rPr>
  </w:style>
  <w:style w:type="character" w:customStyle="1" w:styleId="105">
    <w:name w:val="Texte Char1"/>
    <w:link w:val="106"/>
    <w:autoRedefine/>
    <w:qFormat/>
    <w:uiPriority w:val="99"/>
    <w:rPr>
      <w:rFonts w:ascii="宋体" w:hAnsi="Courier New"/>
      <w:kern w:val="2"/>
      <w:sz w:val="21"/>
      <w:szCs w:val="21"/>
      <w:lang w:val="en-US" w:eastAsia="zh-CN"/>
    </w:rPr>
  </w:style>
  <w:style w:type="paragraph" w:customStyle="1" w:styleId="106">
    <w:name w:val="纯文本_0"/>
    <w:basedOn w:val="107"/>
    <w:link w:val="105"/>
    <w:autoRedefine/>
    <w:qFormat/>
    <w:uiPriority w:val="99"/>
    <w:rPr>
      <w:rFonts w:ascii="宋体" w:hAnsi="Courier New" w:cs="Times New Roman"/>
      <w:szCs w:val="21"/>
    </w:rPr>
  </w:style>
  <w:style w:type="paragraph" w:customStyle="1" w:styleId="107">
    <w:name w:val="正文_0"/>
    <w:autoRedefine/>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8">
    <w:name w:val="标题 3 Char_0"/>
    <w:link w:val="109"/>
    <w:autoRedefine/>
    <w:qFormat/>
    <w:uiPriority w:val="0"/>
    <w:rPr>
      <w:b/>
      <w:sz w:val="32"/>
    </w:rPr>
  </w:style>
  <w:style w:type="paragraph" w:customStyle="1" w:styleId="109">
    <w:name w:val="标题 3_0"/>
    <w:basedOn w:val="91"/>
    <w:next w:val="110"/>
    <w:link w:val="108"/>
    <w:autoRedefine/>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0">
    <w:name w:val="正文缩进_0"/>
    <w:basedOn w:val="91"/>
    <w:autoRedefine/>
    <w:unhideWhenUsed/>
    <w:qFormat/>
    <w:uiPriority w:val="0"/>
    <w:pPr>
      <w:ind w:firstLine="420" w:firstLineChars="200"/>
    </w:pPr>
    <w:rPr>
      <w:rFonts w:ascii="Calibri" w:hAnsi="Calibri"/>
      <w:bCs/>
      <w:szCs w:val="32"/>
    </w:rPr>
  </w:style>
  <w:style w:type="character" w:customStyle="1" w:styleId="111">
    <w:name w:val="标题 2 字符"/>
    <w:link w:val="4"/>
    <w:autoRedefine/>
    <w:qFormat/>
    <w:uiPriority w:val="9"/>
    <w:rPr>
      <w:rFonts w:ascii="Arial" w:hAnsi="Arial" w:eastAsia="黑体"/>
      <w:b/>
      <w:bCs/>
      <w:kern w:val="2"/>
      <w:sz w:val="32"/>
      <w:szCs w:val="32"/>
      <w:lang w:val="en-US" w:eastAsia="zh-CN" w:bidi="ar-SA"/>
    </w:rPr>
  </w:style>
  <w:style w:type="character" w:customStyle="1" w:styleId="112">
    <w:name w:val="标题 1 Char1"/>
    <w:autoRedefine/>
    <w:qFormat/>
    <w:uiPriority w:val="0"/>
    <w:rPr>
      <w:rFonts w:ascii="Calibri" w:hAnsi="Calibri" w:eastAsia="宋体"/>
      <w:b/>
      <w:kern w:val="44"/>
      <w:sz w:val="44"/>
      <w:szCs w:val="44"/>
    </w:rPr>
  </w:style>
  <w:style w:type="character" w:customStyle="1" w:styleId="113">
    <w:name w:val="标题 7 Char1"/>
    <w:autoRedefine/>
    <w:semiHidden/>
    <w:qFormat/>
    <w:uiPriority w:val="0"/>
    <w:rPr>
      <w:rFonts w:ascii="Calibri" w:hAnsi="Calibri" w:eastAsia="宋体"/>
      <w:b/>
      <w:kern w:val="2"/>
      <w:sz w:val="24"/>
      <w:szCs w:val="24"/>
    </w:rPr>
  </w:style>
  <w:style w:type="character" w:customStyle="1" w:styleId="114">
    <w:name w:val="Blockquote Char_0"/>
    <w:link w:val="115"/>
    <w:autoRedefine/>
    <w:qFormat/>
    <w:locked/>
    <w:uiPriority w:val="0"/>
    <w:rPr>
      <w:sz w:val="24"/>
    </w:rPr>
  </w:style>
  <w:style w:type="paragraph" w:customStyle="1" w:styleId="115">
    <w:name w:val="Blockquote_0"/>
    <w:basedOn w:val="91"/>
    <w:link w:val="114"/>
    <w:autoRedefine/>
    <w:qFormat/>
    <w:uiPriority w:val="0"/>
    <w:pPr>
      <w:autoSpaceDE w:val="0"/>
      <w:autoSpaceDN w:val="0"/>
      <w:adjustRightInd w:val="0"/>
      <w:spacing w:before="100" w:after="100"/>
      <w:ind w:left="360" w:right="360"/>
      <w:jc w:val="left"/>
    </w:pPr>
    <w:rPr>
      <w:kern w:val="0"/>
      <w:sz w:val="24"/>
      <w:szCs w:val="20"/>
    </w:rPr>
  </w:style>
  <w:style w:type="character" w:customStyle="1" w:styleId="116">
    <w:name w:val="封面日期 Char Char"/>
    <w:autoRedefine/>
    <w:qFormat/>
    <w:uiPriority w:val="0"/>
    <w:rPr>
      <w:rFonts w:ascii="Times New Roman" w:hAnsi="Times New Roman" w:eastAsia="宋体" w:cs="Times New Roman"/>
      <w:b/>
      <w:sz w:val="28"/>
      <w:szCs w:val="20"/>
    </w:rPr>
  </w:style>
  <w:style w:type="character" w:customStyle="1" w:styleId="117">
    <w:name w:val="称呼 Char1"/>
    <w:autoRedefine/>
    <w:qFormat/>
    <w:uiPriority w:val="0"/>
    <w:rPr>
      <w:kern w:val="2"/>
      <w:sz w:val="21"/>
      <w:szCs w:val="24"/>
    </w:rPr>
  </w:style>
  <w:style w:type="character" w:customStyle="1" w:styleId="118">
    <w:name w:val="纯文本 Char1_0"/>
    <w:link w:val="119"/>
    <w:autoRedefine/>
    <w:qFormat/>
    <w:uiPriority w:val="0"/>
    <w:rPr>
      <w:rFonts w:ascii="宋体" w:hAnsi="Courier New"/>
      <w:kern w:val="2"/>
      <w:sz w:val="21"/>
      <w:szCs w:val="21"/>
    </w:rPr>
  </w:style>
  <w:style w:type="paragraph" w:customStyle="1" w:styleId="119">
    <w:name w:val="纯文本_1"/>
    <w:basedOn w:val="120"/>
    <w:link w:val="118"/>
    <w:autoRedefine/>
    <w:qFormat/>
    <w:uiPriority w:val="0"/>
    <w:rPr>
      <w:rFonts w:ascii="宋体" w:hAnsi="Courier New"/>
      <w:szCs w:val="21"/>
    </w:rPr>
  </w:style>
  <w:style w:type="paragraph" w:customStyle="1" w:styleId="120">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1">
    <w:name w:val="文档结构图 字符"/>
    <w:link w:val="19"/>
    <w:qFormat/>
    <w:uiPriority w:val="0"/>
    <w:rPr>
      <w:rFonts w:eastAsia="宋体"/>
      <w:kern w:val="2"/>
      <w:sz w:val="21"/>
      <w:lang w:val="en-US" w:eastAsia="zh-CN" w:bidi="ar-SA"/>
    </w:rPr>
  </w:style>
  <w:style w:type="character" w:customStyle="1" w:styleId="122">
    <w:name w:val="纯文本 Char1"/>
    <w:qFormat/>
    <w:uiPriority w:val="99"/>
    <w:rPr>
      <w:rFonts w:ascii="宋体" w:hAnsi="Courier New" w:eastAsia="宋体" w:cs="Courier New"/>
      <w:kern w:val="2"/>
      <w:sz w:val="21"/>
      <w:szCs w:val="21"/>
      <w:lang w:val="en-US" w:eastAsia="zh-CN" w:bidi="ar-SA"/>
    </w:rPr>
  </w:style>
  <w:style w:type="character" w:customStyle="1" w:styleId="123">
    <w:name w:val="称呼 字符"/>
    <w:link w:val="23"/>
    <w:qFormat/>
    <w:uiPriority w:val="0"/>
    <w:rPr>
      <w:rFonts w:ascii="仿宋_GB2312" w:eastAsia="仿宋_GB2312"/>
      <w:sz w:val="28"/>
    </w:rPr>
  </w:style>
  <w:style w:type="character" w:customStyle="1" w:styleId="124">
    <w:name w:val="t_tag"/>
    <w:qFormat/>
    <w:uiPriority w:val="0"/>
  </w:style>
  <w:style w:type="character" w:customStyle="1" w:styleId="125">
    <w:name w:val="标题 6 字符"/>
    <w:link w:val="8"/>
    <w:autoRedefine/>
    <w:qFormat/>
    <w:uiPriority w:val="0"/>
    <w:rPr>
      <w:rFonts w:ascii="宋体" w:hAnsi="宋体" w:eastAsia="宋体"/>
      <w:sz w:val="28"/>
      <w:lang w:val="en-US" w:eastAsia="zh-CN" w:bidi="ar-SA"/>
    </w:rPr>
  </w:style>
  <w:style w:type="character" w:customStyle="1" w:styleId="126">
    <w:name w:val="Char Char3"/>
    <w:autoRedefine/>
    <w:qFormat/>
    <w:uiPriority w:val="0"/>
    <w:rPr>
      <w:rFonts w:eastAsia="宋体"/>
      <w:kern w:val="2"/>
      <w:sz w:val="21"/>
      <w:lang w:val="en-US" w:eastAsia="zh-CN" w:bidi="ar-SA"/>
    </w:rPr>
  </w:style>
  <w:style w:type="character" w:customStyle="1" w:styleId="127">
    <w:name w:val="标题 8 字符"/>
    <w:link w:val="10"/>
    <w:autoRedefine/>
    <w:qFormat/>
    <w:uiPriority w:val="0"/>
    <w:rPr>
      <w:rFonts w:ascii="Arial" w:hAnsi="Arial" w:eastAsia="黑体"/>
      <w:sz w:val="24"/>
      <w:szCs w:val="24"/>
      <w:lang w:val="en-US" w:eastAsia="zh-CN" w:bidi="ar-SA"/>
    </w:rPr>
  </w:style>
  <w:style w:type="character" w:customStyle="1" w:styleId="128">
    <w:name w:val="正文文本 3 字符"/>
    <w:link w:val="24"/>
    <w:autoRedefine/>
    <w:qFormat/>
    <w:uiPriority w:val="0"/>
    <w:rPr>
      <w:rFonts w:ascii="黑体" w:hAnsi="Arial" w:eastAsia="黑体"/>
      <w:b/>
      <w:sz w:val="28"/>
    </w:rPr>
  </w:style>
  <w:style w:type="character" w:customStyle="1" w:styleId="129">
    <w:name w:val="批注文字 字符"/>
    <w:link w:val="21"/>
    <w:qFormat/>
    <w:uiPriority w:val="99"/>
    <w:rPr>
      <w:rFonts w:eastAsia="宋体"/>
      <w:kern w:val="2"/>
      <w:sz w:val="21"/>
      <w:lang w:val="en-US" w:eastAsia="zh-CN" w:bidi="ar-SA"/>
    </w:rPr>
  </w:style>
  <w:style w:type="character" w:customStyle="1" w:styleId="130">
    <w:name w:val="引用 Char2"/>
    <w:qFormat/>
    <w:uiPriority w:val="29"/>
    <w:rPr>
      <w:i/>
      <w:iCs/>
      <w:color w:val="000000"/>
      <w:kern w:val="2"/>
      <w:sz w:val="21"/>
      <w:szCs w:val="24"/>
    </w:rPr>
  </w:style>
  <w:style w:type="character" w:customStyle="1" w:styleId="131">
    <w:name w:val="标题 4 Char_0"/>
    <w:link w:val="132"/>
    <w:qFormat/>
    <w:uiPriority w:val="0"/>
    <w:rPr>
      <w:rFonts w:ascii="Arial" w:hAnsi="Arial" w:eastAsia="黑体"/>
      <w:sz w:val="28"/>
    </w:rPr>
  </w:style>
  <w:style w:type="paragraph" w:customStyle="1" w:styleId="132">
    <w:name w:val="标题 4_0"/>
    <w:basedOn w:val="91"/>
    <w:next w:val="91"/>
    <w:link w:val="131"/>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3">
    <w:name w:val="标题 9 Char_0"/>
    <w:link w:val="134"/>
    <w:autoRedefine/>
    <w:qFormat/>
    <w:uiPriority w:val="0"/>
    <w:rPr>
      <w:rFonts w:ascii="Arial" w:hAnsi="Arial" w:eastAsia="黑体"/>
      <w:sz w:val="21"/>
      <w:szCs w:val="21"/>
    </w:rPr>
  </w:style>
  <w:style w:type="paragraph" w:customStyle="1" w:styleId="134">
    <w:name w:val="标题 9_0"/>
    <w:basedOn w:val="91"/>
    <w:next w:val="91"/>
    <w:link w:val="133"/>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5">
    <w:name w:val="标题 2 Char_0"/>
    <w:link w:val="136"/>
    <w:autoRedefine/>
    <w:qFormat/>
    <w:uiPriority w:val="0"/>
    <w:rPr>
      <w:rFonts w:ascii="黑体" w:hAnsi="宋体" w:eastAsia="黑体"/>
      <w:b/>
      <w:smallCaps/>
      <w:sz w:val="36"/>
      <w:szCs w:val="24"/>
    </w:rPr>
  </w:style>
  <w:style w:type="paragraph" w:customStyle="1" w:styleId="136">
    <w:name w:val="标题 2_0"/>
    <w:basedOn w:val="137"/>
    <w:next w:val="107"/>
    <w:link w:val="135"/>
    <w:autoRedefine/>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8">
    <w:name w:val="正文文本 2 字符"/>
    <w:link w:val="56"/>
    <w:qFormat/>
    <w:uiPriority w:val="0"/>
    <w:rPr>
      <w:rFonts w:ascii="仿宋_GB2312" w:eastAsia="仿宋_GB2312"/>
      <w:b/>
      <w:sz w:val="24"/>
    </w:rPr>
  </w:style>
  <w:style w:type="character" w:customStyle="1" w:styleId="139">
    <w:name w:val="批注文字 Char1"/>
    <w:semiHidden/>
    <w:qFormat/>
    <w:uiPriority w:val="99"/>
  </w:style>
  <w:style w:type="character" w:customStyle="1" w:styleId="140">
    <w:name w:val="明显引用 Char1"/>
    <w:qFormat/>
    <w:uiPriority w:val="30"/>
    <w:rPr>
      <w:b/>
      <w:bCs/>
      <w:i/>
      <w:iCs/>
      <w:color w:val="4F81BD"/>
      <w:kern w:val="2"/>
      <w:sz w:val="21"/>
      <w:szCs w:val="24"/>
    </w:rPr>
  </w:style>
  <w:style w:type="character" w:customStyle="1" w:styleId="141">
    <w:name w:val="标题 8 Char1"/>
    <w:semiHidden/>
    <w:qFormat/>
    <w:uiPriority w:val="0"/>
    <w:rPr>
      <w:rFonts w:ascii="Cambria" w:hAnsi="Cambria" w:eastAsia="宋体"/>
      <w:kern w:val="2"/>
      <w:sz w:val="24"/>
      <w:szCs w:val="24"/>
    </w:rPr>
  </w:style>
  <w:style w:type="character" w:customStyle="1" w:styleId="142">
    <w:name w:val="font31"/>
    <w:qFormat/>
    <w:uiPriority w:val="0"/>
    <w:rPr>
      <w:rFonts w:hint="eastAsia" w:ascii="宋体" w:hAnsi="宋体" w:eastAsia="宋体" w:cs="宋体"/>
      <w:color w:val="FF0000"/>
      <w:sz w:val="24"/>
      <w:szCs w:val="24"/>
      <w:u w:val="none"/>
    </w:rPr>
  </w:style>
  <w:style w:type="character" w:customStyle="1" w:styleId="143">
    <w:name w:val="标题 3 字符"/>
    <w:link w:val="5"/>
    <w:autoRedefine/>
    <w:qFormat/>
    <w:uiPriority w:val="0"/>
    <w:rPr>
      <w:rFonts w:ascii="宋体" w:eastAsia="宋体"/>
      <w:b/>
      <w:bCs/>
      <w:kern w:val="2"/>
      <w:sz w:val="32"/>
      <w:szCs w:val="32"/>
      <w:lang w:val="en-US" w:eastAsia="zh-CN" w:bidi="ar-SA"/>
    </w:rPr>
  </w:style>
  <w:style w:type="character" w:customStyle="1" w:styleId="144">
    <w:name w:val="标题 9 字符"/>
    <w:link w:val="11"/>
    <w:qFormat/>
    <w:uiPriority w:val="0"/>
    <w:rPr>
      <w:rFonts w:ascii="Arial" w:hAnsi="Arial" w:eastAsia="黑体"/>
      <w:sz w:val="21"/>
      <w:szCs w:val="21"/>
      <w:lang w:val="en-US" w:eastAsia="zh-CN" w:bidi="ar-SA"/>
    </w:rPr>
  </w:style>
  <w:style w:type="character" w:customStyle="1" w:styleId="145">
    <w:name w:val="批注框文本 Char1"/>
    <w:autoRedefine/>
    <w:semiHidden/>
    <w:qFormat/>
    <w:uiPriority w:val="99"/>
    <w:rPr>
      <w:sz w:val="18"/>
      <w:szCs w:val="18"/>
    </w:rPr>
  </w:style>
  <w:style w:type="character" w:customStyle="1" w:styleId="146">
    <w:name w:val="批注主题 Char1"/>
    <w:autoRedefine/>
    <w:qFormat/>
    <w:uiPriority w:val="99"/>
    <w:rPr>
      <w:rFonts w:eastAsia="宋体"/>
      <w:b/>
      <w:bCs/>
      <w:kern w:val="2"/>
      <w:sz w:val="21"/>
      <w:szCs w:val="24"/>
      <w:lang w:val="en-US" w:eastAsia="zh-CN" w:bidi="ar-SA"/>
    </w:rPr>
  </w:style>
  <w:style w:type="character" w:customStyle="1" w:styleId="147">
    <w:name w:val="标题 8 Char_0"/>
    <w:link w:val="148"/>
    <w:qFormat/>
    <w:uiPriority w:val="0"/>
    <w:rPr>
      <w:rFonts w:ascii="Arial" w:hAnsi="Arial" w:eastAsia="黑体"/>
      <w:sz w:val="24"/>
      <w:szCs w:val="24"/>
    </w:rPr>
  </w:style>
  <w:style w:type="paragraph" w:customStyle="1" w:styleId="148">
    <w:name w:val="标题 8_0"/>
    <w:basedOn w:val="91"/>
    <w:next w:val="91"/>
    <w:link w:val="147"/>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9">
    <w:name w:val="标题 9 Char1"/>
    <w:autoRedefine/>
    <w:semiHidden/>
    <w:qFormat/>
    <w:uiPriority w:val="0"/>
    <w:rPr>
      <w:rFonts w:ascii="Cambria" w:hAnsi="Cambria" w:eastAsia="宋体"/>
      <w:kern w:val="2"/>
      <w:sz w:val="21"/>
      <w:szCs w:val="21"/>
    </w:rPr>
  </w:style>
  <w:style w:type="character" w:customStyle="1" w:styleId="150">
    <w:name w:val="标题 1 Char_0"/>
    <w:link w:val="151"/>
    <w:qFormat/>
    <w:uiPriority w:val="0"/>
    <w:rPr>
      <w:rFonts w:ascii="黑体" w:eastAsia="黑体"/>
      <w:sz w:val="52"/>
    </w:rPr>
  </w:style>
  <w:style w:type="paragraph" w:customStyle="1" w:styleId="151">
    <w:name w:val="标题 1_0"/>
    <w:basedOn w:val="91"/>
    <w:next w:val="91"/>
    <w:link w:val="150"/>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2">
    <w:name w:val="标题 4 字符"/>
    <w:link w:val="6"/>
    <w:qFormat/>
    <w:uiPriority w:val="0"/>
    <w:rPr>
      <w:rFonts w:ascii="Arial" w:hAnsi="Arial" w:eastAsia="黑体"/>
      <w:b/>
      <w:bCs/>
      <w:kern w:val="2"/>
      <w:sz w:val="28"/>
      <w:szCs w:val="28"/>
      <w:lang w:val="en-US" w:eastAsia="zh-CN" w:bidi="ar-SA"/>
    </w:rPr>
  </w:style>
  <w:style w:type="character" w:customStyle="1" w:styleId="153">
    <w:name w:val="引用 Char1"/>
    <w:autoRedefine/>
    <w:qFormat/>
    <w:uiPriority w:val="29"/>
    <w:rPr>
      <w:i/>
      <w:iCs/>
      <w:color w:val="000000"/>
      <w:kern w:val="2"/>
      <w:sz w:val="21"/>
      <w:szCs w:val="24"/>
    </w:rPr>
  </w:style>
  <w:style w:type="character" w:customStyle="1" w:styleId="154">
    <w:name w:val="apple-converted-space"/>
    <w:autoRedefine/>
    <w:qFormat/>
    <w:uiPriority w:val="0"/>
  </w:style>
  <w:style w:type="character" w:customStyle="1" w:styleId="155">
    <w:name w:val="ask-title2"/>
    <w:autoRedefine/>
    <w:qFormat/>
    <w:uiPriority w:val="0"/>
  </w:style>
  <w:style w:type="character" w:customStyle="1" w:styleId="156">
    <w:name w:val="正文文本缩进 3 字符"/>
    <w:link w:val="51"/>
    <w:qFormat/>
    <w:uiPriority w:val="0"/>
    <w:rPr>
      <w:rFonts w:ascii="仿宋_GB2312" w:hAnsi="Arial" w:eastAsia="仿宋_GB2312"/>
      <w:color w:val="000000"/>
      <w:sz w:val="30"/>
    </w:rPr>
  </w:style>
  <w:style w:type="character" w:customStyle="1" w:styleId="157">
    <w:name w:val="标题4 Char Char"/>
    <w:link w:val="158"/>
    <w:qFormat/>
    <w:uiPriority w:val="0"/>
    <w:rPr>
      <w:rFonts w:ascii="Arial" w:hAnsi="Arial"/>
      <w:b/>
      <w:bCs/>
      <w:sz w:val="24"/>
      <w:szCs w:val="32"/>
      <w:lang w:bidi="ar-SA"/>
    </w:rPr>
  </w:style>
  <w:style w:type="paragraph" w:customStyle="1" w:styleId="158">
    <w:name w:val="标题4"/>
    <w:basedOn w:val="4"/>
    <w:next w:val="30"/>
    <w:link w:val="157"/>
    <w:qFormat/>
    <w:uiPriority w:val="0"/>
    <w:pPr>
      <w:spacing w:line="413" w:lineRule="auto"/>
      <w:ind w:firstLine="0"/>
      <w:jc w:val="both"/>
    </w:pPr>
    <w:rPr>
      <w:rFonts w:eastAsia="宋体"/>
      <w:kern w:val="0"/>
      <w:sz w:val="24"/>
    </w:rPr>
  </w:style>
  <w:style w:type="character" w:customStyle="1" w:styleId="159">
    <w:name w:val="标题 4 Char1"/>
    <w:semiHidden/>
    <w:qFormat/>
    <w:uiPriority w:val="0"/>
    <w:rPr>
      <w:rFonts w:ascii="Cambria" w:hAnsi="Cambria" w:eastAsia="宋体"/>
      <w:b/>
      <w:kern w:val="2"/>
      <w:sz w:val="28"/>
      <w:szCs w:val="28"/>
    </w:rPr>
  </w:style>
  <w:style w:type="character" w:customStyle="1" w:styleId="160">
    <w:name w:val="纯文本 字符"/>
    <w:link w:val="33"/>
    <w:autoRedefine/>
    <w:qFormat/>
    <w:uiPriority w:val="0"/>
    <w:rPr>
      <w:rFonts w:ascii="宋体" w:hAnsi="Courier New" w:eastAsia="宋体"/>
      <w:kern w:val="2"/>
      <w:sz w:val="21"/>
      <w:lang w:val="en-US" w:eastAsia="zh-CN" w:bidi="ar-SA"/>
    </w:rPr>
  </w:style>
  <w:style w:type="character" w:customStyle="1" w:styleId="161">
    <w:name w:val="明显引用 字符"/>
    <w:link w:val="162"/>
    <w:qFormat/>
    <w:uiPriority w:val="0"/>
    <w:rPr>
      <w:b/>
      <w:bCs/>
      <w:i/>
      <w:iCs/>
      <w:color w:val="4F81BD"/>
      <w:kern w:val="2"/>
      <w:sz w:val="21"/>
      <w:szCs w:val="22"/>
      <w:lang w:bidi="ar-SA"/>
    </w:rPr>
  </w:style>
  <w:style w:type="paragraph" w:styleId="162">
    <w:name w:val="Intense Quote"/>
    <w:basedOn w:val="1"/>
    <w:next w:val="1"/>
    <w:link w:val="161"/>
    <w:autoRedefine/>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3">
    <w:name w:val="批注主题 Char2"/>
    <w:autoRedefine/>
    <w:qFormat/>
    <w:uiPriority w:val="0"/>
    <w:rPr>
      <w:rFonts w:eastAsia="宋体"/>
      <w:b/>
      <w:bCs/>
      <w:kern w:val="2"/>
      <w:sz w:val="21"/>
      <w:szCs w:val="24"/>
      <w:lang w:val="en-US" w:eastAsia="zh-CN" w:bidi="ar-SA"/>
    </w:rPr>
  </w:style>
  <w:style w:type="character" w:customStyle="1" w:styleId="164">
    <w:name w:val="标题 5 Char1"/>
    <w:semiHidden/>
    <w:qFormat/>
    <w:uiPriority w:val="0"/>
    <w:rPr>
      <w:rFonts w:ascii="Calibri" w:hAnsi="Calibri" w:eastAsia="宋体"/>
      <w:b/>
      <w:kern w:val="2"/>
      <w:sz w:val="28"/>
      <w:szCs w:val="28"/>
    </w:rPr>
  </w:style>
  <w:style w:type="character" w:customStyle="1" w:styleId="165">
    <w:name w:val="日期 Char1"/>
    <w:autoRedefine/>
    <w:qFormat/>
    <w:uiPriority w:val="0"/>
    <w:rPr>
      <w:rFonts w:eastAsia="宋体"/>
      <w:kern w:val="2"/>
      <w:sz w:val="21"/>
      <w:szCs w:val="24"/>
      <w:lang w:val="en-US" w:eastAsia="zh-CN" w:bidi="ar-SA"/>
    </w:rPr>
  </w:style>
  <w:style w:type="character" w:customStyle="1" w:styleId="166">
    <w:name w:val="标题 字符"/>
    <w:link w:val="61"/>
    <w:autoRedefine/>
    <w:qFormat/>
    <w:uiPriority w:val="0"/>
    <w:rPr>
      <w:rFonts w:ascii="Cambria" w:hAnsi="Cambria"/>
      <w:b/>
      <w:bCs/>
      <w:kern w:val="2"/>
      <w:sz w:val="32"/>
      <w:szCs w:val="32"/>
      <w:lang w:bidi="ar-SA"/>
    </w:rPr>
  </w:style>
  <w:style w:type="character" w:customStyle="1" w:styleId="167">
    <w:name w:val="脚注文本 字符"/>
    <w:link w:val="49"/>
    <w:autoRedefine/>
    <w:qFormat/>
    <w:uiPriority w:val="0"/>
    <w:rPr>
      <w:rFonts w:ascii="Calibri" w:hAnsi="Calibri"/>
      <w:bCs/>
      <w:sz w:val="18"/>
    </w:rPr>
  </w:style>
  <w:style w:type="character" w:customStyle="1" w:styleId="168">
    <w:name w:val="标题 1 字符"/>
    <w:link w:val="3"/>
    <w:autoRedefine/>
    <w:qFormat/>
    <w:uiPriority w:val="0"/>
    <w:rPr>
      <w:rFonts w:eastAsia="宋体"/>
      <w:b/>
      <w:bCs/>
      <w:kern w:val="44"/>
      <w:sz w:val="30"/>
      <w:szCs w:val="44"/>
      <w:lang w:val="en-US" w:eastAsia="zh-CN" w:bidi="ar-SA"/>
    </w:rPr>
  </w:style>
  <w:style w:type="character" w:customStyle="1" w:styleId="169">
    <w:name w:val="font11"/>
    <w:autoRedefine/>
    <w:qFormat/>
    <w:uiPriority w:val="0"/>
    <w:rPr>
      <w:rFonts w:hint="eastAsia" w:ascii="宋体" w:hAnsi="宋体" w:eastAsia="宋体" w:cs="宋体"/>
      <w:color w:val="000000"/>
      <w:sz w:val="24"/>
      <w:szCs w:val="24"/>
      <w:u w:val="none"/>
    </w:rPr>
  </w:style>
  <w:style w:type="character" w:customStyle="1" w:styleId="170">
    <w:name w:val="标题 5 字符"/>
    <w:link w:val="7"/>
    <w:autoRedefine/>
    <w:qFormat/>
    <w:uiPriority w:val="0"/>
    <w:rPr>
      <w:rFonts w:ascii="宋体" w:hAnsi="Arial" w:eastAsia="宋体"/>
      <w:bCs/>
      <w:kern w:val="2"/>
      <w:sz w:val="28"/>
      <w:lang w:val="en-US" w:eastAsia="zh-CN" w:bidi="ar-SA"/>
    </w:rPr>
  </w:style>
  <w:style w:type="character" w:customStyle="1" w:styleId="171">
    <w:name w:val="font21"/>
    <w:autoRedefine/>
    <w:qFormat/>
    <w:uiPriority w:val="0"/>
    <w:rPr>
      <w:rFonts w:hint="eastAsia" w:ascii="仿宋" w:hAnsi="仿宋" w:eastAsia="仿宋" w:cs="仿宋"/>
      <w:color w:val="000000"/>
      <w:sz w:val="24"/>
      <w:szCs w:val="24"/>
      <w:u w:val="none"/>
    </w:rPr>
  </w:style>
  <w:style w:type="character" w:customStyle="1" w:styleId="172">
    <w:name w:val="标题 7 字符"/>
    <w:link w:val="9"/>
    <w:autoRedefine/>
    <w:qFormat/>
    <w:uiPriority w:val="0"/>
    <w:rPr>
      <w:rFonts w:ascii="Arial" w:hAnsi="Arial" w:eastAsia="仿宋_GB2312" w:cs="Arial"/>
      <w:b/>
      <w:bCs/>
      <w:spacing w:val="-4"/>
      <w:kern w:val="2"/>
      <w:sz w:val="24"/>
      <w:szCs w:val="24"/>
      <w:lang w:val="en-US" w:eastAsia="zh-CN" w:bidi="ar-SA"/>
    </w:rPr>
  </w:style>
  <w:style w:type="character" w:customStyle="1" w:styleId="173">
    <w:name w:val="正文文本 字符"/>
    <w:link w:val="25"/>
    <w:qFormat/>
    <w:uiPriority w:val="0"/>
    <w:rPr>
      <w:rFonts w:ascii="宋体" w:hAnsi="Arial" w:eastAsia="宋体"/>
      <w:kern w:val="2"/>
      <w:sz w:val="28"/>
      <w:lang w:val="en-US" w:eastAsia="zh-CN" w:bidi="ar-SA"/>
    </w:rPr>
  </w:style>
  <w:style w:type="character" w:customStyle="1" w:styleId="174">
    <w:name w:val="Char Char"/>
    <w:autoRedefine/>
    <w:qFormat/>
    <w:uiPriority w:val="0"/>
    <w:rPr>
      <w:rFonts w:ascii="宋体" w:hAnsi="Courier New" w:eastAsia="宋体" w:cs="Courier New"/>
      <w:kern w:val="2"/>
      <w:sz w:val="21"/>
      <w:szCs w:val="21"/>
      <w:lang w:val="en-US" w:eastAsia="zh-CN" w:bidi="ar-SA"/>
    </w:rPr>
  </w:style>
  <w:style w:type="character" w:customStyle="1" w:styleId="175">
    <w:name w:val="副标题 Char1"/>
    <w:autoRedefine/>
    <w:qFormat/>
    <w:uiPriority w:val="0"/>
    <w:rPr>
      <w:rFonts w:ascii="Cambria" w:hAnsi="Cambria" w:cs="Times New Roman"/>
      <w:b/>
      <w:bCs/>
      <w:kern w:val="28"/>
      <w:sz w:val="32"/>
      <w:szCs w:val="32"/>
    </w:rPr>
  </w:style>
  <w:style w:type="character" w:customStyle="1" w:styleId="176">
    <w:name w:val="正文文本缩进 2 字符"/>
    <w:link w:val="37"/>
    <w:autoRedefine/>
    <w:qFormat/>
    <w:uiPriority w:val="0"/>
    <w:rPr>
      <w:rFonts w:ascii="Arial" w:hAnsi="Arial" w:eastAsia="仿宋_GB2312"/>
      <w:sz w:val="32"/>
    </w:rPr>
  </w:style>
  <w:style w:type="character" w:customStyle="1" w:styleId="177">
    <w:name w:val="标题 3 Char1"/>
    <w:autoRedefine/>
    <w:semiHidden/>
    <w:qFormat/>
    <w:uiPriority w:val="0"/>
    <w:rPr>
      <w:rFonts w:ascii="Calibri" w:hAnsi="Calibri" w:eastAsia="宋体"/>
      <w:b/>
      <w:kern w:val="2"/>
      <w:sz w:val="32"/>
    </w:rPr>
  </w:style>
  <w:style w:type="character" w:customStyle="1" w:styleId="178">
    <w:name w:val="正文文本 Char_0"/>
    <w:link w:val="179"/>
    <w:autoRedefine/>
    <w:qFormat/>
    <w:uiPriority w:val="0"/>
    <w:rPr>
      <w:kern w:val="2"/>
      <w:sz w:val="21"/>
      <w:szCs w:val="24"/>
    </w:rPr>
  </w:style>
  <w:style w:type="paragraph" w:customStyle="1" w:styleId="179">
    <w:name w:val="正文文本_0"/>
    <w:basedOn w:val="91"/>
    <w:link w:val="178"/>
    <w:autoRedefine/>
    <w:qFormat/>
    <w:uiPriority w:val="0"/>
    <w:pPr>
      <w:spacing w:after="120"/>
    </w:pPr>
  </w:style>
  <w:style w:type="character" w:customStyle="1" w:styleId="180">
    <w:name w:val="批注主题 字符"/>
    <w:link w:val="62"/>
    <w:autoRedefine/>
    <w:qFormat/>
    <w:uiPriority w:val="0"/>
    <w:rPr>
      <w:rFonts w:ascii="宋体"/>
      <w:b/>
      <w:bCs/>
      <w:sz w:val="28"/>
      <w:lang w:bidi="ar-SA"/>
    </w:rPr>
  </w:style>
  <w:style w:type="character" w:customStyle="1" w:styleId="181">
    <w:name w:val="明显引用 Char2"/>
    <w:autoRedefine/>
    <w:qFormat/>
    <w:uiPriority w:val="30"/>
    <w:rPr>
      <w:b/>
      <w:bCs/>
      <w:i/>
      <w:iCs/>
      <w:color w:val="4F81BD"/>
      <w:kern w:val="2"/>
      <w:sz w:val="21"/>
      <w:szCs w:val="24"/>
    </w:rPr>
  </w:style>
  <w:style w:type="character" w:customStyle="1" w:styleId="182">
    <w:name w:val="页脚 字符1"/>
    <w:link w:val="39"/>
    <w:autoRedefine/>
    <w:qFormat/>
    <w:uiPriority w:val="99"/>
    <w:rPr>
      <w:rFonts w:eastAsia="宋体"/>
      <w:kern w:val="2"/>
      <w:sz w:val="18"/>
      <w:lang w:val="en-US" w:eastAsia="zh-CN" w:bidi="ar-SA"/>
    </w:rPr>
  </w:style>
  <w:style w:type="character" w:customStyle="1" w:styleId="183">
    <w:name w:val="脚注文本 Char2"/>
    <w:autoRedefine/>
    <w:semiHidden/>
    <w:qFormat/>
    <w:uiPriority w:val="99"/>
    <w:rPr>
      <w:rFonts w:ascii="宋体"/>
      <w:sz w:val="18"/>
      <w:szCs w:val="18"/>
    </w:rPr>
  </w:style>
  <w:style w:type="paragraph" w:customStyle="1" w:styleId="184">
    <w:name w:val="Normal_0"/>
    <w:autoRedefine/>
    <w:qFormat/>
    <w:uiPriority w:val="0"/>
    <w:rPr>
      <w:rFonts w:ascii="Times New Roman" w:hAnsi="Times New Roman" w:eastAsia="宋体" w:cs="Times New Roman"/>
      <w:sz w:val="24"/>
      <w:szCs w:val="24"/>
      <w:lang w:val="en-US" w:eastAsia="zh-CN" w:bidi="ar-SA"/>
    </w:rPr>
  </w:style>
  <w:style w:type="paragraph" w:customStyle="1" w:styleId="185">
    <w:name w:val="列出段落1"/>
    <w:basedOn w:val="1"/>
    <w:autoRedefine/>
    <w:unhideWhenUsed/>
    <w:qFormat/>
    <w:uiPriority w:val="99"/>
    <w:pPr>
      <w:ind w:firstLine="420" w:firstLineChars="200"/>
    </w:pPr>
    <w:rPr>
      <w:rFonts w:ascii="Calibri" w:hAnsi="Calibri"/>
      <w:kern w:val="2"/>
      <w:sz w:val="21"/>
      <w:szCs w:val="22"/>
    </w:rPr>
  </w:style>
  <w:style w:type="paragraph" w:customStyle="1" w:styleId="186">
    <w:name w:val="Char"/>
    <w:basedOn w:val="1"/>
    <w:autoRedefine/>
    <w:qFormat/>
    <w:uiPriority w:val="0"/>
    <w:rPr>
      <w:rFonts w:ascii="Tahoma" w:hAnsi="Tahoma"/>
    </w:rPr>
  </w:style>
  <w:style w:type="paragraph" w:customStyle="1" w:styleId="187">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8">
    <w:name w:val="样式 宋体 五号 行距: 单倍行距"/>
    <w:basedOn w:val="1"/>
    <w:qFormat/>
    <w:uiPriority w:val="0"/>
    <w:pPr>
      <w:adjustRightInd w:val="0"/>
      <w:jc w:val="left"/>
      <w:textAlignment w:val="baseline"/>
    </w:pPr>
    <w:rPr>
      <w:rFonts w:hAnsi="宋体"/>
      <w:sz w:val="21"/>
    </w:rPr>
  </w:style>
  <w:style w:type="paragraph" w:customStyle="1" w:styleId="189">
    <w:name w:val="xl43"/>
    <w:basedOn w:val="1"/>
    <w:autoRedefine/>
    <w:qFormat/>
    <w:uiPriority w:val="0"/>
    <w:pPr>
      <w:widowControl/>
      <w:spacing w:before="100" w:beforeAutospacing="1" w:after="100" w:afterAutospacing="1"/>
      <w:jc w:val="left"/>
      <w:textAlignment w:val="top"/>
    </w:pPr>
    <w:rPr>
      <w:rFonts w:hAnsi="宋体"/>
      <w:szCs w:val="24"/>
    </w:rPr>
  </w:style>
  <w:style w:type="paragraph" w:customStyle="1" w:styleId="190">
    <w:name w:val="列出段落2"/>
    <w:basedOn w:val="1"/>
    <w:autoRedefine/>
    <w:qFormat/>
    <w:uiPriority w:val="0"/>
    <w:pPr>
      <w:ind w:firstLine="420" w:firstLineChars="200"/>
    </w:pPr>
    <w:rPr>
      <w:rFonts w:ascii="Calibri" w:hAnsi="Calibri"/>
      <w:kern w:val="2"/>
      <w:sz w:val="21"/>
      <w:szCs w:val="22"/>
    </w:rPr>
  </w:style>
  <w:style w:type="paragraph" w:customStyle="1" w:styleId="1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2">
    <w:name w:val="Char Char2 Char"/>
    <w:basedOn w:val="1"/>
    <w:qFormat/>
    <w:uiPriority w:val="0"/>
    <w:rPr>
      <w:rFonts w:ascii="Tahoma" w:hAnsi="Tahoma"/>
      <w:kern w:val="2"/>
      <w:szCs w:val="24"/>
    </w:rPr>
  </w:style>
  <w:style w:type="paragraph" w:customStyle="1" w:styleId="193">
    <w:name w:val="正文（缩进）"/>
    <w:basedOn w:val="1"/>
    <w:autoRedefine/>
    <w:qFormat/>
    <w:uiPriority w:val="0"/>
    <w:pPr>
      <w:widowControl/>
      <w:spacing w:before="156" w:after="156"/>
      <w:ind w:firstLine="480" w:firstLineChars="200"/>
      <w:jc w:val="left"/>
    </w:pPr>
    <w:rPr>
      <w:rFonts w:ascii="仿宋_GB2312" w:eastAsia="仿宋_GB2312"/>
      <w:szCs w:val="24"/>
    </w:rPr>
  </w:style>
  <w:style w:type="paragraph" w:styleId="194">
    <w:name w:val="List Paragraph"/>
    <w:basedOn w:val="1"/>
    <w:autoRedefine/>
    <w:qFormat/>
    <w:uiPriority w:val="0"/>
    <w:pPr>
      <w:ind w:firstLine="420" w:firstLineChars="200"/>
    </w:pPr>
    <w:rPr>
      <w:rFonts w:ascii="Calibri" w:hAnsi="Calibri"/>
      <w:szCs w:val="22"/>
    </w:rPr>
  </w:style>
  <w:style w:type="paragraph" w:customStyle="1" w:styleId="195">
    <w:name w:val="_Style 4"/>
    <w:basedOn w:val="1"/>
    <w:autoRedefine/>
    <w:qFormat/>
    <w:uiPriority w:val="0"/>
    <w:rPr>
      <w:rFonts w:ascii="Times New Roman"/>
      <w:kern w:val="2"/>
      <w:sz w:val="21"/>
      <w:szCs w:val="24"/>
    </w:rPr>
  </w:style>
  <w:style w:type="paragraph" w:customStyle="1" w:styleId="196">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8">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9">
    <w:name w:val="_Style 8"/>
    <w:basedOn w:val="1"/>
    <w:autoRedefine/>
    <w:qFormat/>
    <w:uiPriority w:val="0"/>
  </w:style>
  <w:style w:type="paragraph" w:customStyle="1" w:styleId="200">
    <w:name w:val="样式 标题 2 + Times New Roman 四号 非加粗 段前: 5 磅 段后: 0 磅 行距: 固定值 20..."/>
    <w:basedOn w:val="4"/>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1">
    <w:name w:val="cjk"/>
    <w:basedOn w:val="1"/>
    <w:autoRedefine/>
    <w:qFormat/>
    <w:uiPriority w:val="0"/>
    <w:pPr>
      <w:widowControl/>
      <w:spacing w:before="100" w:beforeAutospacing="1"/>
      <w:jc w:val="left"/>
    </w:pPr>
    <w:rPr>
      <w:rFonts w:hAnsi="宋体" w:cs="宋体"/>
      <w:color w:val="000000"/>
      <w:sz w:val="28"/>
      <w:szCs w:val="28"/>
    </w:rPr>
  </w:style>
  <w:style w:type="paragraph" w:customStyle="1" w:styleId="20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4">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p0"/>
    <w:basedOn w:val="1"/>
    <w:qFormat/>
    <w:uiPriority w:val="0"/>
    <w:pPr>
      <w:widowControl/>
    </w:pPr>
    <w:rPr>
      <w:rFonts w:ascii="Times New Roman"/>
      <w:sz w:val="21"/>
      <w:szCs w:val="21"/>
    </w:rPr>
  </w:style>
  <w:style w:type="paragraph" w:customStyle="1" w:styleId="206">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7">
    <w:name w:val="font8"/>
    <w:basedOn w:val="1"/>
    <w:autoRedefine/>
    <w:qFormat/>
    <w:uiPriority w:val="0"/>
    <w:pPr>
      <w:widowControl/>
      <w:spacing w:before="100" w:beforeAutospacing="1" w:after="100" w:afterAutospacing="1"/>
      <w:jc w:val="left"/>
    </w:pPr>
    <w:rPr>
      <w:rFonts w:hint="eastAsia" w:hAnsi="宋体"/>
      <w:color w:val="000000"/>
      <w:sz w:val="32"/>
      <w:szCs w:val="32"/>
    </w:rPr>
  </w:style>
  <w:style w:type="paragraph" w:customStyle="1" w:styleId="208">
    <w:name w:val="xl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9">
    <w:name w:val="Char10 Char Char Char Char Char Char Char Char Char"/>
    <w:basedOn w:val="1"/>
    <w:next w:val="1"/>
    <w:autoRedefine/>
    <w:qFormat/>
    <w:uiPriority w:val="0"/>
    <w:rPr>
      <w:rFonts w:ascii="Calibri" w:hAnsi="Calibri"/>
      <w:kern w:val="2"/>
      <w:sz w:val="21"/>
      <w:szCs w:val="22"/>
    </w:rPr>
  </w:style>
  <w:style w:type="paragraph" w:customStyle="1" w:styleId="210">
    <w:name w:val="Normal_2"/>
    <w:autoRedefine/>
    <w:qFormat/>
    <w:uiPriority w:val="0"/>
    <w:rPr>
      <w:rFonts w:ascii="Times New Roman" w:hAnsi="Times New Roman" w:eastAsia="Times New Roman" w:cs="Times New Roman"/>
      <w:sz w:val="24"/>
      <w:szCs w:val="24"/>
      <w:lang w:val="en-US" w:eastAsia="zh-CN" w:bidi="ar-SA"/>
    </w:rPr>
  </w:style>
  <w:style w:type="paragraph" w:customStyle="1" w:styleId="211">
    <w:name w:val="列出段落3"/>
    <w:basedOn w:val="1"/>
    <w:autoRedefine/>
    <w:unhideWhenUsed/>
    <w:qFormat/>
    <w:uiPriority w:val="99"/>
    <w:pPr>
      <w:ind w:firstLine="420" w:firstLineChars="200"/>
    </w:pPr>
    <w:rPr>
      <w:rFonts w:ascii="Calibri" w:hAnsi="Calibri"/>
      <w:kern w:val="2"/>
      <w:sz w:val="21"/>
      <w:szCs w:val="22"/>
    </w:rPr>
  </w:style>
  <w:style w:type="paragraph" w:customStyle="1" w:styleId="212">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3">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4">
    <w:name w:val="普通(网站)_0"/>
    <w:basedOn w:val="91"/>
    <w:autoRedefine/>
    <w:qFormat/>
    <w:uiPriority w:val="0"/>
    <w:pPr>
      <w:widowControl/>
      <w:spacing w:before="100" w:beforeAutospacing="1" w:after="100" w:afterAutospacing="1"/>
      <w:jc w:val="left"/>
    </w:pPr>
    <w:rPr>
      <w:rFonts w:ascii="宋体" w:hAnsi="宋体"/>
      <w:kern w:val="0"/>
      <w:sz w:val="24"/>
    </w:rPr>
  </w:style>
  <w:style w:type="paragraph" w:customStyle="1" w:styleId="215">
    <w:name w:val="图1"/>
    <w:basedOn w:val="1"/>
    <w:next w:val="1"/>
    <w:autoRedefine/>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7">
    <w:name w:val="D&amp;L"/>
    <w:basedOn w:val="41"/>
    <w:autoRedefine/>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9">
    <w:name w:val="font7"/>
    <w:basedOn w:val="1"/>
    <w:autoRedefine/>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0">
    <w:name w:val="简单回函地址"/>
    <w:basedOn w:val="1"/>
    <w:autoRedefine/>
    <w:qFormat/>
    <w:uiPriority w:val="0"/>
    <w:rPr>
      <w:rFonts w:ascii="Calibri" w:hAnsi="Calibri"/>
      <w:kern w:val="2"/>
      <w:sz w:val="21"/>
      <w:szCs w:val="22"/>
    </w:rPr>
  </w:style>
  <w:style w:type="paragraph" w:customStyle="1" w:styleId="22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2">
    <w:name w:val="Char Char Char Char Char Char Char1 Char"/>
    <w:basedOn w:val="1"/>
    <w:autoRedefine/>
    <w:qFormat/>
    <w:uiPriority w:val="0"/>
    <w:rPr>
      <w:rFonts w:ascii="Tahoma" w:hAnsi="Tahoma"/>
    </w:rPr>
  </w:style>
  <w:style w:type="paragraph" w:customStyle="1" w:styleId="223">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4">
    <w:name w:val="font6"/>
    <w:basedOn w:val="1"/>
    <w:autoRedefine/>
    <w:qFormat/>
    <w:uiPriority w:val="0"/>
    <w:pPr>
      <w:widowControl/>
      <w:spacing w:before="100" w:beforeAutospacing="1" w:after="100" w:afterAutospacing="1"/>
      <w:jc w:val="left"/>
    </w:pPr>
    <w:rPr>
      <w:rFonts w:hint="eastAsia" w:hAnsi="宋体"/>
      <w:sz w:val="18"/>
      <w:szCs w:val="18"/>
    </w:rPr>
  </w:style>
  <w:style w:type="paragraph" w:customStyle="1" w:styleId="225">
    <w:name w:val="Default Paragraph Char Char Char Char"/>
    <w:basedOn w:val="1"/>
    <w:next w:val="1"/>
    <w:autoRedefine/>
    <w:qFormat/>
    <w:uiPriority w:val="0"/>
    <w:pPr>
      <w:widowControl/>
      <w:spacing w:line="360" w:lineRule="auto"/>
      <w:jc w:val="left"/>
    </w:pPr>
    <w:rPr>
      <w:lang w:eastAsia="en-US"/>
    </w:rPr>
  </w:style>
  <w:style w:type="paragraph" w:customStyle="1" w:styleId="226">
    <w:name w:val="Char Char Char Char Char Char"/>
    <w:basedOn w:val="1"/>
    <w:autoRedefine/>
    <w:qFormat/>
    <w:uiPriority w:val="0"/>
    <w:rPr>
      <w:rFonts w:ascii="Tahoma" w:hAnsi="Tahoma"/>
      <w:kern w:val="2"/>
    </w:rPr>
  </w:style>
  <w:style w:type="paragraph" w:customStyle="1" w:styleId="22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9">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230">
    <w:name w:val="Char Char Char Char Char Char1 Char"/>
    <w:basedOn w:val="1"/>
    <w:autoRedefine/>
    <w:qFormat/>
    <w:uiPriority w:val="0"/>
    <w:pPr>
      <w:widowControl/>
      <w:spacing w:after="160" w:line="240" w:lineRule="exact"/>
      <w:jc w:val="left"/>
    </w:pPr>
    <w:rPr>
      <w:rFonts w:ascii="Calibri" w:hAnsi="Calibri"/>
      <w:kern w:val="2"/>
      <w:sz w:val="21"/>
      <w:szCs w:val="24"/>
    </w:rPr>
  </w:style>
  <w:style w:type="paragraph" w:customStyle="1" w:styleId="231">
    <w:name w:val="范本目录"/>
    <w:basedOn w:val="1"/>
    <w:autoRedefine/>
    <w:qFormat/>
    <w:uiPriority w:val="0"/>
    <w:pPr>
      <w:adjustRightInd w:val="0"/>
      <w:snapToGrid w:val="0"/>
      <w:spacing w:beforeLines="20" w:afterLines="20" w:line="540" w:lineRule="exact"/>
      <w:jc w:val="center"/>
    </w:pPr>
    <w:rPr>
      <w:rFonts w:hAnsi="宋体"/>
      <w:b/>
      <w:bCs/>
      <w:sz w:val="36"/>
      <w:szCs w:val="24"/>
    </w:rPr>
  </w:style>
  <w:style w:type="paragraph" w:customStyle="1" w:styleId="232">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233">
    <w:name w:val="TOC 标题1"/>
    <w:basedOn w:val="3"/>
    <w:next w:val="1"/>
    <w:autoRedefine/>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4">
    <w:name w:val="xl31"/>
    <w:basedOn w:val="1"/>
    <w:autoRedefine/>
    <w:qFormat/>
    <w:uiPriority w:val="0"/>
    <w:pPr>
      <w:widowControl/>
      <w:spacing w:before="100" w:beforeAutospacing="1" w:after="100" w:afterAutospacing="1"/>
      <w:jc w:val="center"/>
    </w:pPr>
    <w:rPr>
      <w:rFonts w:hAnsi="宋体"/>
      <w:b/>
      <w:bCs/>
      <w:sz w:val="28"/>
      <w:szCs w:val="28"/>
    </w:rPr>
  </w:style>
  <w:style w:type="paragraph" w:customStyle="1" w:styleId="235">
    <w:name w:val="Char Char Char Char Char"/>
    <w:basedOn w:val="1"/>
    <w:autoRedefine/>
    <w:qFormat/>
    <w:uiPriority w:val="0"/>
    <w:rPr>
      <w:rFonts w:ascii="Tahoma" w:hAnsi="Tahoma"/>
      <w:kern w:val="2"/>
    </w:rPr>
  </w:style>
  <w:style w:type="paragraph" w:customStyle="1" w:styleId="236">
    <w:name w:val="二级标题"/>
    <w:basedOn w:val="1"/>
    <w:next w:val="237"/>
    <w:autoRedefine/>
    <w:qFormat/>
    <w:uiPriority w:val="0"/>
    <w:pPr>
      <w:tabs>
        <w:tab w:val="left" w:pos="992"/>
      </w:tabs>
      <w:ind w:left="992" w:hanging="567"/>
      <w:outlineLvl w:val="1"/>
    </w:pPr>
    <w:rPr>
      <w:rFonts w:ascii="黑体" w:eastAsia="黑体"/>
      <w:sz w:val="28"/>
      <w:szCs w:val="24"/>
    </w:rPr>
  </w:style>
  <w:style w:type="paragraph" w:customStyle="1" w:styleId="237">
    <w:name w:val="文章正文"/>
    <w:basedOn w:val="1"/>
    <w:autoRedefine/>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8">
    <w:name w:val="正文_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xl42"/>
    <w:basedOn w:val="1"/>
    <w:autoRedefine/>
    <w:qFormat/>
    <w:uiPriority w:val="0"/>
    <w:pPr>
      <w:widowControl/>
      <w:spacing w:before="100" w:beforeAutospacing="1" w:after="100" w:afterAutospacing="1"/>
      <w:jc w:val="center"/>
      <w:textAlignment w:val="center"/>
    </w:pPr>
    <w:rPr>
      <w:rFonts w:hAnsi="宋体"/>
      <w:b/>
      <w:bCs/>
      <w:sz w:val="32"/>
      <w:szCs w:val="32"/>
    </w:rPr>
  </w:style>
  <w:style w:type="paragraph" w:customStyle="1" w:styleId="241">
    <w:name w:val="Char Char Char Char Char Char Char Char Char1 Char Char Char1 Char Char Char Char Char Char"/>
    <w:basedOn w:val="1"/>
    <w:autoRedefine/>
    <w:qFormat/>
    <w:uiPriority w:val="0"/>
    <w:pPr>
      <w:spacing w:line="360" w:lineRule="auto"/>
      <w:ind w:firstLine="200" w:firstLineChars="200"/>
    </w:pPr>
    <w:rPr>
      <w:rFonts w:ascii="Times New Roman"/>
      <w:kern w:val="2"/>
      <w:sz w:val="21"/>
      <w:szCs w:val="24"/>
    </w:rPr>
  </w:style>
  <w:style w:type="paragraph" w:customStyle="1" w:styleId="242">
    <w:name w:val="Char Char Char Char"/>
    <w:basedOn w:val="1"/>
    <w:autoRedefine/>
    <w:qFormat/>
    <w:uiPriority w:val="0"/>
    <w:pPr>
      <w:widowControl/>
      <w:spacing w:after="160" w:line="240" w:lineRule="exact"/>
      <w:jc w:val="left"/>
    </w:pPr>
    <w:rPr>
      <w:rFonts w:ascii="Verdana" w:hAnsi="Verdana" w:eastAsia="Times New Roman"/>
      <w:sz w:val="20"/>
      <w:lang w:eastAsia="en-US"/>
    </w:rPr>
  </w:style>
  <w:style w:type="paragraph" w:customStyle="1" w:styleId="243">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4">
    <w:name w:val="样式3"/>
    <w:basedOn w:val="1"/>
    <w:autoRedefine/>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5">
    <w:name w:val="内文正文"/>
    <w:autoRedefine/>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6">
    <w:name w:val="xl45"/>
    <w:basedOn w:val="1"/>
    <w:autoRedefine/>
    <w:qFormat/>
    <w:uiPriority w:val="0"/>
    <w:pPr>
      <w:widowControl/>
      <w:spacing w:before="100" w:beforeAutospacing="1" w:after="100" w:afterAutospacing="1"/>
      <w:jc w:val="left"/>
      <w:textAlignment w:val="top"/>
    </w:pPr>
    <w:rPr>
      <w:rFonts w:hAnsi="宋体"/>
      <w:szCs w:val="24"/>
    </w:rPr>
  </w:style>
  <w:style w:type="paragraph" w:customStyle="1" w:styleId="247">
    <w:name w:val="正文无缩进"/>
    <w:basedOn w:val="1"/>
    <w:autoRedefine/>
    <w:qFormat/>
    <w:uiPriority w:val="0"/>
    <w:pPr>
      <w:spacing w:line="600" w:lineRule="exact"/>
    </w:pPr>
    <w:rPr>
      <w:rFonts w:ascii="仿宋_GB2312" w:hAnsi="宋体" w:eastAsia="仿宋_GB2312"/>
      <w:kern w:val="2"/>
      <w:sz w:val="31"/>
      <w:szCs w:val="28"/>
    </w:rPr>
  </w:style>
  <w:style w:type="paragraph" w:customStyle="1" w:styleId="248">
    <w:name w:val="Char Char Char Char Char Char1"/>
    <w:basedOn w:val="1"/>
    <w:autoRedefine/>
    <w:qFormat/>
    <w:uiPriority w:val="0"/>
    <w:rPr>
      <w:rFonts w:ascii="Tahoma" w:hAnsi="Tahoma"/>
      <w:kern w:val="2"/>
    </w:rPr>
  </w:style>
  <w:style w:type="paragraph" w:customStyle="1" w:styleId="249">
    <w:name w:val="样式 标题 3 + (中文) 黑体 小四 非加粗 段前: 7.8 磅 段后: 0 磅 行距: 固定值 20 磅"/>
    <w:basedOn w:val="5"/>
    <w:autoRedefine/>
    <w:qFormat/>
    <w:uiPriority w:val="0"/>
    <w:pPr>
      <w:spacing w:line="400" w:lineRule="exact"/>
      <w:jc w:val="both"/>
    </w:pPr>
    <w:rPr>
      <w:rFonts w:ascii="Calibri" w:hAnsi="Calibri" w:eastAsia="黑体" w:cs="宋体"/>
      <w:b w:val="0"/>
      <w:bCs w:val="0"/>
      <w:szCs w:val="20"/>
    </w:rPr>
  </w:style>
  <w:style w:type="paragraph" w:customStyle="1" w:styleId="250">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1">
    <w:name w:val="Char Char Char Char1"/>
    <w:basedOn w:val="1"/>
    <w:autoRedefine/>
    <w:qFormat/>
    <w:uiPriority w:val="0"/>
    <w:pPr>
      <w:snapToGrid w:val="0"/>
      <w:spacing w:line="360" w:lineRule="auto"/>
      <w:ind w:firstLine="200" w:firstLineChars="200"/>
    </w:pPr>
    <w:rPr>
      <w:rFonts w:ascii="Calibri" w:hAnsi="Calibri" w:eastAsia="仿宋_GB2312"/>
      <w:kern w:val="2"/>
      <w:szCs w:val="22"/>
    </w:rPr>
  </w:style>
  <w:style w:type="paragraph" w:customStyle="1" w:styleId="252">
    <w:name w:val="段落1 Char"/>
    <w:basedOn w:val="33"/>
    <w:autoRedefine/>
    <w:qFormat/>
    <w:uiPriority w:val="0"/>
    <w:pPr>
      <w:spacing w:line="360" w:lineRule="auto"/>
    </w:pPr>
    <w:rPr>
      <w:rFonts w:ascii="Times New Roman" w:hAnsi="Times New Roman" w:cs="Courier New"/>
      <w:sz w:val="24"/>
      <w:szCs w:val="21"/>
    </w:rPr>
  </w:style>
  <w:style w:type="paragraph" w:customStyle="1" w:styleId="253">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4">
    <w:name w:val="Char1"/>
    <w:basedOn w:val="1"/>
    <w:next w:val="1"/>
    <w:autoRedefine/>
    <w:qFormat/>
    <w:uiPriority w:val="0"/>
    <w:pPr>
      <w:widowControl/>
      <w:spacing w:line="360" w:lineRule="auto"/>
      <w:jc w:val="left"/>
    </w:pPr>
    <w:rPr>
      <w:lang w:eastAsia="en-US"/>
    </w:rPr>
  </w:style>
  <w:style w:type="paragraph" w:customStyle="1" w:styleId="255">
    <w:name w:val="MsoNormal"/>
    <w:basedOn w:val="184"/>
    <w:autoRedefine/>
    <w:qFormat/>
    <w:uiPriority w:val="0"/>
    <w:rPr>
      <w:rFonts w:ascii="Calibri" w:hAnsi="Calibri" w:eastAsia="Calibri"/>
      <w:sz w:val="21"/>
    </w:rPr>
  </w:style>
  <w:style w:type="paragraph" w:customStyle="1" w:styleId="256">
    <w:name w:val="Table Paragraph"/>
    <w:basedOn w:val="1"/>
    <w:autoRedefine/>
    <w:qFormat/>
    <w:uiPriority w:val="1"/>
    <w:pPr>
      <w:jc w:val="left"/>
    </w:pPr>
    <w:rPr>
      <w:rFonts w:ascii="Calibri" w:hAnsi="Calibri"/>
      <w:sz w:val="22"/>
      <w:lang w:eastAsia="en-US"/>
    </w:rPr>
  </w:style>
  <w:style w:type="paragraph" w:customStyle="1" w:styleId="257">
    <w:name w:val="xl44"/>
    <w:basedOn w:val="1"/>
    <w:autoRedefine/>
    <w:qFormat/>
    <w:uiPriority w:val="0"/>
    <w:pPr>
      <w:widowControl/>
      <w:spacing w:before="100" w:beforeAutospacing="1" w:after="100" w:afterAutospacing="1"/>
      <w:jc w:val="center"/>
      <w:textAlignment w:val="center"/>
    </w:pPr>
    <w:rPr>
      <w:rFonts w:hAnsi="宋体"/>
      <w:b/>
      <w:bCs/>
      <w:sz w:val="32"/>
      <w:szCs w:val="32"/>
    </w:rPr>
  </w:style>
  <w:style w:type="paragraph" w:customStyle="1" w:styleId="258">
    <w:name w:val="首行缩进"/>
    <w:basedOn w:val="1"/>
    <w:autoRedefine/>
    <w:qFormat/>
    <w:uiPriority w:val="99"/>
    <w:pPr>
      <w:ind w:firstLine="480" w:firstLineChars="200"/>
    </w:pPr>
    <w:rPr>
      <w:rFonts w:ascii="Calibri" w:hAnsi="Calibri" w:cs="Calibri"/>
      <w:kern w:val="2"/>
      <w:sz w:val="21"/>
      <w:szCs w:val="21"/>
      <w:lang w:val="zh-CN"/>
    </w:rPr>
  </w:style>
  <w:style w:type="paragraph" w:customStyle="1" w:styleId="259">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0">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基本文字 Char"/>
    <w:basedOn w:val="1"/>
    <w:autoRedefine/>
    <w:qFormat/>
    <w:uiPriority w:val="0"/>
    <w:pPr>
      <w:spacing w:before="156" w:line="400" w:lineRule="atLeast"/>
      <w:ind w:firstLine="540" w:firstLineChars="225"/>
    </w:pPr>
  </w:style>
  <w:style w:type="paragraph" w:customStyle="1" w:styleId="2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3">
    <w:name w:val="目录文字"/>
    <w:basedOn w:val="1"/>
    <w:autoRedefine/>
    <w:qFormat/>
    <w:uiPriority w:val="0"/>
    <w:pPr>
      <w:widowControl/>
      <w:spacing w:line="480" w:lineRule="auto"/>
      <w:jc w:val="left"/>
    </w:pPr>
    <w:rPr>
      <w:rFonts w:hAnsi="宋体"/>
    </w:rPr>
  </w:style>
  <w:style w:type="paragraph" w:customStyle="1" w:styleId="264">
    <w:name w:val="普通 (Web)"/>
    <w:basedOn w:val="1"/>
    <w:autoRedefine/>
    <w:qFormat/>
    <w:uiPriority w:val="0"/>
    <w:pPr>
      <w:widowControl/>
      <w:spacing w:before="100" w:beforeAutospacing="1" w:after="100" w:afterAutospacing="1"/>
      <w:jc w:val="left"/>
    </w:pPr>
    <w:rPr>
      <w:rFonts w:hAnsi="宋体"/>
      <w:szCs w:val="24"/>
    </w:rPr>
  </w:style>
  <w:style w:type="paragraph" w:customStyle="1" w:styleId="265">
    <w:name w:val="一级标题"/>
    <w:basedOn w:val="1"/>
    <w:next w:val="236"/>
    <w:autoRedefine/>
    <w:qFormat/>
    <w:uiPriority w:val="0"/>
    <w:pPr>
      <w:tabs>
        <w:tab w:val="left" w:pos="425"/>
      </w:tabs>
      <w:spacing w:afterLines="100"/>
      <w:ind w:left="850" w:hanging="425"/>
      <w:outlineLvl w:val="0"/>
    </w:pPr>
    <w:rPr>
      <w:rFonts w:ascii="黑体" w:eastAsia="黑体"/>
      <w:sz w:val="30"/>
      <w:szCs w:val="28"/>
    </w:rPr>
  </w:style>
  <w:style w:type="paragraph" w:customStyle="1" w:styleId="266">
    <w:name w:val="正文_2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Char Char Char Char Char1"/>
    <w:basedOn w:val="1"/>
    <w:autoRedefine/>
    <w:qFormat/>
    <w:uiPriority w:val="0"/>
    <w:rPr>
      <w:rFonts w:ascii="Tahoma" w:hAnsi="Tahoma"/>
    </w:rPr>
  </w:style>
  <w:style w:type="paragraph" w:customStyle="1" w:styleId="26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9">
    <w:name w:val="段落2"/>
    <w:basedOn w:val="1"/>
    <w:autoRedefine/>
    <w:qFormat/>
    <w:uiPriority w:val="0"/>
    <w:pPr>
      <w:spacing w:line="360" w:lineRule="auto"/>
      <w:ind w:firstLine="480" w:firstLineChars="200"/>
    </w:pPr>
    <w:rPr>
      <w:rFonts w:ascii="Calibri" w:hAnsi="Calibri" w:cs="Courier New"/>
      <w:kern w:val="2"/>
      <w:szCs w:val="21"/>
    </w:rPr>
  </w:style>
  <w:style w:type="paragraph" w:customStyle="1" w:styleId="270">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271">
    <w:name w:val="样式1"/>
    <w:basedOn w:val="1"/>
    <w:autoRedefine/>
    <w:qFormat/>
    <w:uiPriority w:val="0"/>
    <w:pPr>
      <w:tabs>
        <w:tab w:val="left" w:pos="709"/>
      </w:tabs>
      <w:adjustRightInd w:val="0"/>
      <w:ind w:left="709" w:hanging="709"/>
      <w:textAlignment w:val="baseline"/>
    </w:pPr>
    <w:rPr>
      <w:rFonts w:hAnsi="宋体"/>
    </w:rPr>
  </w:style>
  <w:style w:type="paragraph" w:customStyle="1" w:styleId="27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4">
    <w:name w:val="Char10 Char Char Char Char Char Char Char Char Char1"/>
    <w:basedOn w:val="1"/>
    <w:next w:val="1"/>
    <w:autoRedefine/>
    <w:qFormat/>
    <w:uiPriority w:val="0"/>
    <w:rPr>
      <w:rFonts w:ascii="Calibri" w:hAnsi="Calibri"/>
      <w:kern w:val="2"/>
      <w:sz w:val="21"/>
      <w:szCs w:val="22"/>
    </w:rPr>
  </w:style>
  <w:style w:type="paragraph" w:customStyle="1" w:styleId="275">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6">
    <w:name w:val="目录"/>
    <w:basedOn w:val="1"/>
    <w:autoRedefine/>
    <w:qFormat/>
    <w:uiPriority w:val="0"/>
    <w:pPr>
      <w:widowControl/>
      <w:jc w:val="center"/>
    </w:pPr>
    <w:rPr>
      <w:b/>
      <w:sz w:val="36"/>
    </w:rPr>
  </w:style>
  <w:style w:type="paragraph" w:customStyle="1" w:styleId="277">
    <w:name w:val="SUR-需求定义-第4级"/>
    <w:basedOn w:val="6"/>
    <w:next w:val="1"/>
    <w:autoRedefine/>
    <w:qFormat/>
    <w:uiPriority w:val="0"/>
    <w:pPr>
      <w:tabs>
        <w:tab w:val="left" w:pos="1080"/>
      </w:tabs>
      <w:spacing w:before="0" w:after="0"/>
      <w:ind w:left="-283" w:firstLine="283"/>
      <w:jc w:val="left"/>
    </w:pPr>
    <w:rPr>
      <w:rFonts w:cs="Arial"/>
      <w:b w:val="0"/>
      <w:color w:val="0000FF"/>
      <w:sz w:val="24"/>
      <w:szCs w:val="24"/>
    </w:rPr>
  </w:style>
  <w:style w:type="character" w:customStyle="1" w:styleId="278">
    <w:name w:val="日期 字符"/>
    <w:autoRedefine/>
    <w:qFormat/>
    <w:locked/>
    <w:uiPriority w:val="0"/>
    <w:rPr>
      <w:rFonts w:eastAsia="宋体"/>
      <w:b/>
      <w:kern w:val="2"/>
      <w:sz w:val="28"/>
      <w:lang w:val="en-US" w:eastAsia="zh-CN" w:bidi="ar-SA"/>
    </w:rPr>
  </w:style>
  <w:style w:type="character" w:customStyle="1" w:styleId="279">
    <w:name w:val="页眉 字符"/>
    <w:autoRedefine/>
    <w:qFormat/>
    <w:uiPriority w:val="0"/>
    <w:rPr>
      <w:kern w:val="2"/>
      <w:sz w:val="18"/>
      <w:szCs w:val="18"/>
    </w:rPr>
  </w:style>
  <w:style w:type="character" w:customStyle="1" w:styleId="280">
    <w:name w:val="正文文本 (2) + 粗体"/>
    <w:autoRedefine/>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1">
    <w:name w:val="样式 标题 2 + 宋体 五号 行距: 单倍行距"/>
    <w:basedOn w:val="4"/>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2">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3">
    <w:name w:val="xl65"/>
    <w:basedOn w:val="1"/>
    <w:qFormat/>
    <w:uiPriority w:val="0"/>
    <w:pPr>
      <w:widowControl/>
      <w:spacing w:before="100" w:beforeAutospacing="1" w:after="100" w:afterAutospacing="1"/>
      <w:jc w:val="center"/>
    </w:pPr>
    <w:rPr>
      <w:rFonts w:hAnsi="宋体" w:cs="宋体"/>
      <w:szCs w:val="24"/>
    </w:rPr>
  </w:style>
  <w:style w:type="paragraph" w:customStyle="1" w:styleId="284">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6">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510CB-207B-47CE-9295-A558C7FDA0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17177</Words>
  <Characters>18135</Characters>
  <Lines>144</Lines>
  <Paragraphs>40</Paragraphs>
  <TotalTime>0</TotalTime>
  <ScaleCrop>false</ScaleCrop>
  <LinksUpToDate>false</LinksUpToDate>
  <CharactersWithSpaces>18885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2021-02-22T01:21:00Z</dcterms:created>
  <dc:creator>省直科</dc:creator>
  <cp:lastModifiedBy>Administrator</cp:lastModifiedBy>
  <cp:lastPrinted>2020-05-26T06:49:00Z</cp:lastPrinted>
  <dcterms:modified xsi:type="dcterms:W3CDTF">2024-01-19T00:51:32Z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E82811BAC73B460492FA5805AC713E34</vt:lpwstr>
  </property>
</Properties>
</file>