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highlight w:val="none"/>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highlight w:val="none"/>
          <w14:shadow w14:blurRad="50800" w14:dist="38100" w14:dir="2700000" w14:sx="100000" w14:sy="100000" w14:kx="0" w14:ky="0" w14:algn="tl">
            <w14:srgbClr w14:val="000000">
              <w14:alpha w14:val="60000"/>
            </w14:srgbClr>
          </w14:shadow>
        </w:rPr>
        <w:t>合肥经济技术开发区公用事业发展有限公司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highlight w:val="none"/>
        </w:rPr>
      </w:pPr>
      <w:r>
        <w:rPr>
          <w:rFonts w:hint="eastAsia" w:ascii="黑体" w:hAnsi="黑体" w:eastAsia="黑体"/>
          <w:b/>
          <w:bCs/>
          <w:color w:val="000000"/>
          <w:sz w:val="52"/>
          <w:szCs w:val="52"/>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ind w:firstLine="1170" w:firstLineChars="345"/>
        <w:jc w:val="left"/>
        <w:rPr>
          <w:rFonts w:hAnsi="DotumChe" w:cs="宋体"/>
          <w:b/>
          <w:color w:val="000000"/>
          <w:spacing w:val="20"/>
          <w:sz w:val="32"/>
          <w:szCs w:val="32"/>
          <w:highlight w:val="none"/>
        </w:rPr>
      </w:pPr>
      <w:r>
        <w:rPr>
          <w:rFonts w:hint="eastAsia" w:hAnsi="DotumChe" w:cs="宋体"/>
          <w:b/>
          <w:color w:val="000000"/>
          <w:spacing w:val="20"/>
          <w:sz w:val="32"/>
          <w:szCs w:val="32"/>
          <w:highlight w:val="none"/>
        </w:rPr>
        <w:t>项目名称：高刘污水处理厂排水口在线监测维保服务</w:t>
      </w:r>
    </w:p>
    <w:p>
      <w:pPr>
        <w:autoSpaceDE w:val="0"/>
        <w:autoSpaceDN w:val="0"/>
        <w:adjustRightInd w:val="0"/>
        <w:ind w:firstLine="1166" w:firstLineChars="344"/>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项目编号：GYGSZB-20230</w:t>
      </w:r>
      <w:r>
        <w:rPr>
          <w:rFonts w:hint="eastAsia" w:hAnsi="DotumChe" w:cs="宋体"/>
          <w:b/>
          <w:color w:val="000000"/>
          <w:spacing w:val="20"/>
          <w:sz w:val="32"/>
          <w:szCs w:val="32"/>
          <w:highlight w:val="none"/>
          <w:lang w:val="en-US" w:eastAsia="zh-CN"/>
        </w:rPr>
        <w:t>25</w:t>
      </w:r>
    </w:p>
    <w:p>
      <w:pPr>
        <w:tabs>
          <w:tab w:val="left" w:pos="2410"/>
        </w:tabs>
        <w:autoSpaceDE w:val="0"/>
        <w:autoSpaceDN w:val="0"/>
        <w:adjustRightInd w:val="0"/>
        <w:snapToGrid w:val="0"/>
        <w:spacing w:line="360" w:lineRule="auto"/>
        <w:ind w:firstLine="1179" w:firstLineChars="348"/>
        <w:jc w:val="left"/>
        <w:rPr>
          <w:rFonts w:hAnsi="DotumChe" w:cs="宋体"/>
          <w:b/>
          <w:color w:val="000000"/>
          <w:spacing w:val="20"/>
          <w:sz w:val="32"/>
          <w:szCs w:val="32"/>
          <w:highlight w:val="none"/>
        </w:rPr>
      </w:pPr>
      <w:r>
        <w:rPr>
          <w:rFonts w:hint="eastAsia" w:hAnsi="DotumChe" w:cs="宋体"/>
          <w:b/>
          <w:color w:val="000000"/>
          <w:spacing w:val="20"/>
          <w:sz w:val="32"/>
          <w:szCs w:val="32"/>
          <w:highlight w:val="none"/>
        </w:rPr>
        <w:t>采购时间：2023年</w:t>
      </w:r>
      <w:r>
        <w:rPr>
          <w:rFonts w:hint="eastAsia" w:hAnsi="DotumChe" w:cs="宋体"/>
          <w:b/>
          <w:color w:val="000000"/>
          <w:spacing w:val="20"/>
          <w:sz w:val="32"/>
          <w:szCs w:val="32"/>
          <w:highlight w:val="none"/>
          <w:lang w:val="en-US" w:eastAsia="zh-CN"/>
        </w:rPr>
        <w:t>8</w:t>
      </w:r>
      <w:r>
        <w:rPr>
          <w:rFonts w:hint="eastAsia" w:hAnsi="DotumChe" w:cs="宋体"/>
          <w:b/>
          <w:color w:val="000000"/>
          <w:spacing w:val="20"/>
          <w:sz w:val="32"/>
          <w:szCs w:val="32"/>
          <w:highlight w:val="none"/>
        </w:rPr>
        <w:t>月</w:t>
      </w:r>
    </w:p>
    <w:p>
      <w:pPr>
        <w:pStyle w:val="27"/>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3"/>
        <w:tabs>
          <w:tab w:val="right" w:leader="dot" w:pos="9628"/>
        </w:tabs>
        <w:spacing w:line="360" w:lineRule="auto"/>
        <w:rPr>
          <w:rStyle w:val="72"/>
          <w:color w:val="000000"/>
          <w:sz w:val="28"/>
          <w:szCs w:val="28"/>
          <w:highlight w:val="none"/>
          <w:u w:val="none"/>
        </w:rPr>
      </w:pPr>
      <w:bookmarkStart w:id="0" w:name="_Hlt519045295"/>
      <w:bookmarkEnd w:id="0"/>
      <w:bookmarkStart w:id="1" w:name="_Hlt526418134"/>
      <w:bookmarkEnd w:id="1"/>
      <w:bookmarkStart w:id="2" w:name="_Hlt533241375"/>
      <w:bookmarkEnd w:id="2"/>
      <w:r>
        <w:rPr>
          <w:rStyle w:val="72"/>
          <w:rFonts w:hint="eastAsia"/>
          <w:color w:val="000000"/>
          <w:sz w:val="28"/>
          <w:szCs w:val="28"/>
          <w:highlight w:val="none"/>
          <w:u w:val="none"/>
        </w:rPr>
        <w:t>一、投标公告......... .... .... .... ................................3</w:t>
      </w:r>
    </w:p>
    <w:p>
      <w:pPr>
        <w:pStyle w:val="43"/>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72"/>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72"/>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72"/>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72"/>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3"/>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72"/>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72"/>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72"/>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5"/>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72"/>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3"/>
        <w:tabs>
          <w:tab w:val="right" w:leader="dot" w:pos="8965"/>
        </w:tabs>
        <w:rPr>
          <w:rStyle w:val="72"/>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72"/>
          <w:rFonts w:hint="eastAsia" w:hAnsi="宋体"/>
          <w:color w:val="000000"/>
          <w:sz w:val="28"/>
          <w:szCs w:val="28"/>
          <w:highlight w:val="none"/>
        </w:rPr>
        <w:t>四</w:t>
      </w:r>
      <w:r>
        <w:rPr>
          <w:rStyle w:val="72"/>
          <w:rFonts w:hAnsi="宋体"/>
          <w:color w:val="000000"/>
          <w:sz w:val="28"/>
          <w:szCs w:val="28"/>
          <w:highlight w:val="none"/>
        </w:rPr>
        <w:t>、</w:t>
      </w:r>
      <w:r>
        <w:rPr>
          <w:rStyle w:val="72"/>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72"/>
          <w:rFonts w:hint="eastAsia" w:hAnsi="宋体"/>
          <w:color w:val="000000"/>
          <w:sz w:val="28"/>
          <w:szCs w:val="28"/>
          <w:highlight w:val="none"/>
        </w:rPr>
        <w:t>五、采购</w:t>
      </w:r>
      <w:bookmarkStart w:id="3" w:name="_Hlt527617983"/>
      <w:bookmarkStart w:id="4" w:name="_Hlt527617982"/>
      <w:r>
        <w:rPr>
          <w:rStyle w:val="72"/>
          <w:rFonts w:hint="eastAsia" w:hAnsi="宋体"/>
          <w:color w:val="000000"/>
          <w:sz w:val="28"/>
          <w:szCs w:val="28"/>
          <w:highlight w:val="none"/>
        </w:rPr>
        <w:t>需</w:t>
      </w:r>
      <w:bookmarkEnd w:id="3"/>
      <w:bookmarkEnd w:id="4"/>
      <w:r>
        <w:rPr>
          <w:rStyle w:val="72"/>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3"/>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72"/>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3"/>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3"/>
        <w:tabs>
          <w:tab w:val="right" w:leader="dot" w:pos="9628"/>
        </w:tabs>
        <w:spacing w:before="0" w:after="0" w:line="480" w:lineRule="auto"/>
        <w:jc w:val="center"/>
        <w:outlineLvl w:val="0"/>
        <w:rPr>
          <w:rFonts w:hAnsi="宋体" w:cs="宋体"/>
          <w:bCs/>
          <w:caps w:val="0"/>
          <w:color w:val="000000"/>
          <w:sz w:val="28"/>
          <w:highlight w:val="none"/>
        </w:rPr>
      </w:pPr>
    </w:p>
    <w:p>
      <w:pPr>
        <w:pStyle w:val="43"/>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widowControl/>
        <w:spacing w:line="440" w:lineRule="exact"/>
        <w:ind w:firstLine="438" w:firstLineChars="200"/>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合肥经济技术开发区公用事业发展有限公司 （以下简称公用公司）</w:t>
      </w:r>
      <w:r>
        <w:rPr>
          <w:rFonts w:hint="eastAsia" w:hAnsi="宋体" w:cs="宋体"/>
          <w:color w:val="000000"/>
          <w:highlight w:val="none"/>
        </w:rPr>
        <w:t>“高刘污水处理厂排水口在线监测维保服务”项目进行公开招标，欢迎符合条件的单位参加报价。</w:t>
      </w:r>
    </w:p>
    <w:p>
      <w:pPr>
        <w:autoSpaceDE w:val="0"/>
        <w:autoSpaceDN w:val="0"/>
        <w:adjustRightInd w:val="0"/>
        <w:spacing w:line="360" w:lineRule="auto"/>
        <w:ind w:firstLine="215" w:firstLineChars="98"/>
        <w:jc w:val="left"/>
        <w:rPr>
          <w:rFonts w:hAnsi="宋体"/>
          <w:b/>
          <w:bCs/>
          <w:color w:val="000000"/>
          <w:szCs w:val="18"/>
          <w:highlight w:val="none"/>
        </w:rPr>
      </w:pPr>
      <w:r>
        <w:rPr>
          <w:rFonts w:hint="eastAsia" w:hAnsi="宋体"/>
          <w:b/>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eastAsia="宋体"/>
          <w:color w:val="000000"/>
          <w:szCs w:val="18"/>
          <w:highlight w:val="none"/>
          <w:lang w:val="en-US" w:eastAsia="zh-CN"/>
        </w:rPr>
      </w:pPr>
      <w:r>
        <w:rPr>
          <w:rFonts w:hint="eastAsia" w:hAnsi="宋体"/>
          <w:color w:val="000000"/>
          <w:szCs w:val="18"/>
          <w:highlight w:val="none"/>
        </w:rPr>
        <w:t>1、项目编号： GYGSZB-20230</w:t>
      </w:r>
      <w:r>
        <w:rPr>
          <w:rFonts w:hint="eastAsia" w:hAnsi="宋体"/>
          <w:color w:val="000000"/>
          <w:szCs w:val="18"/>
          <w:highlight w:val="none"/>
          <w:lang w:val="en-US" w:eastAsia="zh-CN"/>
        </w:rPr>
        <w:t>25</w:t>
      </w:r>
    </w:p>
    <w:p>
      <w:pPr>
        <w:autoSpaceDE w:val="0"/>
        <w:autoSpaceDN w:val="0"/>
        <w:adjustRightInd w:val="0"/>
        <w:spacing w:line="360" w:lineRule="auto"/>
        <w:ind w:firstLine="438" w:firstLineChars="200"/>
        <w:jc w:val="left"/>
        <w:rPr>
          <w:rFonts w:hAnsi="宋体" w:cs="宋体"/>
          <w:b/>
          <w:color w:val="000000"/>
          <w:highlight w:val="none"/>
        </w:rPr>
      </w:pPr>
      <w:r>
        <w:rPr>
          <w:rFonts w:hint="eastAsia" w:hAnsi="宋体"/>
          <w:color w:val="000000"/>
          <w:szCs w:val="18"/>
          <w:highlight w:val="none"/>
        </w:rPr>
        <w:t>2、项目名称：高刘污水处理厂排水口在线监测维保服务</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3、项目地点：合肥经开区北区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4、项目单位：合肥经济技术开发区公用事业发展有限公司 （以下简称公用公司）</w:t>
      </w:r>
    </w:p>
    <w:p>
      <w:pPr>
        <w:spacing w:line="360" w:lineRule="auto"/>
        <w:ind w:firstLine="438" w:firstLineChars="200"/>
        <w:rPr>
          <w:rFonts w:hint="default" w:hAnsi="宋体" w:eastAsia="宋体"/>
          <w:szCs w:val="18"/>
          <w:highlight w:val="none"/>
          <w:lang w:val="en-US" w:eastAsia="zh-CN"/>
        </w:rPr>
      </w:pPr>
      <w:r>
        <w:rPr>
          <w:rFonts w:hint="eastAsia" w:hAnsi="宋体"/>
          <w:color w:val="000000"/>
          <w:szCs w:val="18"/>
          <w:highlight w:val="none"/>
        </w:rPr>
        <w:t>5、项目概况：</w:t>
      </w:r>
      <w:r>
        <w:rPr>
          <w:rFonts w:hint="eastAsia"/>
          <w:b w:val="0"/>
          <w:bCs w:val="0"/>
          <w:color w:val="000000"/>
          <w:sz w:val="24"/>
          <w:szCs w:val="18"/>
          <w:highlight w:val="none"/>
        </w:rPr>
        <w:t>合肥</w:t>
      </w:r>
      <w:r>
        <w:rPr>
          <w:rFonts w:hint="eastAsia"/>
          <w:b w:val="0"/>
          <w:bCs w:val="0"/>
          <w:color w:val="000000"/>
          <w:sz w:val="24"/>
          <w:szCs w:val="18"/>
          <w:highlight w:val="none"/>
          <w:lang w:val="en-US" w:eastAsia="zh-CN"/>
        </w:rPr>
        <w:t>金晶水务有限公司</w:t>
      </w:r>
      <w:r>
        <w:rPr>
          <w:rFonts w:hint="eastAsia" w:hAnsi="宋体"/>
          <w:color w:val="000000"/>
          <w:szCs w:val="18"/>
          <w:highlight w:val="none"/>
        </w:rPr>
        <w:t>高刘污水处理厂</w:t>
      </w:r>
      <w:r>
        <w:rPr>
          <w:rFonts w:hint="eastAsia" w:hAnsi="宋体"/>
          <w:highlight w:val="none"/>
        </w:rPr>
        <w:t>因业务需要招标</w:t>
      </w:r>
      <w:r>
        <w:rPr>
          <w:rFonts w:hint="eastAsia" w:hAnsi="宋体"/>
          <w:color w:val="000000"/>
          <w:szCs w:val="18"/>
          <w:highlight w:val="none"/>
        </w:rPr>
        <w:t>排水口在线监测维保</w:t>
      </w:r>
      <w:r>
        <w:rPr>
          <w:rFonts w:hint="eastAsia" w:hAnsi="宋体"/>
          <w:highlight w:val="none"/>
        </w:rPr>
        <w:t>服务单位。</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90600元</w:t>
      </w:r>
      <w:r>
        <w:rPr>
          <w:rFonts w:hint="eastAsia" w:hAnsi="宋体"/>
          <w:color w:val="000000"/>
          <w:szCs w:val="18"/>
          <w:highlight w:val="none"/>
        </w:rPr>
        <w:t>。</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8、项目类别：服务类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（二）供应商资格</w:t>
      </w:r>
    </w:p>
    <w:p>
      <w:pPr>
        <w:spacing w:line="360" w:lineRule="auto"/>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1、符合《中华人民共和国政府采购法》第二十二条规定；</w:t>
      </w:r>
    </w:p>
    <w:p>
      <w:pPr>
        <w:spacing w:line="360" w:lineRule="auto"/>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2、本项目不接受联合体投标；</w:t>
      </w:r>
    </w:p>
    <w:p>
      <w:pPr>
        <w:pStyle w:val="28"/>
        <w:rPr>
          <w:rFonts w:hint="default"/>
          <w:lang w:val="en-US" w:eastAsia="zh-CN"/>
        </w:rPr>
      </w:pPr>
      <w:r>
        <w:rPr>
          <w:rFonts w:hint="eastAsia" w:ascii="宋体" w:hAnsi="宋体" w:eastAsia="宋体"/>
          <w:b w:val="0"/>
          <w:bCs w:val="0"/>
          <w:sz w:val="24"/>
          <w:szCs w:val="18"/>
          <w:lang w:val="en-US" w:eastAsia="zh-CN"/>
        </w:rPr>
        <w:t>3、具有本地化服务能力；</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lang w:val="en-US" w:eastAsia="zh-CN"/>
        </w:rPr>
        <w:t>4</w:t>
      </w:r>
      <w:r>
        <w:rPr>
          <w:rFonts w:hint="eastAsia" w:ascii="宋体" w:hAnsi="宋体" w:eastAsia="宋体"/>
          <w:b w:val="0"/>
          <w:bCs w:val="0"/>
          <w:sz w:val="24"/>
          <w:szCs w:val="18"/>
        </w:rPr>
        <w:t>、供应商存在以下不良信用记录情形之一的，不得推荐为成交候选供应商，不得确定为成交供应商：</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rPr>
        <w:t>（1）供应商被人民法院列入失信被执行人的；</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rPr>
        <w:t>（2）供应商或其法定代表人或拟派项目经理（项目负责人）被人民检察院列入行贿犯罪档案的；</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rPr>
        <w:t>（3）供应商被工商行政管理部门列入企业经营异常名录的；</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rPr>
        <w:t>（4）供应商被税务部门列入重大税收违法案件当事人名单的；</w:t>
      </w:r>
    </w:p>
    <w:p>
      <w:pPr>
        <w:spacing w:line="360" w:lineRule="auto"/>
        <w:rPr>
          <w:rFonts w:hint="eastAsia" w:ascii="宋体" w:hAnsi="宋体" w:eastAsia="宋体"/>
          <w:b w:val="0"/>
          <w:bCs w:val="0"/>
          <w:sz w:val="24"/>
          <w:szCs w:val="18"/>
        </w:rPr>
      </w:pPr>
      <w:r>
        <w:rPr>
          <w:rFonts w:hint="eastAsia" w:ascii="宋体" w:hAnsi="宋体" w:eastAsia="宋体"/>
          <w:b w:val="0"/>
          <w:bCs w:val="0"/>
          <w:sz w:val="24"/>
          <w:szCs w:val="18"/>
        </w:rPr>
        <w:t>（5）供应商被政府采购监管部门列入政府采购严重违法失信行为记录名单的。</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 xml:space="preserve">1、开标时间：2023年 </w:t>
      </w:r>
      <w:r>
        <w:rPr>
          <w:rFonts w:hint="eastAsia" w:hAnsi="宋体"/>
          <w:color w:val="000000"/>
          <w:szCs w:val="18"/>
          <w:highlight w:val="none"/>
          <w:lang w:val="en-US" w:eastAsia="zh-CN"/>
        </w:rPr>
        <w:t>8</w:t>
      </w:r>
      <w:r>
        <w:rPr>
          <w:rFonts w:hint="eastAsia" w:hAnsi="宋体"/>
          <w:color w:val="000000"/>
          <w:szCs w:val="18"/>
          <w:highlight w:val="none"/>
        </w:rPr>
        <w:t xml:space="preserve"> 月</w:t>
      </w:r>
      <w:r>
        <w:rPr>
          <w:rFonts w:hint="eastAsia" w:hAnsi="宋体"/>
          <w:color w:val="000000"/>
          <w:szCs w:val="18"/>
          <w:highlight w:val="none"/>
          <w:lang w:val="en-US" w:eastAsia="zh-CN"/>
        </w:rPr>
        <w:t>30</w:t>
      </w:r>
      <w:r>
        <w:rPr>
          <w:rFonts w:hint="eastAsia" w:hAnsi="宋体"/>
          <w:color w:val="000000"/>
          <w:szCs w:val="18"/>
          <w:highlight w:val="none"/>
        </w:rPr>
        <w:t xml:space="preserve">日10：00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2、开标地点：合肥经济技术开发区繁华大道266号合肥经济技术开发区公用事业发展有限公司314开标室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（一）项目单位：合肥经济技术开发区公用事业发展有限公司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w:t>
      </w:r>
    </w:p>
    <w:p>
      <w:pPr>
        <w:widowControl/>
        <w:spacing w:line="440" w:lineRule="exact"/>
        <w:ind w:firstLine="438" w:firstLineChars="200"/>
        <w:jc w:val="left"/>
        <w:rPr>
          <w:rFonts w:hAnsi="宋体" w:cs="宋体"/>
          <w:highlight w:val="none"/>
        </w:rPr>
      </w:pPr>
      <w:r>
        <w:rPr>
          <w:rFonts w:hint="eastAsia" w:hAnsi="宋体" w:cs="宋体"/>
          <w:highlight w:val="none"/>
        </w:rPr>
        <w:t xml:space="preserve">项目采购联系人：张静 </w:t>
      </w:r>
      <w:r>
        <w:rPr>
          <w:rFonts w:hAnsi="宋体" w:cs="宋体"/>
          <w:highlight w:val="none"/>
        </w:rPr>
        <w:t xml:space="preserve"> </w:t>
      </w:r>
      <w:r>
        <w:rPr>
          <w:rFonts w:hint="eastAsia" w:hAnsi="宋体" w:cs="宋体"/>
          <w:highlight w:val="none"/>
        </w:rPr>
        <w:t xml:space="preserve">   电话：0551-6381</w:t>
      </w:r>
      <w:r>
        <w:rPr>
          <w:rFonts w:hAnsi="宋体" w:cs="宋体"/>
          <w:highlight w:val="none"/>
        </w:rPr>
        <w:t>1071</w:t>
      </w:r>
      <w:r>
        <w:rPr>
          <w:rFonts w:hint="eastAsia" w:hAnsi="宋体" w:cs="宋体"/>
          <w:color w:val="000000"/>
          <w:szCs w:val="21"/>
          <w:highlight w:val="none"/>
        </w:rPr>
        <w:t xml:space="preserve">  </w:t>
      </w:r>
    </w:p>
    <w:p>
      <w:pPr>
        <w:widowControl/>
        <w:spacing w:line="440" w:lineRule="exact"/>
        <w:ind w:firstLine="438"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王瑞</w:t>
      </w:r>
      <w:r>
        <w:rPr>
          <w:rFonts w:hAnsi="宋体" w:cs="宋体"/>
          <w:highlight w:val="none"/>
        </w:rPr>
        <w:t xml:space="preserve"> </w:t>
      </w:r>
      <w:r>
        <w:rPr>
          <w:rFonts w:hint="eastAsia" w:hAnsi="宋体" w:cs="宋体"/>
          <w:highlight w:val="none"/>
        </w:rPr>
        <w:t xml:space="preserve">  </w:t>
      </w:r>
      <w:r>
        <w:rPr>
          <w:rFonts w:hint="eastAsia" w:hAnsi="宋体" w:cs="宋体"/>
          <w:highlight w:val="none"/>
          <w:lang w:val="en-US" w:eastAsia="zh-CN"/>
        </w:rPr>
        <w:t xml:space="preserve">  </w:t>
      </w:r>
      <w:r>
        <w:rPr>
          <w:rFonts w:hint="eastAsia" w:hAnsi="宋体" w:cs="宋体"/>
          <w:highlight w:val="none"/>
        </w:rPr>
        <w:t>电话：0551-</w:t>
      </w:r>
      <w:r>
        <w:rPr>
          <w:rFonts w:hint="eastAsia" w:hAnsi="宋体" w:cs="宋体"/>
          <w:highlight w:val="none"/>
          <w:lang w:val="en-US" w:eastAsia="zh-CN"/>
        </w:rPr>
        <w:t>68937365</w:t>
      </w:r>
      <w:r>
        <w:rPr>
          <w:rFonts w:hint="eastAsia" w:hAnsi="宋体" w:cs="宋体"/>
          <w:color w:val="000000"/>
          <w:szCs w:val="21"/>
          <w:highlight w:val="none"/>
        </w:rPr>
        <w:t xml:space="preserve">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s="宋体"/>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4"/>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4"/>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autoSpaceDE w:val="0"/>
              <w:autoSpaceDN w:val="0"/>
              <w:adjustRightInd w:val="0"/>
              <w:spacing w:line="360" w:lineRule="auto"/>
              <w:jc w:val="left"/>
              <w:rPr>
                <w:rFonts w:hint="default" w:eastAsia="宋体"/>
                <w:b w:val="0"/>
                <w:bCs w:val="0"/>
                <w:color w:val="000000"/>
                <w:sz w:val="24"/>
                <w:szCs w:val="24"/>
                <w:highlight w:val="none"/>
                <w:lang w:val="en-US" w:eastAsia="zh-CN"/>
              </w:rPr>
            </w:pPr>
            <w:r>
              <w:rPr>
                <w:rFonts w:hint="eastAsia" w:hAnsi="宋体"/>
                <w:color w:val="000000"/>
                <w:szCs w:val="18"/>
                <w:highlight w:val="none"/>
              </w:rPr>
              <w:t>高刘污水处理厂排水口在线监测维保服务</w:t>
            </w:r>
            <w:r>
              <w:rPr>
                <w:rFonts w:hint="eastAsia" w:hAnsi="宋体"/>
                <w:color w:val="000000"/>
                <w:szCs w:val="18"/>
                <w:highlight w:val="none"/>
                <w:lang w:val="en-US" w:eastAsia="zh-CN"/>
              </w:rPr>
              <w:t xml:space="preserve"> </w:t>
            </w:r>
            <w:r>
              <w:rPr>
                <w:rFonts w:hint="eastAsia"/>
                <w:b w:val="0"/>
                <w:bCs w:val="0"/>
                <w:color w:val="000000"/>
                <w:sz w:val="24"/>
                <w:szCs w:val="18"/>
                <w:highlight w:val="none"/>
              </w:rPr>
              <w:t>GYGSZB-</w:t>
            </w:r>
            <w:r>
              <w:rPr>
                <w:rFonts w:hint="eastAsia" w:hAnsi="宋体"/>
                <w:color w:val="000000"/>
                <w:szCs w:val="18"/>
                <w:highlight w:val="none"/>
              </w:rPr>
              <w:t>20230</w:t>
            </w:r>
            <w:r>
              <w:rPr>
                <w:rFonts w:hint="eastAsia" w:hAnsi="宋体"/>
                <w:color w:val="000000"/>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highlight w:val="none"/>
              </w:rPr>
            </w:pPr>
            <w:r>
              <w:rPr>
                <w:rFonts w:hint="eastAsia" w:hAnsi="宋体"/>
                <w:highlight w:val="none"/>
              </w:rPr>
              <w:t>供应商资格</w:t>
            </w:r>
          </w:p>
        </w:tc>
        <w:tc>
          <w:tcPr>
            <w:tcW w:w="7223" w:type="dxa"/>
            <w:vAlign w:val="center"/>
          </w:tcPr>
          <w:p>
            <w:pPr>
              <w:autoSpaceDE w:val="0"/>
              <w:autoSpaceDN w:val="0"/>
              <w:adjustRightInd w:val="0"/>
              <w:spacing w:line="360" w:lineRule="auto"/>
              <w:jc w:val="left"/>
              <w:rPr>
                <w:b/>
                <w:bCs/>
                <w:color w:val="000000"/>
                <w:szCs w:val="24"/>
                <w:highlight w:val="none"/>
              </w:rPr>
            </w:pPr>
            <w:r>
              <w:rPr>
                <w:rFonts w:hint="eastAsia" w:hAnsi="宋体"/>
                <w:color w:val="000000"/>
                <w:szCs w:val="18"/>
                <w:highlight w:val="none"/>
              </w:rPr>
              <w:t>1、符合《中华人民共和国政府采购法》第二十二条规定；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4"/>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spacing w:line="520" w:lineRule="exact"/>
              <w:rPr>
                <w:rFonts w:ascii="Tahoma" w:hAnsi="宋体" w:cs="宋体"/>
                <w:color w:val="000000"/>
                <w:szCs w:val="21"/>
                <w:highlight w:val="none"/>
              </w:rPr>
            </w:pPr>
            <w:r>
              <w:rPr>
                <w:rFonts w:hint="eastAsia" w:ascii="Tahoma" w:hAnsi="宋体" w:cs="宋体"/>
                <w:color w:val="000000"/>
                <w:szCs w:val="21"/>
                <w:highlight w:val="none"/>
              </w:rPr>
              <w:t>付款方式：每半年完成现场服务后，按照合同条款规定价格予以支付，共支付2次，每次付款50%。费用结算一律采用转账方式办理，不使用现金。</w:t>
            </w:r>
          </w:p>
          <w:p>
            <w:pPr>
              <w:pStyle w:val="222"/>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5"/>
              <w:spacing w:line="360" w:lineRule="auto"/>
              <w:ind w:firstLine="0" w:firstLineChars="0"/>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1、服务</w:t>
            </w:r>
            <w:r>
              <w:rPr>
                <w:rFonts w:hint="eastAsia" w:cs="仿宋_GB2312" w:asciiTheme="minorEastAsia" w:hAnsiTheme="minorEastAsia" w:eastAsiaTheme="minorEastAsia"/>
                <w:sz w:val="24"/>
                <w:szCs w:val="24"/>
                <w:highlight w:val="none"/>
              </w:rPr>
              <w:t>期限：1+</w:t>
            </w:r>
            <w:r>
              <w:rPr>
                <w:rFonts w:cs="仿宋_GB2312" w:asciiTheme="minorEastAsia" w:hAnsiTheme="minorEastAsia" w:eastAsiaTheme="minorEastAsia"/>
                <w:sz w:val="24"/>
                <w:szCs w:val="24"/>
                <w:highlight w:val="none"/>
              </w:rPr>
              <w:t>X</w:t>
            </w:r>
            <w:r>
              <w:rPr>
                <w:rFonts w:hint="eastAsia" w:cs="仿宋_GB2312" w:asciiTheme="minorEastAsia" w:hAnsiTheme="minorEastAsia" w:eastAsiaTheme="minorEastAsia"/>
                <w:sz w:val="24"/>
                <w:szCs w:val="24"/>
                <w:highlight w:val="none"/>
              </w:rPr>
              <w:t>年（X≤</w:t>
            </w:r>
            <w:r>
              <w:rPr>
                <w:rFonts w:cs="仿宋_GB2312" w:asciiTheme="minorEastAsia" w:hAnsiTheme="minorEastAsia" w:eastAsiaTheme="minorEastAsia"/>
                <w:sz w:val="24"/>
                <w:szCs w:val="24"/>
                <w:highlight w:val="none"/>
              </w:rPr>
              <w:t>2</w:t>
            </w:r>
            <w:r>
              <w:rPr>
                <w:rFonts w:hint="eastAsia" w:cs="仿宋_GB2312" w:asciiTheme="minorEastAsia" w:hAnsiTheme="minorEastAsia" w:eastAsiaTheme="minorEastAsia"/>
                <w:sz w:val="24"/>
                <w:szCs w:val="24"/>
                <w:highlight w:val="none"/>
              </w:rPr>
              <w:t>），</w:t>
            </w:r>
            <w:r>
              <w:rPr>
                <w:rFonts w:cs="仿宋_GB2312" w:asciiTheme="minorEastAsia" w:hAnsiTheme="minorEastAsia" w:eastAsiaTheme="minorEastAsia"/>
                <w:sz w:val="24"/>
                <w:szCs w:val="24"/>
                <w:highlight w:val="none"/>
              </w:rPr>
              <w:t>合同期满后根据履约情况，经合同双方协商一致，可续签合同，合同金额、服务内容保持不变。</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r>
              <w:rPr>
                <w:rFonts w:asciiTheme="minorEastAsia" w:hAnsiTheme="minorEastAsia" w:eastAsiaTheme="minorEastAsia"/>
                <w:color w:val="FF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color w:val="FF0000"/>
                <w:szCs w:val="24"/>
                <w:highlight w:val="none"/>
                <w:u w:val="single"/>
              </w:rPr>
              <w:t>0</w:t>
            </w:r>
            <w:r>
              <w:rPr>
                <w:rFonts w:hint="eastAsia" w:hAnsi="宋体" w:cs="宋体"/>
                <w:b/>
                <w:color w:val="000000"/>
                <w:szCs w:val="24"/>
                <w:highlight w:val="none"/>
              </w:rPr>
              <w:t>元</w:t>
            </w:r>
            <w:r>
              <w:rPr>
                <w:rFonts w:hint="eastAsia" w:hAnsi="宋体"/>
                <w:b/>
                <w:color w:val="000000"/>
                <w:szCs w:val="28"/>
                <w:highlight w:val="none"/>
              </w:rPr>
              <w:t>。</w:t>
            </w:r>
            <w:r>
              <w:rPr>
                <w:rFonts w:hint="eastAsia" w:hAnsi="宋体"/>
                <w:color w:val="000000"/>
                <w:highlight w:val="none"/>
              </w:rPr>
              <w:t>投标保证金应当在投标截止时间前足额到达招标公告指定账号。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7"/>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2023年 </w:t>
            </w:r>
            <w:r>
              <w:rPr>
                <w:rFonts w:hint="eastAsia" w:hAnsi="宋体"/>
                <w:b/>
                <w:bCs/>
                <w:color w:val="000000"/>
                <w:highlight w:val="none"/>
                <w:lang w:val="en-US" w:eastAsia="zh-CN"/>
              </w:rPr>
              <w:t>8</w:t>
            </w:r>
            <w:r>
              <w:rPr>
                <w:rFonts w:hint="eastAsia" w:hAnsi="宋体"/>
                <w:b/>
                <w:bCs/>
                <w:color w:val="000000"/>
                <w:highlight w:val="none"/>
              </w:rPr>
              <w:t xml:space="preserve"> 月 </w:t>
            </w:r>
            <w:r>
              <w:rPr>
                <w:rFonts w:hint="eastAsia" w:hAnsi="宋体"/>
                <w:b/>
                <w:bCs/>
                <w:color w:val="000000"/>
                <w:highlight w:val="none"/>
                <w:lang w:val="en-US" w:eastAsia="zh-CN"/>
              </w:rPr>
              <w:t>29</w:t>
            </w:r>
            <w:r>
              <w:rPr>
                <w:rFonts w:hint="eastAsia" w:hAnsi="宋体"/>
                <w:b/>
                <w:bCs/>
                <w:color w:val="000000"/>
                <w:highlight w:val="none"/>
              </w:rPr>
              <w:t>日17:30时前接受网上答疑（逾期不予受理），疑问的提出与答疑获取详见招标文件第三章投标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本项目无履约保证金。</w:t>
            </w:r>
          </w:p>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0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p>
          <w:p>
            <w:pPr>
              <w:spacing w:line="360" w:lineRule="auto"/>
              <w:rPr>
                <w:rFonts w:hAnsi="宋体"/>
                <w:color w:val="000000"/>
                <w:highlight w:val="none"/>
              </w:rPr>
            </w:pPr>
            <w:r>
              <w:rPr>
                <w:rFonts w:hint="eastAsia" w:hAnsi="宋体"/>
                <w:color w:val="000000"/>
                <w:highlight w:val="none"/>
              </w:rPr>
              <w:t>收受方式为：□</w:t>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b/>
                <w:bCs/>
                <w:color w:val="000000"/>
                <w:highlight w:val="none"/>
                <w:u w:val="single"/>
              </w:rPr>
              <w:sym w:font="Wingdings" w:char="00FE"/>
            </w:r>
            <w:r>
              <w:rPr>
                <w:rFonts w:hint="eastAsia" w:hAnsi="宋体"/>
                <w:color w:val="000000"/>
                <w:highlight w:val="none"/>
              </w:rPr>
              <w:t>要求□不要求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rFonts w:hint="default" w:eastAsia="宋体"/>
                <w:color w:val="000000"/>
                <w:highlight w:val="none"/>
                <w:lang w:val="en-US" w:eastAsia="zh-CN"/>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6"/>
        <w:spacing w:before="0" w:after="0" w:line="360" w:lineRule="auto"/>
        <w:ind w:firstLine="438" w:firstLineChars="200"/>
        <w:rPr>
          <w:rFonts w:ascii="宋体" w:hAnsi="宋体" w:eastAsia="宋体"/>
          <w:color w:val="000000"/>
          <w:sz w:val="24"/>
          <w:szCs w:val="24"/>
          <w:highlight w:val="none"/>
        </w:rPr>
      </w:pPr>
      <w:bookmarkStart w:id="11" w:name="_Hlt509650126"/>
      <w:bookmarkEnd w:id="11"/>
      <w:bookmarkStart w:id="12" w:name="_Hlt509649998"/>
      <w:bookmarkEnd w:id="12"/>
      <w:bookmarkStart w:id="13" w:name="_Hlt509649722"/>
      <w:bookmarkEnd w:id="13"/>
      <w:bookmarkStart w:id="14" w:name="_Hlt526418143"/>
      <w:bookmarkEnd w:id="14"/>
      <w:bookmarkStart w:id="15" w:name="_Hlt509650955"/>
      <w:bookmarkEnd w:id="15"/>
      <w:bookmarkStart w:id="16" w:name="_Hlt509650686"/>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103"/>
      <w:bookmarkEnd w:id="18"/>
      <w:bookmarkStart w:id="19" w:name="_Hlt509649330"/>
      <w:bookmarkEnd w:id="19"/>
      <w:bookmarkStart w:id="20" w:name="_Hlt509650116"/>
      <w:bookmarkEnd w:id="20"/>
      <w:bookmarkStart w:id="21" w:name="_Hlt509649645"/>
      <w:bookmarkEnd w:id="21"/>
      <w:bookmarkStart w:id="22" w:name="_Hlt509650936"/>
      <w:bookmarkEnd w:id="22"/>
      <w:bookmarkStart w:id="23" w:name="_Hlt509650333"/>
      <w:bookmarkEnd w:id="23"/>
      <w:bookmarkStart w:id="24" w:name="_Hlt509649795"/>
      <w:bookmarkEnd w:id="24"/>
      <w:bookmarkStart w:id="25" w:name="_Hlt509650932"/>
      <w:bookmarkEnd w:id="25"/>
      <w:bookmarkStart w:id="26" w:name="_Hlt509650690"/>
      <w:bookmarkEnd w:id="26"/>
      <w:bookmarkStart w:id="27" w:name="_Hlt509650929"/>
      <w:bookmarkEnd w:id="27"/>
      <w:bookmarkStart w:id="28" w:name="_Hlt526418153"/>
      <w:bookmarkEnd w:id="28"/>
      <w:bookmarkStart w:id="29" w:name="_Hlt509649678"/>
      <w:bookmarkEnd w:id="29"/>
      <w:bookmarkStart w:id="30" w:name="_Hlt509650961"/>
      <w:bookmarkEnd w:id="30"/>
      <w:bookmarkStart w:id="31" w:name="_Hlt509649669"/>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2.1采购监督管理部门：合肥经济技术开发区公用事业发展有限公司。</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11.1与本次采购活动相关的信息，将在合肥经济技术开发区公用事业发展有限公司网站(</w:t>
      </w:r>
      <w:r>
        <w:rPr>
          <w:highlight w:val="none"/>
        </w:rPr>
        <w:fldChar w:fldCharType="begin"/>
      </w:r>
      <w:r>
        <w:rPr>
          <w:highlight w:val="none"/>
        </w:rPr>
        <w:instrText xml:space="preserve"> HYPERLINK "http://www.hfpudc.com/" </w:instrText>
      </w:r>
      <w:r>
        <w:rPr>
          <w:highlight w:val="none"/>
        </w:rPr>
        <w:fldChar w:fldCharType="separate"/>
      </w:r>
      <w:r>
        <w:rPr>
          <w:rStyle w:val="72"/>
          <w:rFonts w:hAnsi="宋体"/>
          <w:szCs w:val="24"/>
          <w:highlight w:val="none"/>
        </w:rPr>
        <w:t>http://www.hfpudc.com/</w:t>
      </w:r>
      <w:r>
        <w:rPr>
          <w:rStyle w:val="72"/>
          <w:rFonts w:hAnsi="宋体"/>
          <w:szCs w:val="24"/>
          <w:highlight w:val="none"/>
        </w:rPr>
        <w:fldChar w:fldCharType="end"/>
      </w:r>
      <w:r>
        <w:rPr>
          <w:rFonts w:hint="eastAsia" w:hAnsi="宋体"/>
          <w:color w:val="000000"/>
          <w:szCs w:val="24"/>
          <w:highlight w:val="none"/>
        </w:rPr>
        <w:t>)发布。</w:t>
      </w:r>
    </w:p>
    <w:p>
      <w:pPr>
        <w:pStyle w:val="6"/>
        <w:spacing w:before="0" w:after="0" w:line="360" w:lineRule="auto"/>
        <w:ind w:firstLine="438"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49791"/>
      <w:bookmarkEnd w:id="35"/>
      <w:bookmarkStart w:id="36" w:name="_Hlt509649930"/>
      <w:bookmarkEnd w:id="36"/>
      <w:bookmarkStart w:id="37" w:name="_Hlt50965036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12.1.7合肥经济技术开发区公用事业发展有限公司发布的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5"/>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w:t>
      </w:r>
      <w:r>
        <w:rPr>
          <w:rFonts w:hAnsi="宋体"/>
          <w:color w:val="000000"/>
          <w:szCs w:val="24"/>
          <w:highlight w:val="none"/>
        </w:rPr>
        <w:t>）</w:t>
      </w:r>
      <w:r>
        <w:rPr>
          <w:rFonts w:hint="eastAsia" w:hAnsi="宋体"/>
          <w:color w:val="000000"/>
          <w:szCs w:val="24"/>
          <w:highlight w:val="none"/>
        </w:rPr>
        <w:t>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7"/>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5"/>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7"/>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7"/>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int="eastAsia"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tbl>
      <w:tblPr>
        <w:tblStyle w:val="65"/>
        <w:tblpPr w:leftFromText="180" w:rightFromText="180" w:vertAnchor="text" w:horzAnchor="page" w:tblpX="1660" w:tblpY="407"/>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67"/>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26" w:type="dxa"/>
            <w:gridSpan w:val="2"/>
            <w:noWrap w:val="0"/>
            <w:vAlign w:val="center"/>
          </w:tcPr>
          <w:p>
            <w:pPr>
              <w:widowControl/>
              <w:tabs>
                <w:tab w:val="left" w:pos="360"/>
                <w:tab w:val="left" w:pos="540"/>
                <w:tab w:val="left" w:pos="3600"/>
                <w:tab w:val="left" w:pos="3780"/>
                <w:tab w:val="left" w:pos="8460"/>
                <w:tab w:val="left" w:pos="9180"/>
              </w:tabs>
              <w:adjustRightInd w:val="0"/>
              <w:snapToGrid w:val="0"/>
              <w:spacing w:before="156" w:beforeLines="50" w:after="200" w:line="360" w:lineRule="auto"/>
              <w:ind w:right="-21" w:rightChars="-10" w:firstLine="398" w:firstLineChars="20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序号</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before="156" w:beforeLines="50"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评分项目</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before="156" w:beforeLines="50" w:after="200" w:line="360" w:lineRule="auto"/>
              <w:ind w:right="-21" w:rightChars="-10" w:firstLine="398" w:firstLineChars="20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评标内容及标准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95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报价（30分）</w:t>
            </w: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1</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报价部分</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（30分）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只有通过资格性评审和符合性评审的供应商的最终报价为有效报价，参加报价评审。即满足招标文件要求且最后报价最低的供应商的价格为基准价，其价格分为满分。其他供应商的价格分统一按下列公式计算：报价得分=(基准价／最终报价)×30×100%。（结果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2" w:hRule="atLeast"/>
        </w:trPr>
        <w:tc>
          <w:tcPr>
            <w:tcW w:w="959" w:type="dxa"/>
            <w:vMerge w:val="restart"/>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综合实力比较（70分）</w:t>
            </w: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2</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业绩（15分）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1运营服务业绩：投标人每提供一个在本项目所在地内污水处理厂大于10万吨/厂的废水连续监测系统运营维护合同及发票开票记录，能证明运营维护时间在1年以上的得2分，每提供一个近1年在本项目所在地内污水处理厂大于10万吨/厂的废水连续监测系统运营维护合同，运营维护时间1年以下的得0.5分，没有不得分，最多得15分。</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 xml:space="preserve">注：运营维护合同提供发票开票复印件或影印件加盖公章，原件备查，时间以合同的签订时间及开票为准，缺少证明材料的不得分，原件备查。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vMerge w:val="restart"/>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left="220" w:right="-21" w:rightChars="-10" w:hanging="199" w:hangingChars="10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3</w:t>
            </w:r>
          </w:p>
        </w:tc>
        <w:tc>
          <w:tcPr>
            <w:tcW w:w="1134" w:type="dxa"/>
            <w:vMerge w:val="restart"/>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投标人综合实力及资质证书（10分）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人具有：ISO9001质量管理体系认证证书、ISO14001环境管理体系认证证书、职业健康管理体系认证证书、商品售后服务认证证书、信息安全管理体系认证证书；每个得1分，最多得5分。注：提供复印件或影印件加盖公章，原件备查；必须在有效期内，否则视为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left="220" w:right="-21" w:rightChars="-10" w:hanging="199" w:hangingChars="100"/>
              <w:jc w:val="center"/>
              <w:rPr>
                <w:rFonts w:hint="eastAsia" w:ascii="宋体" w:hAnsi="宋体" w:eastAsia="宋体" w:cs="宋体"/>
                <w:bCs/>
                <w:color w:val="auto"/>
                <w:kern w:val="0"/>
                <w:sz w:val="22"/>
                <w:szCs w:val="22"/>
              </w:rPr>
            </w:pPr>
          </w:p>
        </w:tc>
        <w:tc>
          <w:tcPr>
            <w:tcW w:w="1134"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投标人提供有关本项目服务能力有关的环境服务认证证书：中国环境服务认证证书：服务项目-自动监控系统（水）运行服务能力；服务等级：一级资质的得5分，二级资质的得2分，三级得1分，不能提供的得0分。</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注：须提供运营资质证书复印件或影印件加盖公章，原件备查；证书必须在有效期内，否则视为没有，不得分。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left="220" w:right="-21" w:rightChars="-10" w:hanging="199" w:hangingChars="10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4</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投标人是本次主要服务产品的制造单位的（1</w:t>
            </w:r>
            <w:r>
              <w:rPr>
                <w:rFonts w:hint="eastAsia" w:ascii="宋体" w:hAnsi="宋体" w:eastAsia="宋体" w:cs="宋体"/>
                <w:bCs/>
                <w:color w:val="auto"/>
                <w:kern w:val="0"/>
                <w:sz w:val="22"/>
                <w:szCs w:val="22"/>
                <w:lang w:val="en-US" w:eastAsia="zh-CN"/>
              </w:rPr>
              <w:t>5</w:t>
            </w:r>
            <w:r>
              <w:rPr>
                <w:rFonts w:hint="eastAsia" w:ascii="宋体" w:hAnsi="宋体" w:eastAsia="宋体" w:cs="宋体"/>
                <w:bCs/>
                <w:color w:val="auto"/>
                <w:kern w:val="0"/>
                <w:sz w:val="22"/>
                <w:szCs w:val="22"/>
              </w:rPr>
              <w:t>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sz w:val="22"/>
                <w:szCs w:val="22"/>
              </w:rPr>
            </w:pPr>
            <w:r>
              <w:rPr>
                <w:rFonts w:hint="eastAsia" w:ascii="宋体" w:hAnsi="宋体" w:eastAsia="宋体" w:cs="宋体"/>
                <w:bCs/>
                <w:color w:val="auto"/>
                <w:sz w:val="22"/>
                <w:szCs w:val="22"/>
              </w:rPr>
              <w:t>参选人为本次招标同类主要环保监测产品（COD监测仪、无线采集传输仪、氨氮自动监测仪）制造单位的，能提供环保证书归属投标单位证明的，有3项的得1</w:t>
            </w:r>
            <w:r>
              <w:rPr>
                <w:rFonts w:hint="eastAsia" w:ascii="宋体" w:hAnsi="宋体" w:eastAsia="宋体" w:cs="宋体"/>
                <w:bCs/>
                <w:color w:val="auto"/>
                <w:sz w:val="22"/>
                <w:szCs w:val="22"/>
                <w:lang w:val="en-US" w:eastAsia="zh-CN"/>
              </w:rPr>
              <w:t>5</w:t>
            </w:r>
            <w:r>
              <w:rPr>
                <w:rFonts w:hint="eastAsia" w:ascii="宋体" w:hAnsi="宋体" w:eastAsia="宋体" w:cs="宋体"/>
                <w:bCs/>
                <w:color w:val="auto"/>
                <w:sz w:val="22"/>
                <w:szCs w:val="22"/>
              </w:rPr>
              <w:t>分，有2项的得</w:t>
            </w:r>
            <w:r>
              <w:rPr>
                <w:rFonts w:hint="eastAsia" w:ascii="宋体" w:hAnsi="宋体" w:eastAsia="宋体" w:cs="宋体"/>
                <w:bCs/>
                <w:color w:val="auto"/>
                <w:sz w:val="22"/>
                <w:szCs w:val="22"/>
                <w:lang w:val="en-US" w:eastAsia="zh-CN"/>
              </w:rPr>
              <w:t>10</w:t>
            </w:r>
            <w:r>
              <w:rPr>
                <w:rFonts w:hint="eastAsia" w:ascii="宋体" w:hAnsi="宋体" w:eastAsia="宋体" w:cs="宋体"/>
                <w:bCs/>
                <w:color w:val="auto"/>
                <w:sz w:val="22"/>
                <w:szCs w:val="22"/>
              </w:rPr>
              <w:t>分，1项的得</w:t>
            </w:r>
            <w:r>
              <w:rPr>
                <w:rFonts w:hint="eastAsia" w:ascii="宋体" w:hAnsi="宋体" w:eastAsia="宋体" w:cs="宋体"/>
                <w:bCs/>
                <w:color w:val="auto"/>
                <w:sz w:val="22"/>
                <w:szCs w:val="22"/>
                <w:lang w:val="en-US" w:eastAsia="zh-CN"/>
              </w:rPr>
              <w:t>5</w:t>
            </w:r>
            <w:r>
              <w:rPr>
                <w:rFonts w:hint="eastAsia" w:ascii="宋体" w:hAnsi="宋体" w:eastAsia="宋体" w:cs="宋体"/>
                <w:bCs/>
                <w:color w:val="auto"/>
                <w:sz w:val="22"/>
                <w:szCs w:val="22"/>
              </w:rPr>
              <w:t>分，没有的不得分，本项目的是：确保设备故障后，无法再24小时内修复，有备机设备可以临时备用。</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sz w:val="22"/>
                <w:szCs w:val="22"/>
              </w:rPr>
              <w:t>提供相关环保认证证书且证书所属单位为投标人所有、提供投标人保证函；否则视为没有，不得分；证书原件备查。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left="220" w:right="-21" w:rightChars="-10" w:hanging="199" w:hangingChars="10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5</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高新技术企业（5分）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投标单位为省级及以上高新技术企业的得5分，市级高新技术企业得2分，没有不得分。证书必须在有效期内，否则视为没有，不得分。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lang w:val="en-US" w:eastAsia="zh-CN"/>
              </w:rPr>
            </w:pPr>
            <w:r>
              <w:rPr>
                <w:rFonts w:hint="eastAsia" w:ascii="宋体" w:hAnsi="宋体" w:eastAsia="宋体" w:cs="宋体"/>
                <w:bCs/>
                <w:color w:val="auto"/>
                <w:kern w:val="0"/>
                <w:sz w:val="22"/>
                <w:szCs w:val="22"/>
                <w:lang w:val="en-US" w:eastAsia="zh-CN"/>
              </w:rPr>
              <w:t>6</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运维服务技术人员资质（10分）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供应商提供售后服务人员资质人员：具有中国环境监测总站颁发的水环境监测技术与运维培训合格证书满3人的得2分，每增加1人加1分，不足3人的不得分，本项最多不超10分，不能提供的不得分。</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注：响应文件中同时提供：1）人员相应证书扫描件；2）供应商近3个月（任意1个月）为上述人员缴纳的社保证明材料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959" w:type="dxa"/>
            <w:vMerge w:val="continue"/>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lang w:val="en-US" w:eastAsia="zh-CN"/>
              </w:rPr>
            </w:pPr>
            <w:r>
              <w:rPr>
                <w:rFonts w:hint="eastAsia" w:ascii="宋体" w:hAnsi="宋体" w:eastAsia="宋体" w:cs="宋体"/>
                <w:bCs/>
                <w:color w:val="auto"/>
                <w:kern w:val="0"/>
                <w:sz w:val="22"/>
                <w:szCs w:val="22"/>
                <w:lang w:val="en-US" w:eastAsia="zh-CN"/>
              </w:rPr>
              <w:t>7</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运营服务车辆（5分）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投标单位在本项目所在地的运维专用车辆，不足3辆的不得分，车辆配足3辆的得3分，每增加1辆车得1分，最多不超过5分；</w:t>
            </w:r>
          </w:p>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投标文件中，必须提供每辆运维服务车的照片、行驶证复印件证明车辆产权必须归属投标人，保证服务响应时间；否则不得分。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95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firstLine="398" w:firstLineChars="200"/>
              <w:jc w:val="center"/>
              <w:rPr>
                <w:rFonts w:hint="eastAsia" w:ascii="宋体" w:hAnsi="宋体" w:eastAsia="宋体" w:cs="宋体"/>
                <w:bCs/>
                <w:color w:val="auto"/>
                <w:kern w:val="0"/>
                <w:sz w:val="22"/>
                <w:szCs w:val="22"/>
              </w:rPr>
            </w:pPr>
          </w:p>
        </w:tc>
        <w:tc>
          <w:tcPr>
            <w:tcW w:w="567"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lang w:val="en-US" w:eastAsia="zh-CN"/>
              </w:rPr>
            </w:pPr>
            <w:r>
              <w:rPr>
                <w:rFonts w:hint="eastAsia" w:ascii="宋体" w:hAnsi="宋体" w:eastAsia="宋体" w:cs="宋体"/>
                <w:bCs/>
                <w:color w:val="auto"/>
                <w:kern w:val="0"/>
                <w:sz w:val="22"/>
                <w:szCs w:val="22"/>
                <w:lang w:val="en-US" w:eastAsia="zh-CN"/>
              </w:rPr>
              <w:t>8</w:t>
            </w:r>
          </w:p>
        </w:tc>
        <w:tc>
          <w:tcPr>
            <w:tcW w:w="1134"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cente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运营服务方案（10分）</w:t>
            </w:r>
          </w:p>
        </w:tc>
        <w:tc>
          <w:tcPr>
            <w:tcW w:w="6379" w:type="dxa"/>
            <w:noWrap w:val="0"/>
            <w:vAlign w:val="center"/>
          </w:tcPr>
          <w:p>
            <w:pPr>
              <w:widowControl/>
              <w:tabs>
                <w:tab w:val="left" w:pos="360"/>
                <w:tab w:val="left" w:pos="540"/>
                <w:tab w:val="left" w:pos="3600"/>
                <w:tab w:val="left" w:pos="3780"/>
                <w:tab w:val="left" w:pos="8460"/>
                <w:tab w:val="left" w:pos="9180"/>
              </w:tabs>
              <w:adjustRightInd w:val="0"/>
              <w:snapToGrid w:val="0"/>
              <w:spacing w:after="200" w:line="360" w:lineRule="auto"/>
              <w:ind w:right="-21" w:rightChars="-1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单位能根据本项目所在地站点在线监测设备情况提供项目运维方案和运行管理制度、操作规程、应急管理制度等及开展本项目的合理化在线运营服务方案。优得7&lt;F≤10分、良得4&lt;F≤7分、一般得2&lt;F≤4分、差得1&lt;F≤2分，无此内容不得分</w:t>
            </w:r>
          </w:p>
        </w:tc>
      </w:tr>
    </w:tbl>
    <w:p>
      <w:pPr>
        <w:pStyle w:val="2"/>
        <w:rPr>
          <w:rFonts w:hint="eastAsia" w:ascii="宋体" w:hAnsi="宋体" w:eastAsia="宋体" w:cs="宋体"/>
          <w:color w:val="auto"/>
          <w:sz w:val="22"/>
          <w:szCs w:val="22"/>
        </w:rPr>
      </w:pP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yellow"/>
          <w:u w:val="single"/>
          <w:lang w:val="en-US" w:eastAsia="zh-CN"/>
        </w:rPr>
        <w:t>30</w:t>
      </w:r>
      <w:r>
        <w:rPr>
          <w:rFonts w:hint="eastAsia" w:hAnsi="宋体"/>
          <w:color w:val="000000"/>
          <w:highlight w:val="yellow"/>
        </w:rPr>
        <w:t>%</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rFonts w:hAnsi="宋体"/>
          <w:b/>
          <w:color w:val="000000"/>
          <w:sz w:val="30"/>
          <w:szCs w:val="30"/>
          <w:highlight w:val="none"/>
        </w:rPr>
      </w:pPr>
      <w:r>
        <w:rPr>
          <w:rFonts w:hAnsi="宋体"/>
          <w:bCs/>
          <w:color w:val="000000"/>
          <w:szCs w:val="24"/>
          <w:highlight w:val="none"/>
        </w:rPr>
        <w:br w:type="page"/>
      </w:r>
      <w:bookmarkStart w:id="50" w:name="_Hlt510342861"/>
      <w:bookmarkEnd w:id="50"/>
      <w:bookmarkStart w:id="51" w:name="_Hlt509649724"/>
      <w:bookmarkEnd w:id="51"/>
      <w:bookmarkStart w:id="52" w:name="_Hlt509650697"/>
      <w:bookmarkEnd w:id="52"/>
      <w:bookmarkStart w:id="53" w:name="_Toc527131324"/>
      <w:r>
        <w:rPr>
          <w:rFonts w:hint="eastAsia" w:hAnsi="宋体"/>
          <w:b/>
          <w:color w:val="000000"/>
          <w:sz w:val="30"/>
          <w:szCs w:val="30"/>
          <w:highlight w:val="none"/>
        </w:rPr>
        <w:t>四、采购合同</w:t>
      </w:r>
    </w:p>
    <w:p>
      <w:pPr>
        <w:pStyle w:val="6"/>
        <w:spacing w:before="0" w:after="120" w:line="360" w:lineRule="auto"/>
        <w:ind w:firstLine="3588" w:firstLineChars="1200"/>
        <w:jc w:val="both"/>
        <w:rPr>
          <w:rFonts w:hint="eastAsia" w:ascii="宋体" w:hAnsi="宋体" w:eastAsia="宋体"/>
          <w:color w:val="000000"/>
        </w:rPr>
      </w:pPr>
      <w:bookmarkStart w:id="54" w:name="_Toc121411234"/>
      <w:r>
        <w:rPr>
          <w:rFonts w:hint="eastAsia" w:ascii="宋体" w:hAnsi="宋体" w:eastAsia="宋体"/>
          <w:color w:val="000000"/>
        </w:rPr>
        <w:t>第六章</w:t>
      </w:r>
      <w:bookmarkStart w:id="55" w:name="_Toc220232392"/>
      <w:r>
        <w:rPr>
          <w:rFonts w:hint="eastAsia" w:ascii="宋体" w:hAnsi="宋体" w:eastAsia="宋体"/>
          <w:color w:val="000000"/>
        </w:rPr>
        <w:t xml:space="preserve"> </w:t>
      </w:r>
      <w:r>
        <w:rPr>
          <w:rFonts w:ascii="宋体" w:hAnsi="宋体" w:eastAsia="宋体"/>
          <w:color w:val="000000"/>
        </w:rPr>
        <w:t>合同</w:t>
      </w:r>
      <w:bookmarkEnd w:id="54"/>
      <w:bookmarkEnd w:id="55"/>
    </w:p>
    <w:p>
      <w:pPr>
        <w:spacing w:line="480" w:lineRule="auto"/>
        <w:jc w:val="center"/>
        <w:rPr>
          <w:rFonts w:ascii="宋体" w:hAnsi="宋体" w:cs="@仿宋_GB2312"/>
          <w:b/>
          <w:color w:val="000000"/>
          <w:sz w:val="28"/>
          <w:szCs w:val="28"/>
        </w:rPr>
      </w:pPr>
      <w:r>
        <w:rPr>
          <w:rFonts w:hint="eastAsia" w:ascii="宋体" w:hAnsi="宋体" w:cs="@仿宋_GB2312"/>
          <w:b/>
          <w:color w:val="000000"/>
          <w:sz w:val="28"/>
          <w:szCs w:val="28"/>
        </w:rPr>
        <w:t>合同参考范本</w:t>
      </w:r>
    </w:p>
    <w:p>
      <w:pPr>
        <w:spacing w:line="480" w:lineRule="auto"/>
        <w:jc w:val="center"/>
        <w:rPr>
          <w:rFonts w:ascii="宋体" w:hAnsi="宋体" w:cs="@仿宋_GB2312"/>
          <w:b/>
          <w:color w:val="000000"/>
          <w:sz w:val="24"/>
          <w:szCs w:val="24"/>
        </w:rPr>
      </w:pPr>
      <w:r>
        <w:rPr>
          <w:rFonts w:hint="eastAsia" w:ascii="宋体" w:hAnsi="宋体" w:cs="@仿宋_GB2312"/>
          <w:b/>
          <w:color w:val="000000"/>
          <w:sz w:val="24"/>
          <w:szCs w:val="24"/>
        </w:rPr>
        <w:t>（服务类）</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第一部分 合同书</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项目名称：</w:t>
      </w:r>
      <w:r>
        <w:rPr>
          <w:rFonts w:hint="eastAsia" w:hAnsi="宋体" w:cs="@仿宋_GB2312"/>
          <w:color w:val="000000"/>
          <w:sz w:val="24"/>
          <w:szCs w:val="24"/>
          <w:u w:val="single"/>
          <w:lang w:val="en-US" w:eastAsia="zh-CN"/>
        </w:rPr>
        <w:t xml:space="preserve">                          </w:t>
      </w: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项目编号：</w:t>
      </w:r>
      <w:r>
        <w:rPr>
          <w:rFonts w:hint="eastAsia" w:hAnsi="宋体" w:cs="@仿宋_GB2312"/>
          <w:color w:val="000000"/>
          <w:sz w:val="24"/>
          <w:szCs w:val="24"/>
          <w:u w:val="none"/>
          <w:lang w:val="en-US" w:eastAsia="zh-CN"/>
        </w:rPr>
        <w:t xml:space="preserve">   </w:t>
      </w:r>
      <w:r>
        <w:rPr>
          <w:rFonts w:hint="eastAsia" w:hAnsi="宋体" w:cs="@仿宋_GB2312"/>
          <w:color w:val="000000"/>
          <w:sz w:val="24"/>
          <w:szCs w:val="24"/>
          <w:u w:val="single"/>
          <w:lang w:val="en-US" w:eastAsia="zh-CN"/>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甲方（招标人）：</w:t>
      </w:r>
      <w:r>
        <w:rPr>
          <w:rFonts w:hint="eastAsia" w:ascii="宋体" w:hAnsi="宋体" w:cs="@仿宋_GB2312"/>
          <w:color w:val="000000"/>
          <w:sz w:val="24"/>
          <w:szCs w:val="24"/>
          <w:u w:val="single"/>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乙方（中标人）：</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u w:val="single"/>
        </w:rPr>
      </w:pPr>
      <w:r>
        <w:rPr>
          <w:rFonts w:hint="eastAsia" w:ascii="宋体" w:hAnsi="宋体" w:cs="@仿宋_GB2312"/>
          <w:color w:val="000000"/>
          <w:sz w:val="24"/>
          <w:szCs w:val="24"/>
        </w:rPr>
        <w:t>签订地：</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rPr>
      </w:pPr>
      <w:r>
        <w:rPr>
          <w:rFonts w:hint="eastAsia" w:ascii="宋体" w:hAnsi="宋体" w:cs="@仿宋_GB2312"/>
          <w:color w:val="000000"/>
          <w:sz w:val="24"/>
          <w:szCs w:val="24"/>
        </w:rPr>
        <w:t>签订日期：</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年</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月</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日</w:t>
      </w:r>
    </w:p>
    <w:p>
      <w:pPr>
        <w:widowControl/>
        <w:jc w:val="left"/>
        <w:rPr>
          <w:rFonts w:ascii="宋体" w:hAnsi="宋体" w:cs="@仿宋_GB2312"/>
          <w:color w:val="000000"/>
          <w:sz w:val="24"/>
          <w:szCs w:val="24"/>
        </w:rPr>
      </w:pPr>
      <w:r>
        <w:rPr>
          <w:rFonts w:hint="eastAsia" w:ascii="宋体" w:hAnsi="宋体" w:cs="@仿宋_GB2312"/>
          <w:color w:val="000000"/>
          <w:sz w:val="24"/>
          <w:szCs w:val="24"/>
        </w:rPr>
        <w:br w:type="page"/>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u w:val="single"/>
          <w:lang w:val="en-US" w:eastAsia="zh-CN"/>
        </w:rPr>
        <w:t>公用事业发展有限公司</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以下简称：甲方</w:t>
      </w:r>
      <w:r>
        <w:rPr>
          <w:rFonts w:hint="eastAsia" w:ascii="宋体" w:hAnsi="宋体" w:cs="@仿宋_GB2312"/>
          <w:color w:val="000000"/>
          <w:sz w:val="24"/>
          <w:szCs w:val="24"/>
        </w:rPr>
        <w:t>）通过招标活动，经</w:t>
      </w:r>
      <w:r>
        <w:rPr>
          <w:rFonts w:hint="eastAsia" w:ascii="宋体" w:hAnsi="宋体" w:cs="@仿宋_GB2312"/>
          <w:color w:val="000000"/>
          <w:sz w:val="24"/>
          <w:szCs w:val="24"/>
          <w:u w:val="single"/>
          <w:lang w:val="en-US" w:eastAsia="zh-CN"/>
        </w:rPr>
        <w:t>评审</w:t>
      </w:r>
      <w:r>
        <w:rPr>
          <w:rFonts w:hint="eastAsia" w:ascii="宋体" w:hAnsi="宋体" w:cs="@仿宋_GB2312"/>
          <w:color w:val="000000"/>
          <w:sz w:val="24"/>
          <w:szCs w:val="24"/>
          <w:u w:val="single"/>
        </w:rPr>
        <w:t>小组</w:t>
      </w:r>
      <w:r>
        <w:rPr>
          <w:rFonts w:hint="eastAsia" w:ascii="宋体" w:hAnsi="宋体" w:cs="@仿宋_GB2312"/>
          <w:color w:val="000000"/>
          <w:sz w:val="24"/>
          <w:szCs w:val="24"/>
        </w:rPr>
        <w:t>评定，</w:t>
      </w:r>
      <w:r>
        <w:rPr>
          <w:rFonts w:hint="eastAsia" w:ascii="宋体" w:hAnsi="宋体" w:cs="@仿宋_GB2312"/>
          <w:i/>
          <w:iCs/>
          <w:color w:val="000000"/>
          <w:sz w:val="24"/>
          <w:szCs w:val="24"/>
          <w:u w:val="single"/>
        </w:rPr>
        <w:t>（中标人名称）</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以下简称：乙方</w:t>
      </w:r>
      <w:r>
        <w:rPr>
          <w:rFonts w:hint="eastAsia" w:hAnsi="宋体" w:cs="@仿宋_GB2312"/>
          <w:color w:val="000000"/>
          <w:sz w:val="24"/>
          <w:szCs w:val="24"/>
          <w:lang w:val="en-US" w:eastAsia="zh-CN"/>
        </w:rPr>
        <w:t xml:space="preserve">   </w:t>
      </w:r>
      <w:r>
        <w:rPr>
          <w:rFonts w:hint="eastAsia" w:hAnsi="宋体" w:cs="@仿宋_GB2312"/>
          <w:color w:val="000000"/>
          <w:sz w:val="24"/>
          <w:szCs w:val="24"/>
          <w:u w:val="single"/>
          <w:lang w:val="en-US" w:eastAsia="zh-CN"/>
        </w:rPr>
        <w:t xml:space="preserve">           </w:t>
      </w:r>
      <w:r>
        <w:rPr>
          <w:rFonts w:hint="eastAsia" w:ascii="宋体" w:hAnsi="宋体" w:cs="@仿宋_GB2312"/>
          <w:color w:val="000000"/>
          <w:sz w:val="24"/>
          <w:szCs w:val="24"/>
        </w:rPr>
        <w:t>）为本项目中标人，现按照招标文件确定的事项签订本合同。</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rPr>
        <w:t>根据《中华人民共和国民法典》、《中华人民共和国招标投标法》等相关法律法规之规定，按照平等、自愿、公平和诚实信用的原则，经甲方和乙方协商一致，约定以下合同条款，以兹共同遵守、全面履行。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cs="@仿宋_GB2312"/>
          <w:b/>
          <w:bCs/>
          <w:color w:val="000000"/>
          <w:sz w:val="24"/>
          <w:szCs w:val="24"/>
          <w:lang w:val="zh-CN"/>
        </w:rPr>
      </w:pPr>
      <w:bookmarkStart w:id="56" w:name="_Toc24059"/>
      <w:bookmarkStart w:id="57" w:name="_Toc2232"/>
      <w:bookmarkStart w:id="58" w:name="_Toc3029"/>
      <w:r>
        <w:rPr>
          <w:rFonts w:hint="eastAsia" w:ascii="宋体" w:hAnsi="宋体" w:cs="@仿宋_GB2312"/>
          <w:b/>
          <w:bCs/>
          <w:color w:val="000000"/>
          <w:sz w:val="24"/>
          <w:szCs w:val="24"/>
          <w:lang w:val="zh-CN"/>
        </w:rPr>
        <w:t>1.1 合同组成部分</w:t>
      </w:r>
      <w:bookmarkEnd w:id="56"/>
      <w:bookmarkEnd w:id="57"/>
      <w:bookmarkEnd w:id="58"/>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下列文件为本合同的组成部分，并构成一个整体，需综合解释、相互补充。如果下列文件内容出现不一致的情形，那么在保证按照招标文件确定的事项前提下，组成本合同的多个文件的优先适用顺序如下：</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1.1.1本合同及其补充合同、变更协议；</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1.1.2中标通知书；</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1.1.3响应文件（含澄清或者说明文件）；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1.1.4谈判文件（含澄清或者修改文件）；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1.1.5其他相关招标文件。</w:t>
      </w:r>
    </w:p>
    <w:p>
      <w:pPr>
        <w:spacing w:line="360" w:lineRule="auto"/>
        <w:ind w:firstLine="437"/>
        <w:outlineLvl w:val="3"/>
        <w:rPr>
          <w:rFonts w:ascii="宋体" w:hAnsi="宋体" w:cs="@仿宋_GB2312"/>
          <w:b/>
          <w:bCs/>
          <w:color w:val="000000"/>
          <w:sz w:val="24"/>
          <w:szCs w:val="24"/>
          <w:lang w:val="zh-CN"/>
        </w:rPr>
      </w:pPr>
      <w:bookmarkStart w:id="59" w:name="_Toc6311"/>
      <w:bookmarkStart w:id="60" w:name="_Toc6773"/>
      <w:bookmarkStart w:id="61" w:name="_Toc18585"/>
      <w:bookmarkStart w:id="62" w:name="_Toc2918"/>
      <w:bookmarkStart w:id="63" w:name="_Toc22185"/>
      <w:r>
        <w:rPr>
          <w:rFonts w:hint="eastAsia" w:ascii="宋体" w:hAnsi="宋体" w:cs="@仿宋_GB2312"/>
          <w:b/>
          <w:bCs/>
          <w:color w:val="000000"/>
          <w:sz w:val="24"/>
          <w:szCs w:val="24"/>
          <w:lang w:val="zh-CN"/>
        </w:rPr>
        <w:t xml:space="preserve">1.2 </w:t>
      </w:r>
      <w:bookmarkEnd w:id="59"/>
      <w:bookmarkEnd w:id="60"/>
      <w:bookmarkEnd w:id="61"/>
      <w:bookmarkEnd w:id="62"/>
      <w:bookmarkEnd w:id="63"/>
      <w:r>
        <w:rPr>
          <w:rFonts w:hint="eastAsia" w:ascii="宋体" w:hAnsi="宋体" w:cs="@仿宋_GB2312"/>
          <w:b/>
          <w:bCs/>
          <w:color w:val="000000"/>
          <w:sz w:val="24"/>
          <w:szCs w:val="24"/>
          <w:lang w:val="zh-CN"/>
        </w:rPr>
        <w:t>服务</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1.2.1服务名称：</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1.2.2服务内容：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1.2.3服务质量：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64" w:name="_Toc21631"/>
      <w:bookmarkStart w:id="65" w:name="_Toc23292"/>
      <w:bookmarkStart w:id="66" w:name="_Toc21551"/>
      <w:r>
        <w:rPr>
          <w:rFonts w:hint="eastAsia" w:ascii="宋体" w:hAnsi="宋体" w:cs="@仿宋_GB2312"/>
          <w:b/>
          <w:bCs/>
          <w:color w:val="000000"/>
          <w:sz w:val="24"/>
          <w:szCs w:val="24"/>
          <w:lang w:val="zh-CN"/>
        </w:rPr>
        <w:t>1.3 价款</w:t>
      </w:r>
      <w:bookmarkEnd w:id="64"/>
      <w:bookmarkEnd w:id="65"/>
      <w:bookmarkEnd w:id="6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本合同总价为：¥</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元（大写：人民币</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分项价格：</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654"/>
        <w:gridCol w:w="13"/>
        <w:gridCol w:w="3478"/>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序号</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分项名称</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4"/>
                <w:szCs w:val="24"/>
              </w:rPr>
            </w:pPr>
            <w:r>
              <w:rPr>
                <w:rFonts w:hint="eastAsia" w:ascii="宋体" w:hAnsi="宋体" w:cs="Arial"/>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1</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2</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3</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总价</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bl>
    <w:p>
      <w:pPr>
        <w:spacing w:line="360" w:lineRule="auto"/>
        <w:ind w:firstLine="437"/>
        <w:outlineLvl w:val="3"/>
        <w:rPr>
          <w:rFonts w:ascii="宋体" w:hAnsi="宋体" w:cs="@仿宋_GB2312"/>
          <w:b/>
          <w:bCs/>
          <w:color w:val="000000"/>
          <w:sz w:val="24"/>
          <w:szCs w:val="24"/>
          <w:lang w:val="zh-CN"/>
        </w:rPr>
      </w:pPr>
      <w:bookmarkStart w:id="67" w:name="_Toc1814"/>
      <w:bookmarkStart w:id="68" w:name="_Toc22618"/>
      <w:bookmarkStart w:id="69" w:name="_Toc10340"/>
      <w:r>
        <w:rPr>
          <w:rFonts w:hint="eastAsia" w:ascii="宋体" w:hAnsi="宋体" w:cs="@仿宋_GB2312"/>
          <w:b/>
          <w:bCs/>
          <w:color w:val="000000"/>
          <w:sz w:val="24"/>
          <w:szCs w:val="24"/>
          <w:lang w:val="zh-CN"/>
        </w:rPr>
        <w:t>1.4 付款方式和发票开具方式</w:t>
      </w:r>
      <w:bookmarkEnd w:id="67"/>
      <w:bookmarkEnd w:id="68"/>
      <w:bookmarkEnd w:id="6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1.4.1付款方式：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1.4.2发票开具方式：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0" w:name="_Toc32071"/>
      <w:bookmarkStart w:id="71" w:name="_Toc19304"/>
      <w:bookmarkStart w:id="72" w:name="_Toc2846"/>
      <w:r>
        <w:rPr>
          <w:rFonts w:hint="eastAsia" w:ascii="宋体" w:hAnsi="宋体" w:cs="@仿宋_GB2312"/>
          <w:b/>
          <w:bCs/>
          <w:color w:val="000000"/>
          <w:sz w:val="24"/>
          <w:szCs w:val="24"/>
          <w:lang w:val="zh-CN"/>
        </w:rPr>
        <w:t>1.5 服务期限、地点和方式</w:t>
      </w:r>
      <w:bookmarkEnd w:id="70"/>
      <w:bookmarkEnd w:id="71"/>
      <w:bookmarkEnd w:id="72"/>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1.5.1服务期限：</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1.5.2服务地点：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1.5.3服务方式：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3" w:name="_Toc27250"/>
      <w:bookmarkStart w:id="74" w:name="_Toc21423"/>
      <w:bookmarkStart w:id="75" w:name="_Toc19554"/>
      <w:r>
        <w:rPr>
          <w:rFonts w:hint="eastAsia" w:ascii="宋体" w:hAnsi="宋体" w:cs="@仿宋_GB2312"/>
          <w:b/>
          <w:bCs/>
          <w:color w:val="000000"/>
          <w:sz w:val="24"/>
          <w:szCs w:val="24"/>
          <w:lang w:val="zh-CN"/>
        </w:rPr>
        <w:t>1.6 违约责任</w:t>
      </w:r>
      <w:bookmarkEnd w:id="73"/>
      <w:bookmarkEnd w:id="74"/>
      <w:bookmarkEnd w:id="7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%；迟延履行的违约金计算数额达到前述最高限额之日起，甲方有权在要求乙方支付违约金的同时，书面通知乙方解除本合同；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1.6.2除不可抗力外，如果甲方没有按照本合同约定的付款方式付款，那么乙方可要求甲方支付违约金，违约金按每迟延付款一日的应付而未付款的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%；迟延付款的违约金计算数额达到前述最高限额之日起，乙方有权在要求甲方支付违约金的同时，书面通知甲方解除本合同；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1.6.6如果出现监督管理部门在处理投诉事项期间，书面通知甲方暂停招标活动的情形，或者询问或质疑事项可能影响成交结果的，导致甲方中止履行合同的情形，均不视为甲方违约。</w:t>
      </w:r>
    </w:p>
    <w:p>
      <w:pPr>
        <w:spacing w:line="360" w:lineRule="auto"/>
        <w:ind w:firstLine="435"/>
        <w:rPr>
          <w:rFonts w:ascii="宋体" w:hAnsi="宋体"/>
          <w:color w:val="000000"/>
          <w:sz w:val="24"/>
          <w:szCs w:val="24"/>
        </w:rPr>
      </w:pPr>
      <w:r>
        <w:rPr>
          <w:rFonts w:hint="eastAsia" w:ascii="宋体" w:hAnsi="宋体"/>
          <w:color w:val="000000"/>
          <w:sz w:val="24"/>
          <w:szCs w:val="24"/>
        </w:rPr>
        <w:t>1.6.7因甲方未按合同约定支付价款、未按合同约定受领标的物、擅自解除合同导致乙方遭受的直接损失，乙方可向甲方申请赔偿，赔偿金额由双方协商一致；针对因政策变化等原因不能签订合同或解除合同时，造成乙方合法利益受损的情形，可以给予乙方合理补偿，补偿金额不得超过乙方的直接损失。</w:t>
      </w:r>
    </w:p>
    <w:p>
      <w:pPr>
        <w:spacing w:line="360" w:lineRule="auto"/>
        <w:ind w:firstLine="437"/>
        <w:outlineLvl w:val="3"/>
        <w:rPr>
          <w:rFonts w:ascii="宋体" w:hAnsi="宋体" w:cs="@仿宋_GB2312"/>
          <w:b/>
          <w:bCs/>
          <w:color w:val="000000"/>
          <w:sz w:val="24"/>
          <w:szCs w:val="24"/>
          <w:lang w:val="zh-CN"/>
        </w:rPr>
      </w:pPr>
      <w:bookmarkStart w:id="76" w:name="_Toc15583"/>
      <w:bookmarkStart w:id="77" w:name="_Toc16021"/>
      <w:bookmarkStart w:id="78" w:name="_Toc28375"/>
      <w:r>
        <w:rPr>
          <w:rFonts w:hint="eastAsia" w:ascii="宋体" w:hAnsi="宋体" w:cs="@仿宋_GB2312"/>
          <w:b/>
          <w:bCs/>
          <w:color w:val="000000"/>
          <w:sz w:val="24"/>
          <w:szCs w:val="24"/>
          <w:lang w:val="zh-CN"/>
        </w:rPr>
        <w:t>1.7 合同争议的解决</w:t>
      </w:r>
      <w:bookmarkEnd w:id="76"/>
      <w:bookmarkEnd w:id="77"/>
      <w:bookmarkEnd w:id="7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本合同履行过程中发生的任何争议，双方当事人均可通过和解或者调解解决；不愿和解、调解或者和解、调解不成的，可以选择下列第</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种方式解决：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1.7.1将争议提交</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仲裁委员会依申请仲裁时其现行有效的仲裁规则裁决；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1.7.2向</w:t>
      </w:r>
      <w:r>
        <w:rPr>
          <w:rFonts w:hint="eastAsia" w:ascii="宋体" w:hAnsi="宋体" w:cs="@仿宋_GB2312"/>
          <w:b/>
          <w:color w:val="000000"/>
          <w:sz w:val="24"/>
          <w:szCs w:val="24"/>
          <w:u w:val="single"/>
        </w:rPr>
        <w:t>甲方所在地</w:t>
      </w:r>
      <w:r>
        <w:rPr>
          <w:rFonts w:hint="eastAsia" w:ascii="宋体" w:hAnsi="宋体" w:cs="@仿宋_GB2312"/>
          <w:color w:val="000000"/>
          <w:sz w:val="24"/>
          <w:szCs w:val="24"/>
        </w:rPr>
        <w:t>人民法院起诉。</w:t>
      </w:r>
    </w:p>
    <w:p>
      <w:pPr>
        <w:spacing w:line="360" w:lineRule="auto"/>
        <w:ind w:firstLine="437"/>
        <w:outlineLvl w:val="3"/>
        <w:rPr>
          <w:rFonts w:ascii="宋体" w:hAnsi="宋体" w:cs="@仿宋_GB2312"/>
          <w:b/>
          <w:bCs/>
          <w:color w:val="000000"/>
          <w:sz w:val="24"/>
          <w:szCs w:val="24"/>
          <w:lang w:val="zh-CN"/>
        </w:rPr>
      </w:pPr>
      <w:bookmarkStart w:id="79" w:name="_Toc15322"/>
      <w:bookmarkStart w:id="80" w:name="_Toc7245"/>
      <w:bookmarkStart w:id="81" w:name="_Toc11173"/>
      <w:r>
        <w:rPr>
          <w:rFonts w:hint="eastAsia" w:ascii="宋体" w:hAnsi="宋体" w:cs="@仿宋_GB2312"/>
          <w:b/>
          <w:bCs/>
          <w:color w:val="000000"/>
          <w:sz w:val="24"/>
          <w:szCs w:val="24"/>
          <w:lang w:val="zh-CN"/>
        </w:rPr>
        <w:t>1.8 合同生效</w:t>
      </w:r>
      <w:bookmarkEnd w:id="79"/>
      <w:bookmarkEnd w:id="80"/>
      <w:bookmarkEnd w:id="81"/>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本合同自双方当事人盖章时生效。</w:t>
      </w: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bCs/>
          <w:color w:val="000000"/>
          <w:sz w:val="24"/>
          <w:szCs w:val="24"/>
          <w:lang w:val="zh-CN"/>
        </w:rPr>
      </w:pPr>
      <w:r>
        <w:rPr>
          <w:rFonts w:hint="eastAsia" w:ascii="宋体" w:hAnsi="宋体" w:cs="@仿宋_GB2312"/>
          <w:bCs/>
          <w:color w:val="000000"/>
          <w:sz w:val="24"/>
          <w:szCs w:val="24"/>
          <w:lang w:val="zh-CN"/>
        </w:rPr>
        <w:t>甲    方：</w:t>
      </w:r>
      <w:r>
        <w:rPr>
          <w:rFonts w:hint="eastAsia" w:ascii="宋体" w:hAnsi="宋体" w:cs="@仿宋_GB2312"/>
          <w:bCs/>
          <w:color w:val="000000"/>
          <w:sz w:val="24"/>
          <w:szCs w:val="24"/>
          <w:u w:val="single"/>
          <w:lang w:val="zh-CN"/>
        </w:rPr>
        <w:t xml:space="preserve">    （单位盖章）     </w:t>
      </w:r>
      <w:r>
        <w:rPr>
          <w:rFonts w:hint="eastAsia" w:ascii="宋体" w:hAnsi="宋体" w:cs="@仿宋_GB2312"/>
          <w:bCs/>
          <w:color w:val="000000"/>
          <w:sz w:val="24"/>
          <w:szCs w:val="24"/>
          <w:lang w:val="zh-CN"/>
        </w:rPr>
        <w:t xml:space="preserve">          乙方：</w:t>
      </w:r>
      <w:r>
        <w:rPr>
          <w:rFonts w:hint="eastAsia" w:ascii="宋体" w:hAnsi="宋体" w:cs="@仿宋_GB2312"/>
          <w:bCs/>
          <w:color w:val="000000"/>
          <w:sz w:val="24"/>
          <w:szCs w:val="24"/>
          <w:u w:val="single"/>
          <w:lang w:val="zh-CN"/>
        </w:rPr>
        <w:t xml:space="preserve">    （单位盖章）     </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法定代表人                               法定代表人</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或授权代表（签字）：                      或授权代表（签字）：</w:t>
      </w:r>
    </w:p>
    <w:p>
      <w:pPr>
        <w:widowControl/>
        <w:spacing w:line="560" w:lineRule="exact"/>
        <w:jc w:val="left"/>
        <w:rPr>
          <w:rFonts w:hint="eastAsia" w:ascii="宋体" w:hAnsi="宋体" w:cs="@仿宋_GB2312"/>
          <w:bCs/>
          <w:color w:val="000000"/>
          <w:sz w:val="24"/>
          <w:szCs w:val="24"/>
        </w:rPr>
      </w:pPr>
      <w:bookmarkStart w:id="82" w:name="_Toc331685783"/>
      <w:r>
        <w:rPr>
          <w:rFonts w:hint="eastAsia" w:ascii="宋体" w:hAnsi="宋体" w:cs="@仿宋_GB2312"/>
          <w:bCs/>
          <w:color w:val="000000"/>
          <w:sz w:val="24"/>
          <w:szCs w:val="24"/>
        </w:rPr>
        <w:t>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               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w:t>
      </w:r>
    </w:p>
    <w:p>
      <w:pPr>
        <w:widowControl/>
        <w:spacing w:line="560" w:lineRule="exact"/>
        <w:jc w:val="left"/>
        <w:rPr>
          <w:rFonts w:hint="eastAsia" w:ascii="宋体" w:hAnsi="宋体" w:cs="@仿宋_GB2312"/>
          <w:bCs/>
          <w:color w:val="000000"/>
          <w:sz w:val="24"/>
          <w:szCs w:val="24"/>
        </w:rPr>
      </w:pPr>
    </w:p>
    <w:p>
      <w:pPr>
        <w:spacing w:line="360" w:lineRule="auto"/>
        <w:ind w:firstLine="4380" w:firstLineChars="2000"/>
        <w:rPr>
          <w:rFonts w:ascii="宋体" w:hAnsi="宋体"/>
          <w:bCs/>
          <w:color w:val="000000"/>
          <w:sz w:val="24"/>
          <w:szCs w:val="24"/>
        </w:rPr>
      </w:pPr>
      <w:r>
        <w:rPr>
          <w:rFonts w:hint="eastAsia" w:ascii="宋体" w:hAnsi="宋体"/>
          <w:bCs/>
          <w:color w:val="000000"/>
          <w:sz w:val="24"/>
          <w:szCs w:val="24"/>
        </w:rPr>
        <w:t>乙方账户信息</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户名：</w:t>
      </w:r>
      <w:r>
        <w:rPr>
          <w:rFonts w:hint="eastAsia" w:ascii="宋体" w:hAnsi="宋体"/>
          <w:bCs/>
          <w:color w:val="000000"/>
          <w:sz w:val="24"/>
          <w:szCs w:val="24"/>
          <w:u w:val="single"/>
        </w:rPr>
        <w:t xml:space="preserve">                    </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账号：</w:t>
      </w:r>
      <w:r>
        <w:rPr>
          <w:rFonts w:hint="eastAsia" w:ascii="宋体" w:hAnsi="宋体"/>
          <w:bCs/>
          <w:color w:val="000000"/>
          <w:sz w:val="24"/>
          <w:szCs w:val="24"/>
          <w:u w:val="single"/>
        </w:rPr>
        <w:t xml:space="preserve">                    </w:t>
      </w:r>
    </w:p>
    <w:p>
      <w:pPr>
        <w:spacing w:line="360" w:lineRule="auto"/>
        <w:ind w:firstLine="435"/>
        <w:rPr>
          <w:rFonts w:hint="eastAsia" w:ascii="宋体" w:hAnsi="宋体"/>
          <w:bCs/>
          <w:color w:val="000000"/>
          <w:sz w:val="24"/>
          <w:szCs w:val="24"/>
          <w:u w:val="single"/>
        </w:rPr>
      </w:pPr>
      <w:r>
        <w:rPr>
          <w:rFonts w:hint="eastAsia" w:ascii="宋体" w:hAnsi="宋体"/>
          <w:bCs/>
          <w:color w:val="000000"/>
          <w:sz w:val="24"/>
          <w:szCs w:val="24"/>
        </w:rPr>
        <w:t xml:space="preserve">                                     开户银行：</w:t>
      </w:r>
      <w:r>
        <w:rPr>
          <w:rFonts w:hint="eastAsia" w:ascii="宋体" w:hAnsi="宋体"/>
          <w:bCs/>
          <w:color w:val="000000"/>
          <w:sz w:val="24"/>
          <w:szCs w:val="24"/>
          <w:u w:val="single"/>
        </w:rPr>
        <w:t xml:space="preserve">                </w:t>
      </w:r>
    </w:p>
    <w:p>
      <w:pPr>
        <w:widowControl/>
        <w:spacing w:line="560" w:lineRule="exact"/>
        <w:jc w:val="left"/>
        <w:rPr>
          <w:rFonts w:hint="eastAsia" w:ascii="宋体" w:hAnsi="宋体" w:cs="@仿宋_GB2312"/>
          <w:bCs/>
          <w:color w:val="000000"/>
          <w:sz w:val="24"/>
          <w:szCs w:val="24"/>
        </w:rPr>
      </w:pPr>
    </w:p>
    <w:p>
      <w:pPr>
        <w:widowControl/>
        <w:spacing w:line="560" w:lineRule="exact"/>
        <w:jc w:val="left"/>
        <w:rPr>
          <w:rFonts w:ascii="宋体" w:hAnsi="宋体" w:cs="@仿宋_GB2312"/>
          <w:bCs/>
          <w:color w:val="000000"/>
          <w:sz w:val="24"/>
          <w:szCs w:val="24"/>
        </w:rPr>
      </w:pPr>
    </w:p>
    <w:p>
      <w:pPr>
        <w:widowControl/>
        <w:jc w:val="left"/>
        <w:rPr>
          <w:rFonts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第二部分 合同一般条款</w:t>
      </w:r>
      <w:bookmarkEnd w:id="82"/>
    </w:p>
    <w:p>
      <w:pPr>
        <w:spacing w:line="360" w:lineRule="auto"/>
        <w:ind w:firstLine="437"/>
        <w:outlineLvl w:val="3"/>
        <w:rPr>
          <w:rFonts w:ascii="宋体" w:hAnsi="宋体" w:cs="@仿宋_GB2312"/>
          <w:b/>
          <w:bCs/>
          <w:color w:val="000000"/>
          <w:sz w:val="24"/>
          <w:szCs w:val="24"/>
          <w:lang w:val="zh-CN"/>
        </w:rPr>
      </w:pPr>
      <w:bookmarkStart w:id="83" w:name="_Toc28763"/>
      <w:bookmarkStart w:id="84" w:name="_Ref467379101"/>
      <w:bookmarkStart w:id="85" w:name="_Ref467379225"/>
      <w:bookmarkStart w:id="86" w:name="_Toc279701240"/>
      <w:bookmarkStart w:id="87" w:name="_Ref467379094"/>
      <w:bookmarkStart w:id="88" w:name="_Toc19614"/>
      <w:bookmarkStart w:id="89" w:name="_Toc16917"/>
      <w:bookmarkStart w:id="90" w:name="_Ref467378463"/>
      <w:bookmarkStart w:id="91" w:name="_Ref467379195"/>
      <w:bookmarkStart w:id="92" w:name="_Toc487900349"/>
      <w:bookmarkStart w:id="93" w:name="_Ref467379214"/>
      <w:bookmarkStart w:id="94" w:name="_Ref467379205"/>
      <w:bookmarkStart w:id="95" w:name="_Ref467379109"/>
      <w:bookmarkStart w:id="96" w:name="_Ref467378499"/>
      <w:bookmarkStart w:id="97" w:name="_Ref467378404"/>
      <w:bookmarkStart w:id="98" w:name="_Toc259093669"/>
      <w:r>
        <w:rPr>
          <w:rFonts w:hint="eastAsia" w:ascii="宋体" w:hAnsi="宋体" w:cs="@仿宋_GB2312"/>
          <w:b/>
          <w:bCs/>
          <w:color w:val="000000"/>
          <w:sz w:val="24"/>
          <w:szCs w:val="24"/>
          <w:lang w:val="zh-CN"/>
        </w:rPr>
        <w:t>2.1 定义</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本合同中的下列词语应按以下内容进行解释：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2.1.1“合同”系指招标人和中标人签订的载明双方当事人所达成的协议，并包括所有的附件、附录和构成合同的其他文件。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2.1.2“合同价”系指根据合同约定，中标人在完全履行合同义务后，招标人应支付给中标人的价格。</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2.1.3“服务”系指中标人根据合同约定应向招标人履行的除货物和工程以外的其他招标对象，包括招标人自身需要的服务和向社会公众提供的公共服务。</w:t>
      </w:r>
    </w:p>
    <w:p>
      <w:pPr>
        <w:spacing w:line="360" w:lineRule="auto"/>
        <w:ind w:firstLine="435"/>
        <w:rPr>
          <w:rFonts w:ascii="宋体" w:hAnsi="宋体" w:cs="@仿宋_GB2312"/>
          <w:color w:val="000000"/>
          <w:sz w:val="24"/>
          <w:szCs w:val="24"/>
        </w:rPr>
      </w:pPr>
      <w:bookmarkStart w:id="99" w:name="_Ref467378840"/>
      <w:r>
        <w:rPr>
          <w:rFonts w:hint="eastAsia" w:ascii="宋体" w:hAnsi="宋体" w:cs="@仿宋_GB2312"/>
          <w:color w:val="000000"/>
          <w:sz w:val="24"/>
          <w:szCs w:val="24"/>
        </w:rPr>
        <w:t>2.1.4“甲方”系指与中标人签署合同的招标人</w:t>
      </w:r>
      <w:bookmarkEnd w:id="99"/>
      <w:r>
        <w:rPr>
          <w:rFonts w:hint="eastAsia" w:ascii="宋体" w:hAnsi="宋体" w:cs="@仿宋_GB2312"/>
          <w:color w:val="000000"/>
          <w:sz w:val="24"/>
          <w:szCs w:val="24"/>
        </w:rPr>
        <w:t>；招标人委托招标代理机构代表其与乙方签订合同的，招标人的授权委托书作为合同附件。</w:t>
      </w:r>
    </w:p>
    <w:p>
      <w:pPr>
        <w:spacing w:line="360" w:lineRule="auto"/>
        <w:ind w:firstLine="435"/>
        <w:rPr>
          <w:rFonts w:ascii="宋体" w:hAnsi="宋体" w:cs="@仿宋_GB2312"/>
          <w:color w:val="000000"/>
          <w:sz w:val="24"/>
          <w:szCs w:val="24"/>
        </w:rPr>
      </w:pPr>
      <w:bookmarkStart w:id="100" w:name="_Ref467379400"/>
      <w:r>
        <w:rPr>
          <w:rFonts w:hint="eastAsia" w:ascii="宋体" w:hAnsi="宋体" w:cs="@仿宋_GB2312"/>
          <w:color w:val="000000"/>
          <w:sz w:val="24"/>
          <w:szCs w:val="24"/>
        </w:rPr>
        <w:t>2.1.5“乙方”系指根据合同约定提供服务的中标人</w:t>
      </w:r>
      <w:bookmarkEnd w:id="100"/>
      <w:r>
        <w:rPr>
          <w:rFonts w:hint="eastAsia" w:ascii="宋体" w:hAnsi="宋体" w:cs="@仿宋_GB2312"/>
          <w:color w:val="000000"/>
          <w:sz w:val="24"/>
          <w:szCs w:val="24"/>
        </w:rPr>
        <w:t>；两个以上的自然人、法人或者其他组织组成一个联合体，以一个供应商的身份共同参加投标的，联合体各方均应为乙方或者与乙方相同地位的合同当事人，并就合同约定的事项对甲方承担连带责任。</w:t>
      </w:r>
    </w:p>
    <w:p>
      <w:pPr>
        <w:spacing w:line="360" w:lineRule="auto"/>
        <w:ind w:firstLine="435"/>
        <w:rPr>
          <w:rFonts w:ascii="宋体" w:hAnsi="宋体" w:cs="@仿宋_GB2312"/>
          <w:color w:val="000000"/>
          <w:sz w:val="24"/>
          <w:szCs w:val="24"/>
        </w:rPr>
      </w:pPr>
      <w:bookmarkStart w:id="101" w:name="_Ref467379436"/>
      <w:r>
        <w:rPr>
          <w:rFonts w:hint="eastAsia" w:ascii="宋体" w:hAnsi="宋体" w:cs="@仿宋_GB2312"/>
          <w:color w:val="000000"/>
          <w:sz w:val="24"/>
          <w:szCs w:val="24"/>
        </w:rPr>
        <w:t>2.1.6“现场”系指合同约定提供服务的地点。</w:t>
      </w:r>
      <w:bookmarkEnd w:id="101"/>
    </w:p>
    <w:p>
      <w:pPr>
        <w:spacing w:line="360" w:lineRule="auto"/>
        <w:ind w:firstLine="437"/>
        <w:outlineLvl w:val="3"/>
        <w:rPr>
          <w:rFonts w:ascii="宋体" w:hAnsi="宋体" w:cs="@仿宋_GB2312"/>
          <w:b/>
          <w:bCs/>
          <w:color w:val="000000"/>
          <w:sz w:val="24"/>
          <w:szCs w:val="24"/>
          <w:lang w:val="zh-CN"/>
        </w:rPr>
      </w:pPr>
      <w:bookmarkStart w:id="102" w:name="_Toc27635"/>
      <w:bookmarkStart w:id="103" w:name="_Toc487900350"/>
      <w:bookmarkStart w:id="104" w:name="_Toc279701241"/>
      <w:bookmarkStart w:id="105" w:name="_Toc32504"/>
      <w:bookmarkStart w:id="106" w:name="_Toc13336"/>
      <w:bookmarkStart w:id="107" w:name="_Toc259093670"/>
      <w:r>
        <w:rPr>
          <w:rFonts w:hint="eastAsia" w:ascii="宋体" w:hAnsi="宋体" w:cs="@仿宋_GB2312"/>
          <w:b/>
          <w:bCs/>
          <w:color w:val="000000"/>
          <w:sz w:val="24"/>
          <w:szCs w:val="24"/>
          <w:lang w:val="zh-CN"/>
        </w:rPr>
        <w:t>2.2 技术规范</w:t>
      </w:r>
      <w:bookmarkEnd w:id="102"/>
      <w:bookmarkEnd w:id="103"/>
      <w:bookmarkEnd w:id="104"/>
      <w:bookmarkEnd w:id="105"/>
      <w:bookmarkEnd w:id="106"/>
      <w:bookmarkEnd w:id="107"/>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firstLine="437"/>
        <w:outlineLvl w:val="3"/>
        <w:rPr>
          <w:rFonts w:ascii="宋体" w:hAnsi="宋体" w:cs="@仿宋_GB2312"/>
          <w:b/>
          <w:bCs/>
          <w:color w:val="000000"/>
          <w:sz w:val="24"/>
          <w:szCs w:val="24"/>
          <w:lang w:val="zh-CN"/>
        </w:rPr>
      </w:pPr>
      <w:bookmarkStart w:id="108" w:name="_Toc259093671"/>
      <w:bookmarkStart w:id="109" w:name="_Toc279701242"/>
      <w:bookmarkStart w:id="110" w:name="_Toc9829"/>
      <w:bookmarkStart w:id="111" w:name="_Toc27853"/>
      <w:bookmarkStart w:id="112" w:name="_Toc31634"/>
      <w:bookmarkStart w:id="113" w:name="_Toc487900351"/>
      <w:r>
        <w:rPr>
          <w:rFonts w:hint="eastAsia" w:ascii="宋体" w:hAnsi="宋体" w:cs="@仿宋_GB2312"/>
          <w:b/>
          <w:bCs/>
          <w:color w:val="000000"/>
          <w:sz w:val="24"/>
          <w:szCs w:val="24"/>
          <w:lang w:val="zh-CN"/>
        </w:rPr>
        <w:t>2.3 知识产权</w:t>
      </w:r>
      <w:bookmarkEnd w:id="108"/>
      <w:bookmarkEnd w:id="109"/>
      <w:bookmarkEnd w:id="110"/>
      <w:bookmarkEnd w:id="111"/>
      <w:bookmarkEnd w:id="112"/>
      <w:bookmarkEnd w:id="11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2.3.2具有知识产权的计算机软件等货物的知识产权归属，详见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14" w:name="_Toc279701245"/>
      <w:bookmarkStart w:id="115" w:name="_Ref467378591"/>
      <w:bookmarkStart w:id="116" w:name="_Toc259093674"/>
      <w:bookmarkStart w:id="117" w:name="_Ref467378541"/>
      <w:bookmarkStart w:id="118" w:name="_Ref467379536"/>
      <w:bookmarkStart w:id="119" w:name="_Ref467379527"/>
      <w:bookmarkStart w:id="120" w:name="_Toc487900354"/>
      <w:bookmarkStart w:id="121" w:name="_Ref467379542"/>
      <w:bookmarkStart w:id="122" w:name="_Toc26182"/>
      <w:bookmarkStart w:id="123" w:name="_Toc30272"/>
      <w:bookmarkStart w:id="124" w:name="_Toc19074"/>
      <w:r>
        <w:rPr>
          <w:rFonts w:hint="eastAsia" w:ascii="宋体" w:hAnsi="宋体" w:cs="@仿宋_GB2312"/>
          <w:b/>
          <w:bCs/>
          <w:color w:val="000000"/>
          <w:sz w:val="24"/>
          <w:szCs w:val="24"/>
          <w:lang w:val="zh-CN"/>
        </w:rPr>
        <w:t>2.</w:t>
      </w:r>
      <w:bookmarkEnd w:id="114"/>
      <w:bookmarkEnd w:id="115"/>
      <w:bookmarkEnd w:id="116"/>
      <w:bookmarkEnd w:id="117"/>
      <w:bookmarkEnd w:id="118"/>
      <w:bookmarkEnd w:id="119"/>
      <w:bookmarkEnd w:id="120"/>
      <w:bookmarkEnd w:id="121"/>
      <w:r>
        <w:rPr>
          <w:rFonts w:hint="eastAsia" w:ascii="宋体" w:hAnsi="宋体" w:cs="@仿宋_GB2312"/>
          <w:b/>
          <w:bCs/>
          <w:color w:val="000000"/>
          <w:sz w:val="24"/>
          <w:szCs w:val="24"/>
          <w:lang w:val="zh-CN"/>
        </w:rPr>
        <w:t>4 履约检查和问题反馈</w:t>
      </w:r>
      <w:bookmarkEnd w:id="122"/>
      <w:bookmarkEnd w:id="123"/>
      <w:bookmarkEnd w:id="124"/>
    </w:p>
    <w:p>
      <w:pPr>
        <w:spacing w:line="360" w:lineRule="auto"/>
        <w:ind w:firstLine="435"/>
        <w:rPr>
          <w:rFonts w:ascii="宋体" w:hAnsi="宋体" w:cs="@仿宋_GB2312"/>
          <w:color w:val="000000"/>
          <w:sz w:val="24"/>
          <w:szCs w:val="24"/>
        </w:rPr>
      </w:pPr>
      <w:bookmarkStart w:id="125" w:name="_Toc186431854"/>
      <w:bookmarkStart w:id="126" w:name="_Toc487900357"/>
      <w:bookmarkStart w:id="127" w:name="_Ref467379807"/>
      <w:bookmarkStart w:id="128" w:name="_Toc279701247"/>
      <w:bookmarkStart w:id="129" w:name="_Toc259093676"/>
      <w:bookmarkStart w:id="130" w:name="_Ref467379793"/>
      <w:r>
        <w:rPr>
          <w:rFonts w:hint="eastAsia" w:ascii="宋体" w:hAnsi="宋体" w:cs="@仿宋_GB2312"/>
          <w:color w:val="000000"/>
          <w:sz w:val="24"/>
          <w:szCs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2.4.2合同履行期间，甲方有权将履行过程中出现的问题反馈给乙方，双方当事人应以书面形式约定需要完善和改进的内容</w:t>
      </w:r>
      <w:bookmarkEnd w:id="125"/>
      <w:bookmarkStart w:id="131" w:name="_Toc186431855"/>
      <w:r>
        <w:rPr>
          <w:rFonts w:hint="eastAsia" w:ascii="宋体" w:hAnsi="宋体" w:cs="@仿宋_GB2312"/>
          <w:color w:val="000000"/>
          <w:sz w:val="24"/>
          <w:szCs w:val="24"/>
        </w:rPr>
        <w:t>。</w:t>
      </w:r>
    </w:p>
    <w:bookmarkEnd w:id="131"/>
    <w:p>
      <w:pPr>
        <w:spacing w:line="360" w:lineRule="auto"/>
        <w:ind w:firstLine="437"/>
        <w:outlineLvl w:val="3"/>
        <w:rPr>
          <w:rFonts w:ascii="宋体" w:hAnsi="宋体" w:cs="@仿宋_GB2312"/>
          <w:b/>
          <w:bCs/>
          <w:color w:val="000000"/>
          <w:sz w:val="24"/>
          <w:szCs w:val="24"/>
          <w:lang w:val="zh-CN"/>
        </w:rPr>
      </w:pPr>
      <w:bookmarkStart w:id="132" w:name="_Toc28451"/>
      <w:bookmarkStart w:id="133" w:name="_Toc7836"/>
      <w:bookmarkStart w:id="134" w:name="_Toc19219"/>
      <w:r>
        <w:rPr>
          <w:rFonts w:hint="eastAsia" w:ascii="宋体" w:hAnsi="宋体" w:cs="@仿宋_GB2312"/>
          <w:b/>
          <w:bCs/>
          <w:color w:val="000000"/>
          <w:sz w:val="24"/>
          <w:szCs w:val="24"/>
          <w:lang w:val="zh-CN"/>
        </w:rPr>
        <w:t>2.5 结算方式和付款条件</w:t>
      </w:r>
      <w:bookmarkEnd w:id="126"/>
      <w:bookmarkEnd w:id="127"/>
      <w:bookmarkEnd w:id="128"/>
      <w:bookmarkEnd w:id="129"/>
      <w:bookmarkEnd w:id="130"/>
      <w:bookmarkEnd w:id="132"/>
      <w:bookmarkEnd w:id="133"/>
      <w:bookmarkEnd w:id="13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35" w:name="_Toc279701248"/>
      <w:bookmarkStart w:id="136" w:name="_Ref467379863"/>
      <w:bookmarkStart w:id="137" w:name="_Toc259093677"/>
      <w:bookmarkStart w:id="138" w:name="_Ref467379852"/>
      <w:bookmarkStart w:id="139" w:name="_Ref467379923"/>
      <w:bookmarkStart w:id="140" w:name="_Toc487900358"/>
      <w:bookmarkStart w:id="141" w:name="_Toc16110"/>
      <w:bookmarkStart w:id="142" w:name="_Toc3225"/>
      <w:bookmarkStart w:id="143" w:name="_Toc774"/>
      <w:r>
        <w:rPr>
          <w:rFonts w:hint="eastAsia" w:ascii="宋体" w:hAnsi="宋体" w:cs="@仿宋_GB2312"/>
          <w:b/>
          <w:bCs/>
          <w:color w:val="000000"/>
          <w:sz w:val="24"/>
          <w:szCs w:val="24"/>
          <w:lang w:val="zh-CN"/>
        </w:rPr>
        <w:t>2.6 技术资料</w:t>
      </w:r>
      <w:bookmarkEnd w:id="135"/>
      <w:bookmarkEnd w:id="136"/>
      <w:bookmarkEnd w:id="137"/>
      <w:bookmarkEnd w:id="138"/>
      <w:bookmarkEnd w:id="139"/>
      <w:bookmarkEnd w:id="140"/>
      <w:r>
        <w:rPr>
          <w:rFonts w:hint="eastAsia" w:ascii="宋体" w:hAnsi="宋体" w:cs="@仿宋_GB2312"/>
          <w:b/>
          <w:bCs/>
          <w:color w:val="000000"/>
          <w:sz w:val="24"/>
          <w:szCs w:val="24"/>
          <w:lang w:val="zh-CN"/>
        </w:rPr>
        <w:t>和保密义务</w:t>
      </w:r>
      <w:bookmarkEnd w:id="141"/>
      <w:bookmarkEnd w:id="142"/>
      <w:bookmarkEnd w:id="14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2.6.1乙方有权依据合同约定和项目需要，向甲方了解有关情况，调阅有关资料等，甲方应予积极配合；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2.6.2乙方有义务妥善保管和保护由甲方提供的前款信息和资料等；</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宋体" w:hAnsi="宋体" w:cs="@仿宋_GB2312"/>
          <w:b/>
          <w:bCs/>
          <w:color w:val="000000"/>
          <w:sz w:val="24"/>
          <w:szCs w:val="24"/>
          <w:lang w:val="zh-CN"/>
        </w:rPr>
      </w:pPr>
      <w:bookmarkStart w:id="144" w:name="_Toc7860"/>
      <w:r>
        <w:rPr>
          <w:rFonts w:hint="eastAsia" w:ascii="宋体" w:hAnsi="宋体" w:cs="@仿宋_GB2312"/>
          <w:b/>
          <w:bCs/>
          <w:color w:val="000000"/>
          <w:sz w:val="24"/>
          <w:szCs w:val="24"/>
          <w:lang w:val="zh-CN"/>
        </w:rPr>
        <w:t>2.7 质量保证</w:t>
      </w:r>
      <w:bookmarkEnd w:id="14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2.7.1乙方应建立和完善履行合同的内部质量保证体系，并提供相关内部规章制度给甲方，以便甲方进行监督检查；</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cs="@仿宋_GB2312"/>
          <w:b/>
          <w:color w:val="000000"/>
          <w:sz w:val="24"/>
          <w:szCs w:val="24"/>
        </w:rPr>
      </w:pPr>
      <w:bookmarkStart w:id="145" w:name="_Toc22267"/>
      <w:r>
        <w:rPr>
          <w:rFonts w:hint="eastAsia" w:ascii="宋体" w:hAnsi="宋体" w:cs="@仿宋_GB2312"/>
          <w:b/>
          <w:color w:val="000000"/>
          <w:sz w:val="24"/>
          <w:szCs w:val="24"/>
        </w:rPr>
        <w:t>2.8 延迟履行</w:t>
      </w:r>
      <w:bookmarkEnd w:id="14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宋体" w:hAnsi="宋体" w:cs="@仿宋_GB2312"/>
          <w:b/>
          <w:bCs/>
          <w:color w:val="000000"/>
          <w:sz w:val="24"/>
          <w:szCs w:val="24"/>
          <w:lang w:val="zh-CN"/>
        </w:rPr>
      </w:pPr>
      <w:bookmarkStart w:id="146" w:name="_Toc7502"/>
      <w:bookmarkStart w:id="147" w:name="_Ref467378121"/>
      <w:bookmarkStart w:id="148" w:name="_Toc487900364"/>
      <w:bookmarkStart w:id="149" w:name="_Toc279701254"/>
      <w:bookmarkStart w:id="150" w:name="_Toc259093683"/>
      <w:r>
        <w:rPr>
          <w:rFonts w:hint="eastAsia" w:ascii="宋体" w:hAnsi="宋体" w:cs="@仿宋_GB2312"/>
          <w:b/>
          <w:bCs/>
          <w:color w:val="000000"/>
          <w:sz w:val="24"/>
          <w:szCs w:val="24"/>
          <w:lang w:val="zh-CN"/>
        </w:rPr>
        <w:t>2.9 合同变更</w:t>
      </w:r>
      <w:bookmarkEnd w:id="14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2.9.1双方当事人协商一致，可以签订书面补充合同的形式变更合同，但不得违背招标文件确定的事项；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2.9.2合同继续履行将损害国家利益和社会公共利益的，双方当事人应当以书面形式变更合同。有过错的一方应当承担赔偿责任，双方当事人都有过错的，各自承担相应的责任。</w:t>
      </w:r>
      <w:bookmarkStart w:id="151" w:name="_Toc259093688"/>
      <w:bookmarkStart w:id="152" w:name="_Toc279701259"/>
      <w:bookmarkStart w:id="153" w:name="_Toc487900369"/>
    </w:p>
    <w:p>
      <w:pPr>
        <w:spacing w:line="360" w:lineRule="auto"/>
        <w:ind w:firstLine="437"/>
        <w:outlineLvl w:val="3"/>
        <w:rPr>
          <w:rFonts w:ascii="宋体" w:hAnsi="宋体" w:cs="@仿宋_GB2312"/>
          <w:b/>
          <w:bCs/>
          <w:color w:val="000000"/>
          <w:sz w:val="24"/>
          <w:szCs w:val="24"/>
          <w:lang w:val="zh-CN"/>
        </w:rPr>
      </w:pPr>
      <w:bookmarkStart w:id="154" w:name="_Toc22955"/>
      <w:bookmarkStart w:id="155" w:name="_Toc10366"/>
      <w:bookmarkStart w:id="156" w:name="_Toc15237"/>
      <w:r>
        <w:rPr>
          <w:rFonts w:hint="eastAsia" w:ascii="宋体" w:hAnsi="宋体" w:cs="@仿宋_GB2312"/>
          <w:b/>
          <w:bCs/>
          <w:color w:val="000000"/>
          <w:sz w:val="24"/>
          <w:szCs w:val="24"/>
          <w:lang w:val="zh-CN"/>
        </w:rPr>
        <w:t>2.10 合同转让</w:t>
      </w:r>
      <w:bookmarkEnd w:id="151"/>
      <w:bookmarkEnd w:id="152"/>
      <w:bookmarkEnd w:id="153"/>
      <w:r>
        <w:rPr>
          <w:rFonts w:hint="eastAsia" w:ascii="宋体" w:hAnsi="宋体" w:cs="@仿宋_GB2312"/>
          <w:b/>
          <w:bCs/>
          <w:color w:val="000000"/>
          <w:sz w:val="24"/>
          <w:szCs w:val="24"/>
          <w:lang w:val="zh-CN"/>
        </w:rPr>
        <w:t>和分包</w:t>
      </w:r>
      <w:bookmarkEnd w:id="154"/>
      <w:bookmarkEnd w:id="155"/>
      <w:bookmarkEnd w:id="15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宋体" w:hAnsi="宋体" w:cs="@仿宋_GB2312"/>
          <w:b/>
          <w:bCs/>
          <w:color w:val="000000"/>
          <w:sz w:val="24"/>
          <w:szCs w:val="24"/>
          <w:lang w:val="zh-CN"/>
        </w:rPr>
      </w:pPr>
      <w:bookmarkStart w:id="157" w:name="_Toc13566"/>
      <w:bookmarkStart w:id="158" w:name="_Toc14066"/>
      <w:bookmarkStart w:id="159" w:name="_Toc16508"/>
      <w:r>
        <w:rPr>
          <w:rFonts w:hint="eastAsia" w:ascii="宋体" w:hAnsi="宋体" w:cs="@仿宋_GB2312"/>
          <w:b/>
          <w:bCs/>
          <w:color w:val="000000"/>
          <w:sz w:val="24"/>
          <w:szCs w:val="24"/>
          <w:lang w:val="zh-CN"/>
        </w:rPr>
        <w:t>2.11 不可抗力</w:t>
      </w:r>
      <w:bookmarkEnd w:id="157"/>
      <w:bookmarkEnd w:id="158"/>
      <w:bookmarkEnd w:id="15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2.11.1如果任何一方遭遇法律规定的不可抗力，致使合同履行受阻时，履行合同的期限应予延长，延长的期限应相当于不可抗力所影响的时间；</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2.11.2因不可抗力致使不能实现合同目的的，当事人可以解除合同；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2.11.3因不可抗力致使合同有变更必要的，双方当事人应在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约定时间内以书面形式变更合同；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2.11.4受不可抗力影响的一方在不可抗力发生后，应在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约定时间内以书面形式通知对方当事人，并在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约定时间内，将有关部门出具的证明文件送达对方当事人。</w:t>
      </w:r>
    </w:p>
    <w:p>
      <w:pPr>
        <w:spacing w:line="360" w:lineRule="auto"/>
        <w:ind w:firstLine="437"/>
        <w:outlineLvl w:val="3"/>
        <w:rPr>
          <w:rFonts w:ascii="宋体" w:hAnsi="宋体" w:cs="@仿宋_GB2312"/>
          <w:b/>
          <w:bCs/>
          <w:color w:val="000000"/>
          <w:sz w:val="24"/>
          <w:szCs w:val="24"/>
          <w:lang w:val="zh-CN"/>
        </w:rPr>
      </w:pPr>
      <w:bookmarkStart w:id="160" w:name="_Toc30676"/>
      <w:bookmarkStart w:id="161" w:name="_Toc487900365"/>
      <w:bookmarkStart w:id="162" w:name="_Toc6969"/>
      <w:bookmarkStart w:id="163" w:name="_Toc279701255"/>
      <w:bookmarkStart w:id="164" w:name="_Toc259093684"/>
      <w:bookmarkStart w:id="165" w:name="_Toc689"/>
      <w:r>
        <w:rPr>
          <w:rFonts w:hint="eastAsia" w:ascii="宋体" w:hAnsi="宋体" w:cs="@仿宋_GB2312"/>
          <w:b/>
          <w:bCs/>
          <w:color w:val="000000"/>
          <w:sz w:val="24"/>
          <w:szCs w:val="24"/>
          <w:lang w:val="zh-CN"/>
        </w:rPr>
        <w:t>2.12 税费</w:t>
      </w:r>
      <w:bookmarkEnd w:id="160"/>
      <w:bookmarkEnd w:id="161"/>
      <w:bookmarkEnd w:id="162"/>
      <w:bookmarkEnd w:id="163"/>
      <w:bookmarkEnd w:id="164"/>
      <w:bookmarkEnd w:id="165"/>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与合同有关的一切税费，均按照中华人民共和国法律的相关规定缴纳。</w:t>
      </w:r>
    </w:p>
    <w:p>
      <w:pPr>
        <w:spacing w:line="360" w:lineRule="auto"/>
        <w:ind w:firstLine="437"/>
        <w:outlineLvl w:val="3"/>
        <w:rPr>
          <w:rFonts w:ascii="宋体" w:hAnsi="宋体" w:cs="@仿宋_GB2312"/>
          <w:b/>
          <w:bCs/>
          <w:color w:val="000000"/>
          <w:sz w:val="24"/>
          <w:szCs w:val="24"/>
          <w:lang w:val="zh-CN"/>
        </w:rPr>
      </w:pPr>
      <w:bookmarkStart w:id="166" w:name="_Toc279701258"/>
      <w:bookmarkStart w:id="167" w:name="_Toc259093687"/>
      <w:bookmarkStart w:id="168" w:name="_Toc16959"/>
      <w:bookmarkStart w:id="169" w:name="_Toc487900368"/>
      <w:bookmarkStart w:id="170" w:name="_Toc7102"/>
      <w:bookmarkStart w:id="171" w:name="_Toc8298"/>
      <w:r>
        <w:rPr>
          <w:rFonts w:hint="eastAsia" w:ascii="宋体" w:hAnsi="宋体" w:cs="@仿宋_GB2312"/>
          <w:b/>
          <w:bCs/>
          <w:color w:val="000000"/>
          <w:sz w:val="24"/>
          <w:szCs w:val="24"/>
          <w:lang w:val="zh-CN"/>
        </w:rPr>
        <w:t>2.13 乙方破产</w:t>
      </w:r>
      <w:bookmarkEnd w:id="166"/>
      <w:bookmarkEnd w:id="167"/>
      <w:bookmarkEnd w:id="168"/>
      <w:bookmarkEnd w:id="169"/>
      <w:bookmarkEnd w:id="170"/>
      <w:bookmarkEnd w:id="171"/>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宋体" w:hAnsi="宋体" w:cs="@仿宋_GB2312"/>
          <w:b/>
          <w:color w:val="000000"/>
          <w:sz w:val="24"/>
          <w:szCs w:val="24"/>
        </w:rPr>
      </w:pPr>
      <w:bookmarkStart w:id="172" w:name="_Toc15387"/>
      <w:bookmarkStart w:id="173" w:name="_Toc6134"/>
      <w:bookmarkStart w:id="174" w:name="_Toc29333"/>
      <w:r>
        <w:rPr>
          <w:rFonts w:hint="eastAsia" w:ascii="宋体" w:hAnsi="宋体" w:cs="@仿宋_GB2312"/>
          <w:b/>
          <w:bCs/>
          <w:color w:val="000000"/>
          <w:sz w:val="24"/>
          <w:szCs w:val="24"/>
          <w:lang w:val="zh-CN"/>
        </w:rPr>
        <w:t>2.14 合同中止、终止</w:t>
      </w:r>
      <w:bookmarkEnd w:id="172"/>
      <w:bookmarkEnd w:id="173"/>
      <w:bookmarkEnd w:id="17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2.14.1双方当事人不得擅自中止或者终止合同；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cs="@仿宋_GB2312"/>
          <w:b/>
          <w:bCs/>
          <w:color w:val="000000"/>
          <w:sz w:val="24"/>
          <w:szCs w:val="24"/>
          <w:lang w:val="zh-CN"/>
        </w:rPr>
      </w:pPr>
      <w:bookmarkStart w:id="175" w:name="_Toc14563"/>
      <w:bookmarkStart w:id="176" w:name="_Toc1125"/>
      <w:bookmarkStart w:id="177" w:name="_Toc6596"/>
      <w:r>
        <w:rPr>
          <w:rFonts w:hint="eastAsia" w:ascii="宋体" w:hAnsi="宋体" w:cs="@仿宋_GB2312"/>
          <w:b/>
          <w:bCs/>
          <w:color w:val="000000"/>
          <w:sz w:val="24"/>
          <w:szCs w:val="24"/>
          <w:lang w:val="zh-CN"/>
        </w:rPr>
        <w:t>2.15 检验和验收</w:t>
      </w:r>
      <w:bookmarkEnd w:id="175"/>
      <w:bookmarkEnd w:id="176"/>
      <w:bookmarkEnd w:id="177"/>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2.15.1乙方按照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的约定，定期提交服务报告，甲方按照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的约定进行定期验收；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2.15.3检验和验收标准、程序等具体内容以及前述验收书的效力详见</w:t>
      </w:r>
      <w:r>
        <w:rPr>
          <w:rFonts w:hint="eastAsia" w:ascii="宋体" w:hAnsi="宋体" w:cs="@仿宋_GB2312"/>
          <w:b/>
          <w:i/>
          <w:color w:val="000000"/>
          <w:sz w:val="24"/>
          <w:szCs w:val="24"/>
          <w:u w:val="single"/>
        </w:rPr>
        <w:t>合同专用条款</w:t>
      </w:r>
      <w:r>
        <w:rPr>
          <w:rFonts w:hint="eastAsia" w:ascii="宋体" w:hAnsi="宋体" w:cs="@仿宋_GB2312"/>
          <w:i/>
          <w:color w:val="000000"/>
          <w:sz w:val="24"/>
          <w:szCs w:val="24"/>
        </w:rPr>
        <w:t>。</w:t>
      </w:r>
    </w:p>
    <w:bookmarkEnd w:id="147"/>
    <w:bookmarkEnd w:id="148"/>
    <w:bookmarkEnd w:id="149"/>
    <w:bookmarkEnd w:id="150"/>
    <w:p>
      <w:pPr>
        <w:spacing w:line="360" w:lineRule="auto"/>
        <w:ind w:firstLine="437"/>
        <w:outlineLvl w:val="3"/>
        <w:rPr>
          <w:rFonts w:ascii="宋体" w:hAnsi="宋体" w:cs="@仿宋_GB2312"/>
          <w:b/>
          <w:bCs/>
          <w:color w:val="000000"/>
          <w:sz w:val="24"/>
          <w:szCs w:val="24"/>
        </w:rPr>
      </w:pPr>
      <w:bookmarkStart w:id="178" w:name="_Toc10330"/>
      <w:bookmarkStart w:id="179" w:name="_Toc279701263"/>
      <w:bookmarkStart w:id="180" w:name="_Toc259093692"/>
      <w:bookmarkStart w:id="181" w:name="_Toc18567"/>
      <w:bookmarkStart w:id="182" w:name="_Toc487900373"/>
      <w:bookmarkStart w:id="183" w:name="_Toc12773"/>
      <w:r>
        <w:rPr>
          <w:rFonts w:hint="eastAsia" w:ascii="宋体" w:hAnsi="宋体" w:cs="@仿宋_GB2312"/>
          <w:b/>
          <w:bCs/>
          <w:color w:val="000000"/>
          <w:sz w:val="24"/>
          <w:szCs w:val="24"/>
        </w:rPr>
        <w:t xml:space="preserve">2.16 </w:t>
      </w:r>
      <w:r>
        <w:rPr>
          <w:rFonts w:hint="eastAsia" w:ascii="宋体" w:hAnsi="宋体" w:cs="@仿宋_GB2312"/>
          <w:b/>
          <w:bCs/>
          <w:color w:val="000000"/>
          <w:sz w:val="24"/>
          <w:szCs w:val="24"/>
          <w:lang w:val="zh-CN"/>
        </w:rPr>
        <w:t>合同使用的文字和适用的法律</w:t>
      </w:r>
      <w:bookmarkEnd w:id="178"/>
      <w:bookmarkEnd w:id="179"/>
      <w:bookmarkEnd w:id="180"/>
      <w:bookmarkEnd w:id="181"/>
      <w:bookmarkEnd w:id="182"/>
      <w:bookmarkEnd w:id="18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2.16.1合同使用汉语书就、变更和解释；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2.16.2合同适用中华人民共和国法律。</w:t>
      </w:r>
    </w:p>
    <w:p>
      <w:pPr>
        <w:spacing w:line="360" w:lineRule="auto"/>
        <w:ind w:firstLine="437"/>
        <w:outlineLvl w:val="3"/>
        <w:rPr>
          <w:rFonts w:ascii="宋体" w:hAnsi="宋体" w:cs="@仿宋_GB2312"/>
          <w:b/>
          <w:color w:val="000000"/>
          <w:sz w:val="24"/>
          <w:szCs w:val="24"/>
        </w:rPr>
      </w:pPr>
      <w:bookmarkStart w:id="184" w:name="_Toc279701264"/>
      <w:bookmarkStart w:id="185" w:name="_Toc16673"/>
      <w:bookmarkStart w:id="186" w:name="_Toc12004"/>
      <w:bookmarkStart w:id="187" w:name="_Toc259093693"/>
      <w:bookmarkStart w:id="188" w:name="_Toc3148"/>
      <w:bookmarkStart w:id="189" w:name="_Toc487900374"/>
      <w:r>
        <w:rPr>
          <w:rFonts w:hint="eastAsia" w:ascii="宋体" w:hAnsi="宋体" w:cs="@仿宋_GB2312"/>
          <w:b/>
          <w:bCs/>
          <w:color w:val="000000"/>
          <w:sz w:val="24"/>
          <w:szCs w:val="24"/>
          <w:lang w:val="zh-CN"/>
        </w:rPr>
        <w:t>2.17 履约保证金</w:t>
      </w:r>
      <w:bookmarkEnd w:id="184"/>
      <w:bookmarkEnd w:id="185"/>
      <w:bookmarkEnd w:id="186"/>
      <w:bookmarkEnd w:id="187"/>
      <w:bookmarkEnd w:id="18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2.17.1招标文件要求乙方提交履约保证金的，乙方应按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约定的方式，以支票、汇票、本票或者金融机构、担保机构出具的保函等非现金形式，提交履约保证金；</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2.17.2履约保证金在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约定期间内不予退还或者应完全有效，前述约定期间届满后，甲方应将履约保证金退还乙方；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9"/>
    <w:p>
      <w:pPr>
        <w:spacing w:line="360" w:lineRule="auto"/>
        <w:ind w:firstLine="437"/>
        <w:outlineLvl w:val="3"/>
        <w:rPr>
          <w:rFonts w:ascii="宋体" w:hAnsi="宋体" w:cs="@仿宋_GB2312"/>
          <w:b/>
          <w:color w:val="000000"/>
          <w:sz w:val="24"/>
          <w:szCs w:val="24"/>
        </w:rPr>
      </w:pPr>
      <w:bookmarkStart w:id="190" w:name="_Toc14001"/>
      <w:bookmarkStart w:id="191" w:name="_Toc6885"/>
      <w:bookmarkStart w:id="192" w:name="_Toc19890"/>
      <w:r>
        <w:rPr>
          <w:rFonts w:hint="eastAsia" w:ascii="宋体" w:hAnsi="宋体" w:cs="@仿宋_GB2312"/>
          <w:b/>
          <w:bCs/>
          <w:color w:val="000000"/>
          <w:sz w:val="24"/>
          <w:szCs w:val="24"/>
          <w:lang w:val="zh-CN"/>
        </w:rPr>
        <w:t>2.18 合同份数</w:t>
      </w:r>
      <w:bookmarkEnd w:id="190"/>
      <w:bookmarkEnd w:id="191"/>
      <w:bookmarkEnd w:id="192"/>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合同份数按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规定，每份均具有同等法律效力。</w:t>
      </w:r>
    </w:p>
    <w:p>
      <w:pPr>
        <w:spacing w:line="360" w:lineRule="auto"/>
        <w:jc w:val="center"/>
        <w:outlineLvl w:val="2"/>
        <w:rPr>
          <w:rFonts w:ascii="宋体" w:hAnsi="宋体" w:cs="@仿宋_GB2312"/>
          <w:b/>
          <w:color w:val="000000"/>
          <w:sz w:val="24"/>
          <w:szCs w:val="24"/>
        </w:rPr>
      </w:pPr>
      <w:bookmarkStart w:id="193" w:name="_Toc331685784"/>
      <w:r>
        <w:rPr>
          <w:rFonts w:hint="eastAsia" w:ascii="宋体" w:hAnsi="宋体" w:cs="@仿宋_GB2312"/>
          <w:b/>
          <w:color w:val="000000"/>
          <w:sz w:val="24"/>
          <w:szCs w:val="24"/>
        </w:rPr>
        <w:t>第三部分 合同专用条款</w:t>
      </w:r>
      <w:bookmarkEnd w:id="19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8"/>
        <w:gridCol w:w="8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条款号</w:t>
            </w:r>
          </w:p>
        </w:tc>
        <w:tc>
          <w:tcPr>
            <w:tcW w:w="452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bl>
    <w:p>
      <w:pPr>
        <w:spacing w:line="220" w:lineRule="atLeast"/>
        <w:ind w:firstLine="598" w:firstLineChars="200"/>
        <w:rPr>
          <w:rFonts w:ascii="宋体" w:hAnsi="宋体" w:cs="宋体"/>
          <w:b/>
          <w:bCs/>
          <w:sz w:val="32"/>
          <w:szCs w:val="32"/>
        </w:rPr>
      </w:pPr>
      <w:r>
        <w:rPr>
          <w:rFonts w:hint="eastAsia" w:hAnsi="宋体" w:cs="宋体"/>
          <w:b/>
          <w:bCs/>
          <w:sz w:val="32"/>
          <w:szCs w:val="32"/>
          <w:lang w:val="en-US" w:eastAsia="zh-CN"/>
        </w:rPr>
        <w:t>五</w:t>
      </w:r>
      <w:r>
        <w:rPr>
          <w:rFonts w:hint="eastAsia" w:ascii="宋体" w:hAnsi="宋体" w:cs="宋体"/>
          <w:b/>
          <w:bCs/>
          <w:sz w:val="32"/>
          <w:szCs w:val="32"/>
        </w:rPr>
        <w:t>、</w:t>
      </w:r>
      <w:r>
        <w:rPr>
          <w:rFonts w:hint="eastAsia" w:hAnsi="宋体" w:cs="宋体"/>
          <w:b/>
          <w:bCs/>
          <w:sz w:val="32"/>
          <w:szCs w:val="32"/>
          <w:lang w:val="en-US" w:eastAsia="zh-CN"/>
        </w:rPr>
        <w:t>采购需求：</w:t>
      </w:r>
    </w:p>
    <w:p>
      <w:pPr>
        <w:spacing w:line="220" w:lineRule="atLeast"/>
        <w:ind w:firstLine="518" w:firstLineChars="200"/>
        <w:rPr>
          <w:rFonts w:ascii="宋体" w:hAnsi="宋体" w:cs="宋体"/>
          <w:sz w:val="28"/>
          <w:szCs w:val="28"/>
        </w:rPr>
      </w:pPr>
      <w:r>
        <w:rPr>
          <w:rFonts w:hint="eastAsia" w:ascii="宋体" w:hAnsi="宋体" w:cs="宋体"/>
          <w:sz w:val="28"/>
          <w:szCs w:val="28"/>
        </w:rPr>
        <w:t>1、服务方须配备专业技术人员、专用车辆及齐全的专业工具，具有完全符合开展本项目要求的运营服务工作能力和技能知识；</w:t>
      </w:r>
    </w:p>
    <w:p>
      <w:pPr>
        <w:spacing w:line="220" w:lineRule="atLeast"/>
        <w:ind w:firstLine="518" w:firstLineChars="200"/>
        <w:rPr>
          <w:rFonts w:ascii="宋体" w:hAnsi="宋体" w:cs="宋体"/>
          <w:sz w:val="28"/>
          <w:szCs w:val="28"/>
        </w:rPr>
      </w:pPr>
      <w:r>
        <w:rPr>
          <w:rFonts w:hint="eastAsia" w:ascii="宋体" w:hAnsi="宋体" w:cs="宋体"/>
          <w:sz w:val="28"/>
          <w:szCs w:val="28"/>
        </w:rPr>
        <w:t>2、专业技术人员持证上岗，定岗定人，非特殊原因不得随意更换服务本</w:t>
      </w:r>
      <w:r>
        <w:rPr>
          <w:rFonts w:hint="eastAsia" w:ascii="宋体" w:hAnsi="宋体" w:cs="宋体"/>
          <w:sz w:val="28"/>
          <w:szCs w:val="28"/>
          <w:lang w:val="en-US" w:eastAsia="zh-CN"/>
        </w:rPr>
        <w:t>厂</w:t>
      </w:r>
      <w:r>
        <w:rPr>
          <w:rFonts w:hint="eastAsia" w:ascii="宋体" w:hAnsi="宋体" w:cs="宋体"/>
          <w:sz w:val="28"/>
          <w:szCs w:val="28"/>
        </w:rPr>
        <w:t>的服务人员。</w:t>
      </w:r>
    </w:p>
    <w:p>
      <w:pPr>
        <w:spacing w:line="220" w:lineRule="atLeast"/>
        <w:ind w:firstLine="518" w:firstLineChars="200"/>
        <w:rPr>
          <w:rFonts w:ascii="宋体" w:hAnsi="宋体" w:cs="宋体"/>
          <w:color w:val="auto"/>
          <w:sz w:val="28"/>
          <w:szCs w:val="28"/>
        </w:rPr>
      </w:pPr>
      <w:r>
        <w:rPr>
          <w:rFonts w:hint="eastAsia" w:ascii="宋体" w:hAnsi="宋体" w:cs="宋体"/>
          <w:color w:val="auto"/>
          <w:sz w:val="28"/>
          <w:szCs w:val="28"/>
        </w:rPr>
        <w:t>3、在线设备出现故障，必须在1小时内到达现场进行维修，如不属于零部件损坏，要在4小时内无偿排除故障；如属于零部件和主板机等大件损坏，要在12小时内修复并确保正常运行，大件损坏需维修更换问题应及时上报环保主管部门，提出合理预算，在完成相关合法确认手续后，组织维修并严格执行审计程序，维修更换过程留痕，维修结果需及时组织验收。</w:t>
      </w:r>
    </w:p>
    <w:p>
      <w:pPr>
        <w:spacing w:line="220" w:lineRule="atLeast"/>
        <w:ind w:firstLine="518" w:firstLineChars="200"/>
        <w:rPr>
          <w:rFonts w:ascii="宋体" w:hAnsi="宋体" w:cs="宋体"/>
          <w:sz w:val="28"/>
          <w:szCs w:val="28"/>
        </w:rPr>
      </w:pPr>
      <w:r>
        <w:rPr>
          <w:rFonts w:hint="eastAsia" w:ascii="宋体" w:hAnsi="宋体" w:cs="宋体"/>
          <w:color w:val="auto"/>
          <w:sz w:val="28"/>
          <w:szCs w:val="28"/>
        </w:rPr>
        <w:t>4、在线设备每周至少校零、校标1次；</w:t>
      </w:r>
      <w:r>
        <w:rPr>
          <w:rFonts w:hint="eastAsia" w:ascii="宋体" w:hAnsi="宋体" w:cs="宋体"/>
          <w:color w:val="auto"/>
          <w:sz w:val="28"/>
          <w:szCs w:val="28"/>
          <w:lang w:val="en-US" w:eastAsia="zh-CN"/>
        </w:rPr>
        <w:t>每年对在线设备量值溯源一次，并提供</w:t>
      </w:r>
      <w:r>
        <w:rPr>
          <w:rFonts w:hint="eastAsia" w:ascii="宋体" w:hAnsi="宋体" w:eastAsia="宋体" w:cs="宋体"/>
          <w:color w:val="auto"/>
          <w:sz w:val="28"/>
          <w:szCs w:val="28"/>
          <w:lang w:val="en-US" w:eastAsia="zh-CN"/>
        </w:rPr>
        <w:t>符合</w:t>
      </w:r>
      <w:r>
        <w:rPr>
          <w:rFonts w:hint="eastAsia" w:ascii="宋体" w:hAnsi="宋体" w:eastAsia="宋体" w:cs="宋体"/>
          <w:color w:val="auto"/>
          <w:sz w:val="28"/>
          <w:szCs w:val="28"/>
        </w:rPr>
        <w:t>合肥市</w:t>
      </w:r>
      <w:r>
        <w:rPr>
          <w:rFonts w:hint="eastAsia" w:ascii="宋体" w:hAnsi="宋体" w:eastAsia="宋体" w:cs="宋体"/>
          <w:color w:val="auto"/>
          <w:sz w:val="28"/>
          <w:szCs w:val="28"/>
          <w:lang w:val="en-US" w:eastAsia="zh-CN"/>
        </w:rPr>
        <w:t>生态环境</w:t>
      </w:r>
      <w:r>
        <w:rPr>
          <w:rFonts w:hint="eastAsia" w:ascii="宋体" w:hAnsi="宋体" w:eastAsia="宋体" w:cs="宋体"/>
          <w:color w:val="auto"/>
          <w:sz w:val="28"/>
          <w:szCs w:val="28"/>
        </w:rPr>
        <w:t>局</w:t>
      </w:r>
      <w:r>
        <w:rPr>
          <w:rFonts w:hint="eastAsia" w:ascii="宋体" w:hAnsi="宋体" w:eastAsia="宋体" w:cs="宋体"/>
          <w:color w:val="auto"/>
          <w:sz w:val="28"/>
          <w:szCs w:val="28"/>
          <w:lang w:val="en-US" w:eastAsia="zh-CN"/>
        </w:rPr>
        <w:t>要求的量子溯源设备检定证书。</w:t>
      </w:r>
      <w:r>
        <w:rPr>
          <w:rFonts w:hint="eastAsia" w:ascii="宋体" w:hAnsi="宋体" w:cs="宋体"/>
          <w:color w:val="auto"/>
          <w:sz w:val="28"/>
          <w:szCs w:val="28"/>
        </w:rPr>
        <w:t>每月组织有资质监测单位，并配合进行现场取样、比对监测，监测因子：COD、氨氮，</w:t>
      </w:r>
      <w:r>
        <w:rPr>
          <w:rFonts w:hint="eastAsia" w:ascii="宋体" w:hAnsi="宋体" w:cs="宋体"/>
          <w:color w:val="auto"/>
          <w:sz w:val="28"/>
          <w:szCs w:val="28"/>
          <w:lang w:val="en-US" w:eastAsia="zh-CN"/>
        </w:rPr>
        <w:t>总磷</w:t>
      </w:r>
      <w:r>
        <w:rPr>
          <w:rFonts w:hint="eastAsia" w:ascii="宋体" w:hAnsi="宋体" w:cs="宋体"/>
          <w:color w:val="auto"/>
          <w:sz w:val="28"/>
          <w:szCs w:val="28"/>
        </w:rPr>
        <w:t>要求在线设备实际样品（样品数不小于3个）交有监测资质单位进行实验室比对</w:t>
      </w:r>
      <w:r>
        <w:rPr>
          <w:rFonts w:hint="eastAsia" w:ascii="宋体" w:hAnsi="宋体" w:cs="宋体"/>
          <w:sz w:val="28"/>
          <w:szCs w:val="28"/>
        </w:rPr>
        <w:t>监测，确保监测数据的准确性和比对效果满足环保部门要求；在线监测采样频次情况，根据项目环境主管部门确定同意的频次为准，每周对现场组织巡查巡检，记录和上报存在问题。（有巡查巡检维护单，上报问题应以公司函的形式）.</w:t>
      </w:r>
    </w:p>
    <w:p>
      <w:pPr>
        <w:spacing w:line="220" w:lineRule="atLeast"/>
        <w:ind w:firstLine="518" w:firstLineChars="200"/>
        <w:rPr>
          <w:rFonts w:hint="default" w:eastAsia="楷体_GB2312"/>
          <w:lang w:val="en-US" w:eastAsia="zh-CN"/>
        </w:rPr>
      </w:pPr>
      <w:r>
        <w:rPr>
          <w:rFonts w:hint="eastAsia" w:ascii="宋体" w:hAnsi="宋体" w:cs="宋体"/>
          <w:sz w:val="28"/>
          <w:szCs w:val="28"/>
        </w:rPr>
        <w:t>5、无条件响应甲方指派和环保主管单位安排的技术培训、数据填报、台账编写、相关环保检查迎检、污水站自查巡查整改等实际行政工作。</w:t>
      </w:r>
    </w:p>
    <w:p>
      <w:pPr>
        <w:spacing w:line="220" w:lineRule="atLeast"/>
        <w:ind w:firstLine="518" w:firstLineChars="200"/>
        <w:rPr>
          <w:rFonts w:hint="default" w:eastAsia="楷体_GB2312"/>
          <w:lang w:val="en-US" w:eastAsia="zh-CN"/>
        </w:rPr>
      </w:pPr>
      <w:r>
        <w:rPr>
          <w:rFonts w:hint="eastAsia" w:ascii="宋体" w:hAnsi="宋体" w:cs="宋体"/>
          <w:sz w:val="28"/>
          <w:szCs w:val="28"/>
        </w:rPr>
        <w:t>6、无条件响应甲方排污许可证要求，按证件内环境管理台账记录规定、污染源巡查APP记录填报、执行（守法）报告规定组织完成相关所有工作。</w:t>
      </w:r>
    </w:p>
    <w:p>
      <w:pPr>
        <w:spacing w:line="220" w:lineRule="atLeast"/>
        <w:ind w:firstLine="518" w:firstLineChars="200"/>
        <w:rPr>
          <w:rFonts w:ascii="宋体" w:hAnsi="宋体" w:cs="宋体"/>
          <w:sz w:val="28"/>
          <w:szCs w:val="28"/>
        </w:rPr>
      </w:pPr>
      <w:r>
        <w:rPr>
          <w:rFonts w:hint="eastAsia" w:hAnsi="宋体" w:cs="宋体"/>
          <w:sz w:val="28"/>
          <w:szCs w:val="28"/>
          <w:lang w:val="en-US" w:eastAsia="zh-CN"/>
        </w:rPr>
        <w:t>7</w:t>
      </w:r>
      <w:r>
        <w:rPr>
          <w:rFonts w:hint="eastAsia" w:ascii="宋体" w:hAnsi="宋体" w:cs="宋体"/>
          <w:sz w:val="28"/>
          <w:szCs w:val="28"/>
        </w:rPr>
        <w:t>、项目清单</w:t>
      </w:r>
    </w:p>
    <w:tbl>
      <w:tblPr>
        <w:tblStyle w:val="65"/>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693"/>
        <w:gridCol w:w="1418"/>
        <w:gridCol w:w="850"/>
        <w:gridCol w:w="85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9356" w:type="dxa"/>
            <w:gridSpan w:val="6"/>
            <w:noWrap w:val="0"/>
            <w:vAlign w:val="center"/>
          </w:tcPr>
          <w:p>
            <w:pPr>
              <w:jc w:val="center"/>
              <w:rPr>
                <w:rFonts w:hint="eastAsia"/>
                <w:color w:val="auto"/>
              </w:rPr>
            </w:pPr>
            <w:r>
              <w:rPr>
                <w:rFonts w:hint="eastAsia" w:ascii="宋体" w:hAnsi="宋体" w:cs="宋体"/>
                <w:color w:val="auto"/>
                <w:sz w:val="24"/>
                <w:szCs w:val="24"/>
              </w:rPr>
              <w:t>合肥市高刘污水处理厂</w:t>
            </w:r>
            <w:r>
              <w:rPr>
                <w:rFonts w:hint="eastAsia" w:ascii="宋体" w:hAnsi="宋体" w:cs="宋体"/>
                <w:color w:val="auto"/>
                <w:sz w:val="24"/>
                <w:szCs w:val="24"/>
                <w:lang w:val="en-US" w:eastAsia="zh-CN"/>
              </w:rPr>
              <w:t>排</w:t>
            </w:r>
            <w:r>
              <w:rPr>
                <w:rFonts w:hint="eastAsia" w:ascii="宋体" w:hAnsi="宋体" w:cs="宋体"/>
                <w:color w:val="auto"/>
                <w:sz w:val="24"/>
                <w:szCs w:val="24"/>
              </w:rPr>
              <w:t>水口在线监测</w:t>
            </w:r>
            <w:r>
              <w:rPr>
                <w:rFonts w:hint="eastAsia" w:ascii="宋体" w:hAnsi="宋体" w:cs="宋体"/>
                <w:color w:val="auto"/>
                <w:sz w:val="28"/>
                <w:szCs w:val="28"/>
              </w:rPr>
              <w:t>系</w:t>
            </w:r>
            <w:r>
              <w:rPr>
                <w:rFonts w:hint="eastAsia" w:ascii="宋体" w:hAnsi="宋体" w:cs="宋体"/>
                <w:color w:val="auto"/>
                <w:sz w:val="24"/>
                <w:szCs w:val="24"/>
              </w:rPr>
              <w:t>统设备运营服务部分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68" w:type="dxa"/>
            <w:noWrap w:val="0"/>
            <w:vAlign w:val="center"/>
          </w:tcPr>
          <w:p>
            <w:pPr>
              <w:spacing w:before="156" w:beforeLines="50" w:after="156" w:afterLines="50" w:line="360" w:lineRule="auto"/>
              <w:jc w:val="center"/>
              <w:rPr>
                <w:color w:val="auto"/>
              </w:rPr>
            </w:pPr>
            <w:r>
              <w:rPr>
                <w:rFonts w:hint="eastAsia"/>
                <w:color w:val="auto"/>
              </w:rPr>
              <w:t>序号</w:t>
            </w:r>
          </w:p>
        </w:tc>
        <w:tc>
          <w:tcPr>
            <w:tcW w:w="2693" w:type="dxa"/>
            <w:noWrap w:val="0"/>
            <w:vAlign w:val="center"/>
          </w:tcPr>
          <w:p>
            <w:pPr>
              <w:spacing w:before="156" w:beforeLines="50" w:after="156" w:afterLines="50" w:line="360" w:lineRule="auto"/>
              <w:rPr>
                <w:color w:val="auto"/>
              </w:rPr>
            </w:pPr>
            <w:r>
              <w:rPr>
                <w:rFonts w:hint="eastAsia"/>
                <w:color w:val="auto"/>
              </w:rPr>
              <w:t>在线设备名称和型号</w:t>
            </w:r>
          </w:p>
        </w:tc>
        <w:tc>
          <w:tcPr>
            <w:tcW w:w="1418" w:type="dxa"/>
            <w:noWrap w:val="0"/>
            <w:vAlign w:val="center"/>
          </w:tcPr>
          <w:p>
            <w:pPr>
              <w:spacing w:before="156" w:beforeLines="50" w:after="156" w:afterLines="50" w:line="360" w:lineRule="auto"/>
              <w:jc w:val="center"/>
              <w:rPr>
                <w:color w:val="auto"/>
              </w:rPr>
            </w:pPr>
            <w:r>
              <w:rPr>
                <w:rFonts w:hint="eastAsia"/>
                <w:color w:val="auto"/>
              </w:rPr>
              <w:t>生产单位</w:t>
            </w:r>
          </w:p>
        </w:tc>
        <w:tc>
          <w:tcPr>
            <w:tcW w:w="850" w:type="dxa"/>
            <w:noWrap w:val="0"/>
            <w:vAlign w:val="center"/>
          </w:tcPr>
          <w:p>
            <w:pPr>
              <w:spacing w:before="156" w:beforeLines="50" w:after="156" w:afterLines="50" w:line="360" w:lineRule="auto"/>
              <w:jc w:val="center"/>
              <w:rPr>
                <w:color w:val="auto"/>
              </w:rPr>
            </w:pPr>
            <w:r>
              <w:rPr>
                <w:rFonts w:hint="eastAsia"/>
                <w:color w:val="auto"/>
              </w:rPr>
              <w:t>数量</w:t>
            </w:r>
          </w:p>
        </w:tc>
        <w:tc>
          <w:tcPr>
            <w:tcW w:w="851" w:type="dxa"/>
            <w:noWrap w:val="0"/>
            <w:vAlign w:val="center"/>
          </w:tcPr>
          <w:p>
            <w:pPr>
              <w:spacing w:before="156" w:beforeLines="50" w:after="156" w:afterLines="50" w:line="360" w:lineRule="auto"/>
              <w:rPr>
                <w:color w:val="auto"/>
              </w:rPr>
            </w:pPr>
            <w:r>
              <w:rPr>
                <w:rFonts w:hint="eastAsia"/>
                <w:color w:val="auto"/>
              </w:rPr>
              <w:t>价格</w:t>
            </w:r>
          </w:p>
        </w:tc>
        <w:tc>
          <w:tcPr>
            <w:tcW w:w="2976" w:type="dxa"/>
            <w:noWrap w:val="0"/>
            <w:vAlign w:val="center"/>
          </w:tcPr>
          <w:p>
            <w:pPr>
              <w:spacing w:before="156" w:beforeLines="50" w:after="156" w:afterLines="50" w:line="360" w:lineRule="auto"/>
              <w:jc w:val="center"/>
              <w:rPr>
                <w:color w:val="auto"/>
              </w:rPr>
            </w:pPr>
            <w:r>
              <w:rPr>
                <w:rFonts w:hint="eastAsia"/>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68" w:type="dxa"/>
            <w:noWrap w:val="0"/>
            <w:vAlign w:val="center"/>
          </w:tcPr>
          <w:p>
            <w:pPr>
              <w:spacing w:before="156" w:beforeLines="50" w:after="156" w:afterLines="50" w:line="360" w:lineRule="auto"/>
              <w:jc w:val="center"/>
              <w:rPr>
                <w:color w:val="auto"/>
              </w:rPr>
            </w:pPr>
            <w:r>
              <w:rPr>
                <w:rFonts w:hint="eastAsia"/>
                <w:color w:val="auto"/>
              </w:rPr>
              <w:t>1</w:t>
            </w:r>
          </w:p>
        </w:tc>
        <w:tc>
          <w:tcPr>
            <w:tcW w:w="2693" w:type="dxa"/>
            <w:noWrap w:val="0"/>
            <w:vAlign w:val="center"/>
          </w:tcPr>
          <w:p>
            <w:pPr>
              <w:spacing w:before="156" w:beforeLines="50" w:after="156" w:afterLines="50" w:line="360" w:lineRule="auto"/>
              <w:rPr>
                <w:color w:val="auto"/>
              </w:rPr>
            </w:pPr>
            <w:r>
              <w:rPr>
                <w:rFonts w:hint="eastAsia"/>
                <w:color w:val="auto"/>
              </w:rPr>
              <w:t>BS-2008型在线监测设备</w:t>
            </w:r>
          </w:p>
        </w:tc>
        <w:tc>
          <w:tcPr>
            <w:tcW w:w="1418" w:type="dxa"/>
            <w:noWrap w:val="0"/>
            <w:vAlign w:val="center"/>
          </w:tcPr>
          <w:p>
            <w:pPr>
              <w:spacing w:before="156" w:beforeLines="50" w:after="156" w:afterLines="50" w:line="360" w:lineRule="auto"/>
              <w:rPr>
                <w:color w:val="auto"/>
              </w:rPr>
            </w:pPr>
            <w:r>
              <w:rPr>
                <w:rFonts w:hint="eastAsia"/>
                <w:color w:val="auto"/>
              </w:rPr>
              <w:t>安徽碧水</w:t>
            </w:r>
          </w:p>
        </w:tc>
        <w:tc>
          <w:tcPr>
            <w:tcW w:w="850" w:type="dxa"/>
            <w:noWrap w:val="0"/>
            <w:vAlign w:val="center"/>
          </w:tcPr>
          <w:p>
            <w:pPr>
              <w:spacing w:before="156" w:beforeLines="50" w:after="156" w:afterLines="50" w:line="360" w:lineRule="auto"/>
              <w:rPr>
                <w:color w:val="auto"/>
              </w:rPr>
            </w:pPr>
            <w:r>
              <w:rPr>
                <w:rFonts w:hint="eastAsia"/>
                <w:color w:val="auto"/>
              </w:rPr>
              <w:t>1台/年</w:t>
            </w:r>
          </w:p>
        </w:tc>
        <w:tc>
          <w:tcPr>
            <w:tcW w:w="851" w:type="dxa"/>
            <w:noWrap w:val="0"/>
            <w:vAlign w:val="top"/>
          </w:tcPr>
          <w:p>
            <w:pPr>
              <w:spacing w:before="156" w:beforeLines="50" w:after="156" w:afterLines="50" w:line="360" w:lineRule="auto"/>
              <w:rPr>
                <w:color w:val="auto"/>
              </w:rPr>
            </w:pPr>
          </w:p>
        </w:tc>
        <w:tc>
          <w:tcPr>
            <w:tcW w:w="2976" w:type="dxa"/>
            <w:noWrap w:val="0"/>
            <w:vAlign w:val="top"/>
          </w:tcPr>
          <w:p>
            <w:pPr>
              <w:spacing w:before="156" w:beforeLines="50" w:after="156" w:afterLines="50" w:line="360" w:lineRule="auto"/>
              <w:rPr>
                <w:color w:val="auto"/>
              </w:rPr>
            </w:pPr>
            <w:r>
              <w:rPr>
                <w:rFonts w:hint="eastAsia"/>
                <w:color w:val="auto"/>
              </w:rPr>
              <w:t>包含仪器所有的易损件、管路、电路、阀等。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68" w:type="dxa"/>
            <w:noWrap w:val="0"/>
            <w:vAlign w:val="center"/>
          </w:tcPr>
          <w:p>
            <w:pPr>
              <w:spacing w:before="156" w:beforeLines="50" w:after="156" w:afterLines="50" w:line="360" w:lineRule="auto"/>
              <w:jc w:val="center"/>
              <w:rPr>
                <w:rFonts w:hint="eastAsia"/>
                <w:color w:val="auto"/>
              </w:rPr>
            </w:pPr>
            <w:r>
              <w:rPr>
                <w:rFonts w:hint="eastAsia"/>
                <w:color w:val="auto"/>
              </w:rPr>
              <w:t>2</w:t>
            </w:r>
          </w:p>
        </w:tc>
        <w:tc>
          <w:tcPr>
            <w:tcW w:w="2693" w:type="dxa"/>
            <w:noWrap w:val="0"/>
            <w:vAlign w:val="center"/>
          </w:tcPr>
          <w:p>
            <w:pPr>
              <w:spacing w:before="156" w:beforeLines="50" w:after="156" w:afterLines="50" w:line="360" w:lineRule="auto"/>
              <w:rPr>
                <w:rFonts w:hint="eastAsia"/>
                <w:color w:val="auto"/>
              </w:rPr>
            </w:pPr>
            <w:r>
              <w:rPr>
                <w:rFonts w:hint="eastAsia"/>
                <w:color w:val="auto"/>
                <w:lang w:val="en-US" w:eastAsia="zh-CN"/>
              </w:rPr>
              <w:t>BS-NH3-N</w:t>
            </w:r>
            <w:r>
              <w:rPr>
                <w:rFonts w:hint="eastAsia"/>
                <w:color w:val="auto"/>
              </w:rPr>
              <w:t>型氨氮在线监测设备</w:t>
            </w:r>
          </w:p>
        </w:tc>
        <w:tc>
          <w:tcPr>
            <w:tcW w:w="1418" w:type="dxa"/>
            <w:noWrap w:val="0"/>
            <w:vAlign w:val="center"/>
          </w:tcPr>
          <w:p>
            <w:pPr>
              <w:spacing w:before="156" w:beforeLines="50" w:after="156" w:afterLines="50" w:line="360" w:lineRule="auto"/>
              <w:rPr>
                <w:rFonts w:hint="eastAsia"/>
                <w:color w:val="auto"/>
              </w:rPr>
            </w:pPr>
            <w:r>
              <w:rPr>
                <w:rFonts w:hint="eastAsia"/>
                <w:color w:val="auto"/>
              </w:rPr>
              <w:t>安徽碧水</w:t>
            </w:r>
          </w:p>
        </w:tc>
        <w:tc>
          <w:tcPr>
            <w:tcW w:w="850" w:type="dxa"/>
            <w:noWrap w:val="0"/>
            <w:vAlign w:val="center"/>
          </w:tcPr>
          <w:p>
            <w:pPr>
              <w:spacing w:before="156" w:beforeLines="50" w:after="156" w:afterLines="50" w:line="360" w:lineRule="auto"/>
              <w:rPr>
                <w:color w:val="auto"/>
              </w:rPr>
            </w:pPr>
            <w:r>
              <w:rPr>
                <w:rFonts w:hint="eastAsia"/>
                <w:color w:val="auto"/>
              </w:rPr>
              <w:t>1台/年</w:t>
            </w:r>
          </w:p>
        </w:tc>
        <w:tc>
          <w:tcPr>
            <w:tcW w:w="851" w:type="dxa"/>
            <w:noWrap w:val="0"/>
            <w:vAlign w:val="top"/>
          </w:tcPr>
          <w:p>
            <w:pPr>
              <w:spacing w:before="156" w:beforeLines="50" w:after="156" w:afterLines="50" w:line="360" w:lineRule="auto"/>
              <w:rPr>
                <w:color w:val="auto"/>
              </w:rPr>
            </w:pPr>
          </w:p>
        </w:tc>
        <w:tc>
          <w:tcPr>
            <w:tcW w:w="2976" w:type="dxa"/>
            <w:noWrap w:val="0"/>
            <w:vAlign w:val="top"/>
          </w:tcPr>
          <w:p>
            <w:pPr>
              <w:spacing w:before="156" w:beforeLines="50" w:after="156" w:afterLines="50" w:line="360" w:lineRule="auto"/>
              <w:rPr>
                <w:color w:val="auto"/>
              </w:rPr>
            </w:pPr>
            <w:r>
              <w:rPr>
                <w:rFonts w:hint="eastAsia"/>
                <w:color w:val="auto"/>
              </w:rPr>
              <w:t>包含仪器所有的易损件、管路、电路、阀等。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68" w:type="dxa"/>
            <w:noWrap w:val="0"/>
            <w:vAlign w:val="center"/>
          </w:tcPr>
          <w:p>
            <w:pPr>
              <w:spacing w:before="156" w:beforeLines="50" w:after="156" w:afterLines="50" w:line="360" w:lineRule="auto"/>
              <w:jc w:val="center"/>
              <w:rPr>
                <w:rFonts w:hint="eastAsia" w:eastAsia="宋体"/>
                <w:color w:val="auto"/>
                <w:lang w:val="en-US" w:eastAsia="zh-CN"/>
              </w:rPr>
            </w:pPr>
            <w:r>
              <w:rPr>
                <w:rFonts w:hint="eastAsia"/>
                <w:color w:val="auto"/>
                <w:lang w:val="en-US" w:eastAsia="zh-CN"/>
              </w:rPr>
              <w:t>3</w:t>
            </w:r>
          </w:p>
        </w:tc>
        <w:tc>
          <w:tcPr>
            <w:tcW w:w="2693" w:type="dxa"/>
            <w:noWrap w:val="0"/>
            <w:vAlign w:val="center"/>
          </w:tcPr>
          <w:p>
            <w:pPr>
              <w:spacing w:before="156" w:beforeLines="50" w:after="156" w:afterLines="50" w:line="360" w:lineRule="auto"/>
              <w:rPr>
                <w:rFonts w:hint="eastAsia"/>
                <w:color w:val="auto"/>
              </w:rPr>
            </w:pPr>
            <w:r>
              <w:rPr>
                <w:rFonts w:hint="eastAsia"/>
                <w:color w:val="auto"/>
              </w:rPr>
              <w:t>BS-</w:t>
            </w:r>
            <w:r>
              <w:rPr>
                <w:rFonts w:hint="eastAsia"/>
                <w:color w:val="auto"/>
                <w:lang w:val="en-US" w:eastAsia="zh-CN"/>
              </w:rPr>
              <w:t>TP</w:t>
            </w:r>
            <w:r>
              <w:rPr>
                <w:rFonts w:hint="eastAsia"/>
                <w:color w:val="auto"/>
              </w:rPr>
              <w:t>型在线监测设备</w:t>
            </w:r>
          </w:p>
        </w:tc>
        <w:tc>
          <w:tcPr>
            <w:tcW w:w="1418" w:type="dxa"/>
            <w:noWrap w:val="0"/>
            <w:vAlign w:val="center"/>
          </w:tcPr>
          <w:p>
            <w:pPr>
              <w:spacing w:before="156" w:beforeLines="50" w:after="156" w:afterLines="50" w:line="360" w:lineRule="auto"/>
              <w:rPr>
                <w:rFonts w:hint="eastAsia"/>
                <w:color w:val="auto"/>
              </w:rPr>
            </w:pPr>
            <w:r>
              <w:rPr>
                <w:rFonts w:hint="eastAsia"/>
                <w:color w:val="auto"/>
              </w:rPr>
              <w:t>安徽碧水</w:t>
            </w:r>
          </w:p>
        </w:tc>
        <w:tc>
          <w:tcPr>
            <w:tcW w:w="850" w:type="dxa"/>
            <w:noWrap w:val="0"/>
            <w:vAlign w:val="center"/>
          </w:tcPr>
          <w:p>
            <w:pPr>
              <w:spacing w:before="156" w:beforeLines="50" w:after="156" w:afterLines="50" w:line="360" w:lineRule="auto"/>
              <w:rPr>
                <w:rFonts w:hint="eastAsia"/>
                <w:color w:val="auto"/>
              </w:rPr>
            </w:pPr>
            <w:r>
              <w:rPr>
                <w:rFonts w:hint="eastAsia"/>
                <w:color w:val="auto"/>
              </w:rPr>
              <w:t>1台/年</w:t>
            </w:r>
          </w:p>
        </w:tc>
        <w:tc>
          <w:tcPr>
            <w:tcW w:w="851" w:type="dxa"/>
            <w:noWrap w:val="0"/>
            <w:vAlign w:val="top"/>
          </w:tcPr>
          <w:p>
            <w:pPr>
              <w:spacing w:before="156" w:beforeLines="50" w:after="156" w:afterLines="50" w:line="360" w:lineRule="auto"/>
              <w:rPr>
                <w:color w:val="auto"/>
              </w:rPr>
            </w:pPr>
          </w:p>
        </w:tc>
        <w:tc>
          <w:tcPr>
            <w:tcW w:w="2976" w:type="dxa"/>
            <w:noWrap w:val="0"/>
            <w:vAlign w:val="top"/>
          </w:tcPr>
          <w:p>
            <w:pPr>
              <w:spacing w:before="156" w:beforeLines="50" w:after="156" w:afterLines="50" w:line="360" w:lineRule="auto"/>
              <w:rPr>
                <w:rFonts w:hint="eastAsia"/>
                <w:color w:val="auto"/>
              </w:rPr>
            </w:pPr>
            <w:r>
              <w:rPr>
                <w:rFonts w:hint="eastAsia"/>
                <w:color w:val="auto"/>
              </w:rPr>
              <w:t>包含仪器所有的易损件、管路、电路、阀等。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68" w:type="dxa"/>
            <w:noWrap w:val="0"/>
            <w:vAlign w:val="center"/>
          </w:tcPr>
          <w:p>
            <w:pPr>
              <w:spacing w:before="156" w:beforeLines="50" w:after="156" w:afterLines="50"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p>
        </w:tc>
        <w:tc>
          <w:tcPr>
            <w:tcW w:w="2693"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WHJJ无线环境数据采集记录传输仪</w:t>
            </w:r>
          </w:p>
        </w:tc>
        <w:tc>
          <w:tcPr>
            <w:tcW w:w="1418"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安徽碧水</w:t>
            </w:r>
          </w:p>
        </w:tc>
        <w:tc>
          <w:tcPr>
            <w:tcW w:w="850"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1台/年</w:t>
            </w:r>
          </w:p>
        </w:tc>
        <w:tc>
          <w:tcPr>
            <w:tcW w:w="851" w:type="dxa"/>
            <w:noWrap w:val="0"/>
            <w:vAlign w:val="top"/>
          </w:tcPr>
          <w:p>
            <w:pPr>
              <w:spacing w:before="156" w:beforeLines="50" w:after="156" w:afterLines="50" w:line="360" w:lineRule="auto"/>
              <w:rPr>
                <w:rFonts w:ascii="宋体" w:hAnsi="宋体" w:cs="宋体"/>
                <w:color w:val="auto"/>
                <w:sz w:val="24"/>
                <w:szCs w:val="24"/>
              </w:rPr>
            </w:pPr>
          </w:p>
        </w:tc>
        <w:tc>
          <w:tcPr>
            <w:tcW w:w="2976" w:type="dxa"/>
            <w:noWrap w:val="0"/>
            <w:vAlign w:val="top"/>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包含仪器所有的易损件、管路、电路、阀、探头等。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68" w:type="dxa"/>
            <w:noWrap w:val="0"/>
            <w:vAlign w:val="center"/>
          </w:tcPr>
          <w:p>
            <w:pPr>
              <w:spacing w:before="156" w:beforeLines="50" w:after="156" w:afterLines="50"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2693"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COD在线监测设备使用试剂及标液</w:t>
            </w:r>
          </w:p>
        </w:tc>
        <w:tc>
          <w:tcPr>
            <w:tcW w:w="1418"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安徽碧水</w:t>
            </w:r>
          </w:p>
        </w:tc>
        <w:tc>
          <w:tcPr>
            <w:tcW w:w="850"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1小时测量一次，运行消耗整套试剂(预18-20套)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68" w:type="dxa"/>
            <w:noWrap w:val="0"/>
            <w:vAlign w:val="center"/>
          </w:tcPr>
          <w:p>
            <w:pPr>
              <w:spacing w:before="156" w:beforeLines="50" w:after="156" w:afterLines="50"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p>
        </w:tc>
        <w:tc>
          <w:tcPr>
            <w:tcW w:w="2693"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氨氮在线监测设备使用试剂及标液</w:t>
            </w:r>
          </w:p>
        </w:tc>
        <w:tc>
          <w:tcPr>
            <w:tcW w:w="1418" w:type="dxa"/>
            <w:noWrap w:val="0"/>
            <w:vAlign w:val="center"/>
          </w:tcPr>
          <w:p>
            <w:pPr>
              <w:spacing w:before="156" w:beforeLines="50" w:after="156" w:afterLines="50" w:line="360" w:lineRule="auto"/>
              <w:rPr>
                <w:rFonts w:hint="eastAsia"/>
                <w:color w:val="auto"/>
                <w:highlight w:val="none"/>
              </w:rPr>
            </w:pPr>
            <w:r>
              <w:rPr>
                <w:rFonts w:hint="eastAsia"/>
                <w:color w:val="auto"/>
                <w:highlight w:val="none"/>
              </w:rPr>
              <w:t>意大利希思迪</w:t>
            </w:r>
          </w:p>
        </w:tc>
        <w:tc>
          <w:tcPr>
            <w:tcW w:w="850"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color w:val="auto"/>
                <w:highlight w:val="none"/>
              </w:rPr>
            </w:pPr>
          </w:p>
        </w:tc>
        <w:tc>
          <w:tcPr>
            <w:tcW w:w="2976" w:type="dxa"/>
            <w:noWrap w:val="0"/>
            <w:vAlign w:val="top"/>
          </w:tcPr>
          <w:p>
            <w:pPr>
              <w:spacing w:before="156" w:beforeLines="50" w:after="156" w:afterLines="50" w:line="360" w:lineRule="auto"/>
              <w:rPr>
                <w:color w:val="auto"/>
                <w:highlight w:val="none"/>
              </w:rPr>
            </w:pPr>
            <w:r>
              <w:rPr>
                <w:rFonts w:hint="eastAsia" w:ascii="宋体" w:hAnsi="宋体" w:cs="宋体"/>
                <w:color w:val="auto"/>
                <w:sz w:val="24"/>
                <w:szCs w:val="24"/>
                <w:highlight w:val="none"/>
              </w:rPr>
              <w:t>1小时测量一次，运行消耗整套试剂(预18-20套)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p>
        </w:tc>
        <w:tc>
          <w:tcPr>
            <w:tcW w:w="2693"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TP</w:t>
            </w:r>
            <w:r>
              <w:rPr>
                <w:rFonts w:hint="eastAsia" w:ascii="宋体" w:hAnsi="宋体" w:cs="宋体"/>
                <w:color w:val="auto"/>
                <w:sz w:val="24"/>
                <w:szCs w:val="24"/>
                <w:highlight w:val="none"/>
              </w:rPr>
              <w:t>在线监测设备使用试剂及标液</w:t>
            </w:r>
          </w:p>
        </w:tc>
        <w:tc>
          <w:tcPr>
            <w:tcW w:w="1418"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安徽碧水</w:t>
            </w:r>
          </w:p>
        </w:tc>
        <w:tc>
          <w:tcPr>
            <w:tcW w:w="850"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1小时测量一次，运行消耗整套试剂(预18-20套)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2693"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COD在线设备月度比对监测（必须现场取样、报告含CMA章）</w:t>
            </w:r>
          </w:p>
        </w:tc>
        <w:tc>
          <w:tcPr>
            <w:tcW w:w="1418"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12次/年(每月一次)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p>
        </w:tc>
        <w:tc>
          <w:tcPr>
            <w:tcW w:w="2693"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氨氮在线设备月度比对监测（必须现场取样、报告含CMA章）</w:t>
            </w:r>
          </w:p>
        </w:tc>
        <w:tc>
          <w:tcPr>
            <w:tcW w:w="1418"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ascii="宋体" w:hAnsi="宋体" w:cs="宋体"/>
                <w:color w:val="auto"/>
                <w:sz w:val="24"/>
                <w:szCs w:val="24"/>
                <w:highlight w:val="none"/>
              </w:rPr>
            </w:pPr>
            <w:r>
              <w:rPr>
                <w:rFonts w:hint="eastAsia" w:ascii="宋体" w:hAnsi="宋体" w:cs="宋体"/>
                <w:color w:val="auto"/>
                <w:sz w:val="24"/>
                <w:szCs w:val="24"/>
                <w:highlight w:val="none"/>
              </w:rPr>
              <w:t>12次/年(每月一次)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2693"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氨氮在线设备月度比对监测（必须现场取样、报告含CMA章）</w:t>
            </w:r>
          </w:p>
        </w:tc>
        <w:tc>
          <w:tcPr>
            <w:tcW w:w="1418"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1套/1年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12次/年(每月一次)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2693"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COD</w:t>
            </w:r>
            <w:r>
              <w:rPr>
                <w:rFonts w:hint="eastAsia" w:ascii="宋体" w:hAnsi="宋体" w:cs="宋体"/>
                <w:color w:val="auto"/>
                <w:sz w:val="24"/>
                <w:szCs w:val="24"/>
                <w:highlight w:val="none"/>
              </w:rPr>
              <w:t>在线设备</w:t>
            </w:r>
            <w:r>
              <w:rPr>
                <w:rFonts w:hint="eastAsia" w:ascii="宋体" w:hAnsi="宋体" w:cs="宋体"/>
                <w:color w:val="auto"/>
                <w:sz w:val="24"/>
                <w:szCs w:val="24"/>
                <w:highlight w:val="none"/>
                <w:lang w:val="en-US" w:eastAsia="zh-CN"/>
              </w:rPr>
              <w:t>年度量值溯源</w:t>
            </w:r>
          </w:p>
        </w:tc>
        <w:tc>
          <w:tcPr>
            <w:tcW w:w="1418"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次</w:t>
            </w:r>
            <w:r>
              <w:rPr>
                <w:rFonts w:hint="eastAsia" w:ascii="宋体" w:hAnsi="宋体" w:cs="宋体"/>
                <w:color w:val="auto"/>
                <w:sz w:val="24"/>
                <w:szCs w:val="24"/>
                <w:highlight w:val="none"/>
              </w:rPr>
              <w:t>/1年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1次/年(每</w:t>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2693"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氨氮</w:t>
            </w:r>
            <w:r>
              <w:rPr>
                <w:rFonts w:hint="eastAsia" w:ascii="宋体" w:hAnsi="宋体" w:cs="宋体"/>
                <w:color w:val="auto"/>
                <w:sz w:val="24"/>
                <w:szCs w:val="24"/>
                <w:highlight w:val="none"/>
              </w:rPr>
              <w:t>在线设备</w:t>
            </w:r>
            <w:r>
              <w:rPr>
                <w:rFonts w:hint="eastAsia" w:ascii="宋体" w:hAnsi="宋体" w:cs="宋体"/>
                <w:color w:val="auto"/>
                <w:sz w:val="24"/>
                <w:szCs w:val="24"/>
                <w:highlight w:val="none"/>
                <w:lang w:val="en-US" w:eastAsia="zh-CN"/>
              </w:rPr>
              <w:t>年度量值溯源</w:t>
            </w:r>
          </w:p>
        </w:tc>
        <w:tc>
          <w:tcPr>
            <w:tcW w:w="1418"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次</w:t>
            </w:r>
            <w:r>
              <w:rPr>
                <w:rFonts w:hint="eastAsia" w:ascii="宋体" w:hAnsi="宋体" w:cs="宋体"/>
                <w:color w:val="auto"/>
                <w:sz w:val="24"/>
                <w:szCs w:val="24"/>
                <w:highlight w:val="none"/>
              </w:rPr>
              <w:t>/1年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1次/年(每</w:t>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68" w:type="dxa"/>
            <w:noWrap w:val="0"/>
            <w:vAlign w:val="center"/>
          </w:tcPr>
          <w:p>
            <w:pPr>
              <w:spacing w:before="156" w:beforeLines="50" w:after="156" w:afterLines="50"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2693" w:type="dxa"/>
            <w:noWrap w:val="0"/>
            <w:vAlign w:val="center"/>
          </w:tcPr>
          <w:p>
            <w:pPr>
              <w:spacing w:before="156" w:beforeLines="50" w:after="156" w:afterLines="50"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TP</w:t>
            </w:r>
            <w:r>
              <w:rPr>
                <w:rFonts w:hint="eastAsia" w:ascii="宋体" w:hAnsi="宋体" w:cs="宋体"/>
                <w:color w:val="auto"/>
                <w:sz w:val="24"/>
                <w:szCs w:val="24"/>
                <w:highlight w:val="none"/>
              </w:rPr>
              <w:t>在线设备</w:t>
            </w:r>
            <w:r>
              <w:rPr>
                <w:rFonts w:hint="eastAsia" w:ascii="宋体" w:hAnsi="宋体" w:cs="宋体"/>
                <w:color w:val="auto"/>
                <w:sz w:val="24"/>
                <w:szCs w:val="24"/>
                <w:highlight w:val="none"/>
                <w:lang w:val="en-US" w:eastAsia="zh-CN"/>
              </w:rPr>
              <w:t>年度量值溯源</w:t>
            </w:r>
          </w:p>
        </w:tc>
        <w:tc>
          <w:tcPr>
            <w:tcW w:w="1418"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850" w:type="dxa"/>
            <w:noWrap w:val="0"/>
            <w:vAlign w:val="center"/>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次</w:t>
            </w:r>
            <w:r>
              <w:rPr>
                <w:rFonts w:hint="eastAsia" w:ascii="宋体" w:hAnsi="宋体" w:cs="宋体"/>
                <w:color w:val="auto"/>
                <w:sz w:val="24"/>
                <w:szCs w:val="24"/>
                <w:highlight w:val="none"/>
              </w:rPr>
              <w:t>/1年</w:t>
            </w:r>
          </w:p>
        </w:tc>
        <w:tc>
          <w:tcPr>
            <w:tcW w:w="851" w:type="dxa"/>
            <w:noWrap w:val="0"/>
            <w:vAlign w:val="top"/>
          </w:tcPr>
          <w:p>
            <w:pPr>
              <w:spacing w:before="156" w:beforeLines="50" w:after="156" w:afterLines="50" w:line="360" w:lineRule="auto"/>
              <w:rPr>
                <w:rFonts w:ascii="宋体" w:hAnsi="宋体" w:cs="宋体"/>
                <w:color w:val="auto"/>
                <w:sz w:val="24"/>
                <w:szCs w:val="24"/>
                <w:highlight w:val="none"/>
              </w:rPr>
            </w:pPr>
          </w:p>
        </w:tc>
        <w:tc>
          <w:tcPr>
            <w:tcW w:w="2976" w:type="dxa"/>
            <w:noWrap w:val="0"/>
            <w:vAlign w:val="top"/>
          </w:tcPr>
          <w:p>
            <w:pPr>
              <w:spacing w:before="156" w:beforeLines="50" w:after="156" w:afterLines="5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1次/年(每</w:t>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68" w:type="dxa"/>
            <w:noWrap w:val="0"/>
            <w:vAlign w:val="center"/>
          </w:tcPr>
          <w:p>
            <w:pPr>
              <w:spacing w:before="156" w:beforeLines="50" w:after="156" w:afterLines="50"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p>
        </w:tc>
        <w:tc>
          <w:tcPr>
            <w:tcW w:w="2693"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运营服务人工、车辆、保险、技术培训费用</w:t>
            </w:r>
          </w:p>
        </w:tc>
        <w:tc>
          <w:tcPr>
            <w:tcW w:w="1418"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w:t>
            </w:r>
          </w:p>
        </w:tc>
        <w:tc>
          <w:tcPr>
            <w:tcW w:w="850" w:type="dxa"/>
            <w:noWrap w:val="0"/>
            <w:vAlign w:val="center"/>
          </w:tcPr>
          <w:p>
            <w:pPr>
              <w:spacing w:before="156" w:beforeLines="50" w:after="156" w:afterLines="50" w:line="360" w:lineRule="auto"/>
              <w:rPr>
                <w:rFonts w:ascii="宋体" w:hAnsi="宋体" w:cs="宋体"/>
                <w:color w:val="auto"/>
                <w:sz w:val="24"/>
                <w:szCs w:val="24"/>
              </w:rPr>
            </w:pPr>
            <w:r>
              <w:rPr>
                <w:rFonts w:hint="eastAsia"/>
                <w:color w:val="auto"/>
              </w:rPr>
              <w:t>2套/1年</w:t>
            </w:r>
          </w:p>
        </w:tc>
        <w:tc>
          <w:tcPr>
            <w:tcW w:w="851" w:type="dxa"/>
            <w:noWrap w:val="0"/>
            <w:vAlign w:val="top"/>
          </w:tcPr>
          <w:p>
            <w:pPr>
              <w:spacing w:before="156" w:beforeLines="50" w:after="156" w:afterLines="50" w:line="360" w:lineRule="auto"/>
              <w:rPr>
                <w:rFonts w:ascii="宋体" w:hAnsi="宋体" w:cs="宋体"/>
                <w:color w:val="auto"/>
                <w:sz w:val="24"/>
                <w:szCs w:val="24"/>
              </w:rPr>
            </w:pPr>
          </w:p>
        </w:tc>
        <w:tc>
          <w:tcPr>
            <w:tcW w:w="2976" w:type="dxa"/>
            <w:noWrap w:val="0"/>
            <w:vAlign w:val="top"/>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每周一次、不含应急处理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68" w:type="dxa"/>
            <w:noWrap w:val="0"/>
            <w:vAlign w:val="center"/>
          </w:tcPr>
          <w:p>
            <w:pPr>
              <w:spacing w:before="156" w:beforeLines="50" w:after="156" w:afterLines="50"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2693"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无条件响应</w:t>
            </w:r>
            <w:r>
              <w:rPr>
                <w:rFonts w:hint="eastAsia" w:ascii="宋体" w:hAnsi="宋体" w:cs="宋体"/>
                <w:color w:val="auto"/>
                <w:sz w:val="24"/>
                <w:szCs w:val="24"/>
                <w:lang w:val="en-US" w:eastAsia="zh-CN"/>
              </w:rPr>
              <w:t>污水厂</w:t>
            </w:r>
            <w:r>
              <w:rPr>
                <w:rFonts w:hint="eastAsia" w:ascii="宋体" w:hAnsi="宋体" w:cs="宋体"/>
                <w:color w:val="auto"/>
                <w:sz w:val="24"/>
                <w:szCs w:val="24"/>
              </w:rPr>
              <w:t>和环保主管单位安排的技术培训、数据填报、台账编写、相关环保检查迎检、污水站自查整改等实际行政工作。</w:t>
            </w:r>
          </w:p>
        </w:tc>
        <w:tc>
          <w:tcPr>
            <w:tcW w:w="1418"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w:t>
            </w:r>
          </w:p>
        </w:tc>
        <w:tc>
          <w:tcPr>
            <w:tcW w:w="850" w:type="dxa"/>
            <w:noWrap w:val="0"/>
            <w:vAlign w:val="center"/>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定制</w:t>
            </w:r>
          </w:p>
        </w:tc>
        <w:tc>
          <w:tcPr>
            <w:tcW w:w="851" w:type="dxa"/>
            <w:noWrap w:val="0"/>
            <w:vAlign w:val="top"/>
          </w:tcPr>
          <w:p>
            <w:pPr>
              <w:spacing w:before="156" w:beforeLines="50" w:after="156" w:afterLines="50" w:line="360" w:lineRule="auto"/>
              <w:rPr>
                <w:rFonts w:ascii="宋体" w:hAnsi="宋体" w:cs="宋体"/>
                <w:color w:val="auto"/>
                <w:sz w:val="24"/>
                <w:szCs w:val="24"/>
              </w:rPr>
            </w:pPr>
          </w:p>
        </w:tc>
        <w:tc>
          <w:tcPr>
            <w:tcW w:w="2976" w:type="dxa"/>
            <w:noWrap w:val="0"/>
            <w:vAlign w:val="top"/>
          </w:tcPr>
          <w:p>
            <w:pPr>
              <w:spacing w:before="156" w:beforeLines="50" w:after="156" w:afterLines="50" w:line="360" w:lineRule="auto"/>
              <w:rPr>
                <w:rFonts w:ascii="宋体" w:hAnsi="宋体" w:cs="宋体"/>
                <w:color w:val="auto"/>
                <w:sz w:val="24"/>
                <w:szCs w:val="24"/>
              </w:rPr>
            </w:pPr>
            <w:r>
              <w:rPr>
                <w:rFonts w:hint="eastAsia" w:ascii="宋体" w:hAnsi="宋体" w:cs="宋体"/>
                <w:color w:val="auto"/>
                <w:sz w:val="24"/>
                <w:szCs w:val="24"/>
              </w:rPr>
              <w:t>严格按照《医疗机构水污染物排放标准》GB18466规范及环保部门下发最新文件要求组织污水站维管工作。</w:t>
            </w:r>
          </w:p>
        </w:tc>
      </w:tr>
    </w:tbl>
    <w:p>
      <w:pPr>
        <w:rPr>
          <w:rFonts w:hint="eastAsia"/>
          <w:sz w:val="32"/>
          <w:szCs w:val="32"/>
          <w:lang w:val="zh-CN"/>
        </w:rPr>
      </w:pPr>
    </w:p>
    <w:p>
      <w:pPr>
        <w:rPr>
          <w:rFonts w:hint="eastAsia"/>
          <w:lang w:val="zh-CN"/>
        </w:rPr>
      </w:pPr>
    </w:p>
    <w:p>
      <w:pPr>
        <w:rPr>
          <w:rFonts w:hint="eastAsia"/>
          <w:sz w:val="32"/>
          <w:szCs w:val="32"/>
          <w:lang w:val="zh-CN"/>
        </w:rPr>
      </w:pPr>
    </w:p>
    <w:p>
      <w:pPr>
        <w:rPr>
          <w:rFonts w:hint="eastAsia"/>
          <w:sz w:val="32"/>
          <w:szCs w:val="32"/>
          <w:lang w:val="zh-CN"/>
        </w:rPr>
      </w:pPr>
    </w:p>
    <w:p>
      <w:pPr>
        <w:rPr>
          <w:rFonts w:hint="default" w:eastAsia="宋体"/>
          <w:sz w:val="52"/>
          <w:szCs w:val="52"/>
          <w:lang w:val="en-US" w:eastAsia="zh-CN"/>
        </w:rPr>
      </w:pPr>
      <w:r>
        <w:rPr>
          <w:rFonts w:hint="eastAsia"/>
          <w:sz w:val="32"/>
          <w:szCs w:val="32"/>
          <w:lang w:val="en-US" w:eastAsia="zh-CN"/>
        </w:rPr>
        <w:t xml:space="preserve">   </w:t>
      </w:r>
    </w:p>
    <w:p>
      <w:pPr>
        <w:spacing w:line="220" w:lineRule="atLeas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五、报价要求</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725"/>
        <w:gridCol w:w="975"/>
        <w:gridCol w:w="735"/>
        <w:gridCol w:w="1635"/>
        <w:gridCol w:w="1170"/>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noWrap w:val="0"/>
            <w:vAlign w:val="center"/>
          </w:tcPr>
          <w:p>
            <w:pPr>
              <w:spacing w:line="360" w:lineRule="auto"/>
              <w:jc w:val="center"/>
              <w:rPr>
                <w:szCs w:val="28"/>
              </w:rPr>
            </w:pPr>
            <w:r>
              <w:rPr>
                <w:rFonts w:hint="eastAsia"/>
                <w:szCs w:val="28"/>
              </w:rPr>
              <w:t>序号</w:t>
            </w:r>
          </w:p>
        </w:tc>
        <w:tc>
          <w:tcPr>
            <w:tcW w:w="1725" w:type="dxa"/>
            <w:noWrap w:val="0"/>
            <w:vAlign w:val="center"/>
          </w:tcPr>
          <w:p>
            <w:pPr>
              <w:spacing w:line="360" w:lineRule="auto"/>
              <w:jc w:val="center"/>
              <w:rPr>
                <w:rFonts w:hint="eastAsia" w:eastAsia="宋体"/>
                <w:szCs w:val="28"/>
                <w:lang w:val="en-US" w:eastAsia="zh-CN"/>
              </w:rPr>
            </w:pPr>
            <w:r>
              <w:rPr>
                <w:rFonts w:hint="eastAsia"/>
                <w:szCs w:val="28"/>
                <w:lang w:val="en-US" w:eastAsia="zh-CN"/>
              </w:rPr>
              <w:t>项目</w:t>
            </w:r>
          </w:p>
        </w:tc>
        <w:tc>
          <w:tcPr>
            <w:tcW w:w="975" w:type="dxa"/>
            <w:noWrap w:val="0"/>
            <w:vAlign w:val="center"/>
          </w:tcPr>
          <w:p>
            <w:pPr>
              <w:spacing w:line="360" w:lineRule="auto"/>
              <w:jc w:val="center"/>
              <w:rPr>
                <w:rFonts w:hint="eastAsia"/>
                <w:szCs w:val="28"/>
              </w:rPr>
            </w:pPr>
            <w:r>
              <w:rPr>
                <w:rFonts w:hint="eastAsia"/>
                <w:szCs w:val="28"/>
              </w:rPr>
              <w:t>设备</w:t>
            </w:r>
          </w:p>
          <w:p>
            <w:pPr>
              <w:spacing w:line="360" w:lineRule="auto"/>
              <w:jc w:val="center"/>
              <w:rPr>
                <w:szCs w:val="28"/>
              </w:rPr>
            </w:pPr>
            <w:r>
              <w:rPr>
                <w:rFonts w:hint="eastAsia"/>
                <w:szCs w:val="28"/>
              </w:rPr>
              <w:t>数量</w:t>
            </w:r>
          </w:p>
        </w:tc>
        <w:tc>
          <w:tcPr>
            <w:tcW w:w="735" w:type="dxa"/>
            <w:noWrap w:val="0"/>
            <w:vAlign w:val="center"/>
          </w:tcPr>
          <w:p>
            <w:pPr>
              <w:spacing w:line="360" w:lineRule="auto"/>
              <w:jc w:val="center"/>
              <w:rPr>
                <w:rFonts w:hint="default" w:eastAsia="宋体"/>
                <w:szCs w:val="28"/>
                <w:lang w:val="en-US" w:eastAsia="zh-CN"/>
              </w:rPr>
            </w:pPr>
            <w:r>
              <w:rPr>
                <w:rFonts w:hint="eastAsia"/>
                <w:szCs w:val="28"/>
                <w:lang w:val="en-US" w:eastAsia="zh-CN"/>
              </w:rPr>
              <w:t>单位</w:t>
            </w:r>
          </w:p>
        </w:tc>
        <w:tc>
          <w:tcPr>
            <w:tcW w:w="1635" w:type="dxa"/>
            <w:noWrap w:val="0"/>
            <w:vAlign w:val="center"/>
          </w:tcPr>
          <w:p>
            <w:pPr>
              <w:spacing w:line="360" w:lineRule="auto"/>
              <w:jc w:val="center"/>
              <w:rPr>
                <w:rFonts w:hint="eastAsia" w:eastAsia="宋体"/>
                <w:szCs w:val="28"/>
                <w:lang w:eastAsia="zh-CN"/>
              </w:rPr>
            </w:pPr>
            <w:r>
              <w:rPr>
                <w:rFonts w:hint="eastAsia"/>
                <w:szCs w:val="28"/>
                <w:lang w:val="en-US" w:eastAsia="zh-CN"/>
              </w:rPr>
              <w:t>含税</w:t>
            </w:r>
            <w:r>
              <w:rPr>
                <w:rFonts w:hint="eastAsia"/>
                <w:szCs w:val="28"/>
              </w:rPr>
              <w:t>控制单价</w:t>
            </w:r>
            <w:r>
              <w:rPr>
                <w:rFonts w:hint="eastAsia"/>
                <w:szCs w:val="28"/>
                <w:lang w:eastAsia="zh-CN"/>
              </w:rPr>
              <w:t>（</w:t>
            </w:r>
            <w:r>
              <w:rPr>
                <w:rFonts w:hint="eastAsia"/>
                <w:szCs w:val="28"/>
                <w:lang w:val="en-US" w:eastAsia="zh-CN"/>
              </w:rPr>
              <w:t>元</w:t>
            </w:r>
            <w:r>
              <w:rPr>
                <w:rFonts w:hint="eastAsia"/>
                <w:szCs w:val="28"/>
                <w:lang w:eastAsia="zh-CN"/>
              </w:rPr>
              <w:t>）</w:t>
            </w:r>
          </w:p>
        </w:tc>
        <w:tc>
          <w:tcPr>
            <w:tcW w:w="1170" w:type="dxa"/>
            <w:noWrap w:val="0"/>
            <w:vAlign w:val="center"/>
          </w:tcPr>
          <w:p>
            <w:pPr>
              <w:spacing w:line="360" w:lineRule="auto"/>
              <w:jc w:val="center"/>
              <w:rPr>
                <w:rFonts w:hint="eastAsia" w:eastAsia="宋体"/>
                <w:szCs w:val="28"/>
                <w:lang w:val="en-US" w:eastAsia="zh-CN"/>
              </w:rPr>
            </w:pPr>
            <w:r>
              <w:rPr>
                <w:rFonts w:hint="eastAsia"/>
                <w:szCs w:val="28"/>
                <w:lang w:val="en-US" w:eastAsia="zh-CN"/>
              </w:rPr>
              <w:t>合计（元）</w:t>
            </w:r>
          </w:p>
        </w:tc>
        <w:tc>
          <w:tcPr>
            <w:tcW w:w="1598" w:type="dxa"/>
            <w:noWrap w:val="0"/>
            <w:vAlign w:val="center"/>
          </w:tcPr>
          <w:p>
            <w:pPr>
              <w:spacing w:line="360" w:lineRule="auto"/>
              <w:jc w:val="center"/>
              <w:rPr>
                <w:rFonts w:hint="eastAsia"/>
                <w:szCs w:val="28"/>
              </w:rPr>
            </w:pPr>
            <w:r>
              <w:rPr>
                <w:rFonts w:hint="eastAsia"/>
                <w:szCs w:val="28"/>
              </w:rPr>
              <w:t>运维期限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73" w:type="dxa"/>
            <w:noWrap w:val="0"/>
            <w:vAlign w:val="center"/>
          </w:tcPr>
          <w:p>
            <w:pPr>
              <w:spacing w:line="360" w:lineRule="auto"/>
              <w:jc w:val="center"/>
              <w:rPr>
                <w:szCs w:val="28"/>
              </w:rPr>
            </w:pPr>
            <w:r>
              <w:rPr>
                <w:rFonts w:hint="eastAsia"/>
                <w:szCs w:val="28"/>
              </w:rPr>
              <w:t>1</w:t>
            </w:r>
          </w:p>
        </w:tc>
        <w:tc>
          <w:tcPr>
            <w:tcW w:w="1725" w:type="dxa"/>
            <w:noWrap w:val="0"/>
            <w:vAlign w:val="center"/>
          </w:tcPr>
          <w:p>
            <w:pPr>
              <w:spacing w:line="360" w:lineRule="auto"/>
              <w:jc w:val="center"/>
              <w:rPr>
                <w:rFonts w:hint="eastAsia" w:eastAsia="宋体"/>
                <w:szCs w:val="28"/>
                <w:lang w:val="en-US" w:eastAsia="zh-CN"/>
              </w:rPr>
            </w:pPr>
            <w:r>
              <w:rPr>
                <w:rFonts w:hint="eastAsia" w:ascii="宋体" w:hAnsi="宋体" w:cs="宋体"/>
                <w:sz w:val="24"/>
                <w:szCs w:val="24"/>
              </w:rPr>
              <w:t>月度比对监测</w:t>
            </w:r>
          </w:p>
        </w:tc>
        <w:tc>
          <w:tcPr>
            <w:tcW w:w="975" w:type="dxa"/>
            <w:noWrap w:val="0"/>
            <w:vAlign w:val="center"/>
          </w:tcPr>
          <w:p>
            <w:pPr>
              <w:spacing w:line="360" w:lineRule="auto"/>
              <w:jc w:val="center"/>
              <w:rPr>
                <w:rFonts w:hint="default" w:eastAsia="宋体"/>
                <w:szCs w:val="28"/>
                <w:lang w:val="en-US" w:eastAsia="zh-CN"/>
              </w:rPr>
            </w:pPr>
            <w:r>
              <w:rPr>
                <w:rFonts w:hint="eastAsia"/>
                <w:szCs w:val="28"/>
                <w:lang w:val="en-US" w:eastAsia="zh-CN"/>
              </w:rPr>
              <w:t>36</w:t>
            </w:r>
          </w:p>
        </w:tc>
        <w:tc>
          <w:tcPr>
            <w:tcW w:w="735" w:type="dxa"/>
            <w:noWrap w:val="0"/>
            <w:vAlign w:val="center"/>
          </w:tcPr>
          <w:p>
            <w:pPr>
              <w:spacing w:line="360" w:lineRule="auto"/>
              <w:jc w:val="center"/>
              <w:rPr>
                <w:rFonts w:hint="default" w:eastAsia="宋体"/>
                <w:szCs w:val="28"/>
                <w:lang w:val="en-US" w:eastAsia="zh-CN"/>
              </w:rPr>
            </w:pPr>
            <w:r>
              <w:rPr>
                <w:rFonts w:hint="eastAsia"/>
                <w:szCs w:val="28"/>
                <w:lang w:val="en-US" w:eastAsia="zh-CN"/>
              </w:rPr>
              <w:t>次</w:t>
            </w:r>
          </w:p>
        </w:tc>
        <w:tc>
          <w:tcPr>
            <w:tcW w:w="1635" w:type="dxa"/>
            <w:noWrap w:val="0"/>
            <w:vAlign w:val="center"/>
          </w:tcPr>
          <w:p>
            <w:pPr>
              <w:spacing w:line="360" w:lineRule="auto"/>
              <w:jc w:val="center"/>
              <w:rPr>
                <w:rFonts w:hint="default"/>
                <w:szCs w:val="28"/>
                <w:lang w:val="en-US" w:eastAsia="zh-CN"/>
              </w:rPr>
            </w:pPr>
            <w:r>
              <w:rPr>
                <w:rFonts w:hint="eastAsia"/>
                <w:szCs w:val="28"/>
                <w:lang w:val="en-US" w:eastAsia="zh-CN"/>
              </w:rPr>
              <w:t>700</w:t>
            </w:r>
          </w:p>
        </w:tc>
        <w:tc>
          <w:tcPr>
            <w:tcW w:w="1170" w:type="dxa"/>
            <w:noWrap w:val="0"/>
            <w:vAlign w:val="center"/>
          </w:tcPr>
          <w:p>
            <w:pPr>
              <w:spacing w:line="360" w:lineRule="auto"/>
              <w:jc w:val="center"/>
              <w:rPr>
                <w:rFonts w:hint="default" w:eastAsia="宋体"/>
                <w:szCs w:val="28"/>
                <w:lang w:val="en-US" w:eastAsia="zh-CN"/>
              </w:rPr>
            </w:pPr>
            <w:r>
              <w:rPr>
                <w:rFonts w:hint="eastAsia"/>
                <w:szCs w:val="28"/>
                <w:lang w:val="en-US" w:eastAsia="zh-CN"/>
              </w:rPr>
              <w:t>25200</w:t>
            </w:r>
          </w:p>
        </w:tc>
        <w:tc>
          <w:tcPr>
            <w:tcW w:w="1598" w:type="dxa"/>
            <w:vMerge w:val="restart"/>
            <w:noWrap w:val="0"/>
            <w:vAlign w:val="center"/>
          </w:tcPr>
          <w:p>
            <w:pPr>
              <w:spacing w:line="360" w:lineRule="auto"/>
              <w:jc w:val="center"/>
              <w:rPr>
                <w:rFonts w:hint="default" w:eastAsia="宋体"/>
                <w:szCs w:val="28"/>
                <w:lang w:val="en-US" w:eastAsia="zh-CN"/>
              </w:rPr>
            </w:pPr>
            <w:r>
              <w:rPr>
                <w:rFonts w:hint="eastAsia"/>
                <w:szCs w:val="28"/>
                <w:lang w:val="en-US" w:eastAsia="zh-CN"/>
              </w:rPr>
              <w:t>自合同签订之日起一年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73" w:type="dxa"/>
            <w:noWrap w:val="0"/>
            <w:vAlign w:val="center"/>
          </w:tcPr>
          <w:p>
            <w:pPr>
              <w:spacing w:line="360" w:lineRule="auto"/>
              <w:jc w:val="center"/>
              <w:rPr>
                <w:rFonts w:hint="eastAsia" w:eastAsia="宋体"/>
                <w:szCs w:val="28"/>
                <w:lang w:val="en-US" w:eastAsia="zh-CN"/>
              </w:rPr>
            </w:pPr>
            <w:r>
              <w:rPr>
                <w:rFonts w:hint="eastAsia"/>
                <w:szCs w:val="28"/>
                <w:lang w:val="en-US" w:eastAsia="zh-CN"/>
              </w:rPr>
              <w:t>2</w:t>
            </w:r>
          </w:p>
        </w:tc>
        <w:tc>
          <w:tcPr>
            <w:tcW w:w="1725" w:type="dxa"/>
            <w:noWrap w:val="0"/>
            <w:vAlign w:val="center"/>
          </w:tcPr>
          <w:p>
            <w:pPr>
              <w:spacing w:line="360" w:lineRule="auto"/>
              <w:jc w:val="center"/>
              <w:rPr>
                <w:rFonts w:hint="default" w:eastAsia="宋体"/>
                <w:szCs w:val="28"/>
                <w:lang w:val="en-US" w:eastAsia="zh-CN"/>
              </w:rPr>
            </w:pPr>
            <w:r>
              <w:rPr>
                <w:rFonts w:hint="eastAsia"/>
                <w:szCs w:val="28"/>
                <w:lang w:val="en-US" w:eastAsia="zh-CN"/>
              </w:rPr>
              <w:t>量值溯源</w:t>
            </w:r>
          </w:p>
        </w:tc>
        <w:tc>
          <w:tcPr>
            <w:tcW w:w="975" w:type="dxa"/>
            <w:noWrap w:val="0"/>
            <w:vAlign w:val="center"/>
          </w:tcPr>
          <w:p>
            <w:pPr>
              <w:spacing w:line="360" w:lineRule="auto"/>
              <w:jc w:val="center"/>
              <w:rPr>
                <w:rFonts w:hint="eastAsia" w:eastAsia="宋体"/>
                <w:szCs w:val="28"/>
                <w:lang w:val="en-US" w:eastAsia="zh-CN"/>
              </w:rPr>
            </w:pPr>
            <w:r>
              <w:rPr>
                <w:rFonts w:hint="eastAsia"/>
                <w:szCs w:val="28"/>
                <w:lang w:val="en-US" w:eastAsia="zh-CN"/>
              </w:rPr>
              <w:t>3</w:t>
            </w:r>
          </w:p>
        </w:tc>
        <w:tc>
          <w:tcPr>
            <w:tcW w:w="735" w:type="dxa"/>
            <w:noWrap w:val="0"/>
            <w:vAlign w:val="center"/>
          </w:tcPr>
          <w:p>
            <w:pPr>
              <w:spacing w:line="360" w:lineRule="auto"/>
              <w:jc w:val="center"/>
              <w:rPr>
                <w:rFonts w:hint="default" w:eastAsia="宋体"/>
                <w:szCs w:val="28"/>
                <w:lang w:val="en-US" w:eastAsia="zh-CN"/>
              </w:rPr>
            </w:pPr>
            <w:r>
              <w:rPr>
                <w:rFonts w:hint="eastAsia"/>
                <w:szCs w:val="28"/>
                <w:lang w:val="en-US" w:eastAsia="zh-CN"/>
              </w:rPr>
              <w:t>台</w:t>
            </w:r>
          </w:p>
        </w:tc>
        <w:tc>
          <w:tcPr>
            <w:tcW w:w="1635" w:type="dxa"/>
            <w:noWrap w:val="0"/>
            <w:vAlign w:val="center"/>
          </w:tcPr>
          <w:p>
            <w:pPr>
              <w:spacing w:line="360" w:lineRule="auto"/>
              <w:jc w:val="center"/>
              <w:rPr>
                <w:rFonts w:hint="eastAsia"/>
                <w:szCs w:val="28"/>
                <w:lang w:val="en-US" w:eastAsia="zh-CN"/>
              </w:rPr>
            </w:pPr>
            <w:r>
              <w:rPr>
                <w:rFonts w:hint="eastAsia"/>
                <w:szCs w:val="28"/>
                <w:lang w:val="en-US" w:eastAsia="zh-CN"/>
              </w:rPr>
              <w:t>2000</w:t>
            </w:r>
          </w:p>
        </w:tc>
        <w:tc>
          <w:tcPr>
            <w:tcW w:w="1170" w:type="dxa"/>
            <w:noWrap w:val="0"/>
            <w:vAlign w:val="center"/>
          </w:tcPr>
          <w:p>
            <w:pPr>
              <w:spacing w:line="360" w:lineRule="auto"/>
              <w:jc w:val="center"/>
              <w:rPr>
                <w:rFonts w:hint="default" w:eastAsia="宋体"/>
                <w:szCs w:val="28"/>
                <w:lang w:val="en-US" w:eastAsia="zh-CN"/>
              </w:rPr>
            </w:pPr>
            <w:r>
              <w:rPr>
                <w:rFonts w:hint="eastAsia"/>
                <w:szCs w:val="28"/>
                <w:lang w:val="en-US" w:eastAsia="zh-CN"/>
              </w:rPr>
              <w:t>6000</w:t>
            </w:r>
          </w:p>
        </w:tc>
        <w:tc>
          <w:tcPr>
            <w:tcW w:w="1598" w:type="dxa"/>
            <w:vMerge w:val="continue"/>
            <w:noWrap w:val="0"/>
            <w:vAlign w:val="center"/>
          </w:tcPr>
          <w:p>
            <w:pPr>
              <w:spacing w:line="360" w:lineRule="auto"/>
              <w:rPr>
                <w:rFonts w:hint="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73" w:type="dxa"/>
            <w:noWrap w:val="0"/>
            <w:vAlign w:val="center"/>
          </w:tcPr>
          <w:p>
            <w:pPr>
              <w:spacing w:line="360" w:lineRule="auto"/>
              <w:jc w:val="center"/>
              <w:rPr>
                <w:rFonts w:hint="eastAsia" w:eastAsia="宋体"/>
                <w:szCs w:val="28"/>
                <w:lang w:val="en-US" w:eastAsia="zh-CN"/>
              </w:rPr>
            </w:pPr>
            <w:r>
              <w:rPr>
                <w:rFonts w:hint="eastAsia"/>
                <w:szCs w:val="28"/>
                <w:lang w:val="en-US" w:eastAsia="zh-CN"/>
              </w:rPr>
              <w:t>3</w:t>
            </w:r>
          </w:p>
        </w:tc>
        <w:tc>
          <w:tcPr>
            <w:tcW w:w="1725" w:type="dxa"/>
            <w:noWrap w:val="0"/>
            <w:vAlign w:val="center"/>
          </w:tcPr>
          <w:p>
            <w:pPr>
              <w:spacing w:line="360" w:lineRule="auto"/>
              <w:jc w:val="center"/>
              <w:rPr>
                <w:rFonts w:hint="default" w:eastAsia="宋体"/>
                <w:szCs w:val="28"/>
                <w:lang w:val="en-US" w:eastAsia="zh-CN"/>
              </w:rPr>
            </w:pPr>
            <w:r>
              <w:rPr>
                <w:rFonts w:hint="eastAsia"/>
                <w:szCs w:val="28"/>
                <w:lang w:val="en-US" w:eastAsia="zh-CN"/>
              </w:rPr>
              <w:t>日常维护</w:t>
            </w:r>
          </w:p>
        </w:tc>
        <w:tc>
          <w:tcPr>
            <w:tcW w:w="975" w:type="dxa"/>
            <w:noWrap w:val="0"/>
            <w:vAlign w:val="center"/>
          </w:tcPr>
          <w:p>
            <w:pPr>
              <w:spacing w:line="360" w:lineRule="auto"/>
              <w:jc w:val="center"/>
              <w:rPr>
                <w:rFonts w:hint="eastAsia" w:eastAsia="宋体"/>
                <w:szCs w:val="28"/>
                <w:lang w:val="en-US" w:eastAsia="zh-CN"/>
              </w:rPr>
            </w:pPr>
            <w:r>
              <w:rPr>
                <w:rFonts w:hint="eastAsia"/>
                <w:szCs w:val="28"/>
                <w:lang w:val="en-US" w:eastAsia="zh-CN"/>
              </w:rPr>
              <w:t>3</w:t>
            </w:r>
          </w:p>
        </w:tc>
        <w:tc>
          <w:tcPr>
            <w:tcW w:w="735" w:type="dxa"/>
            <w:noWrap w:val="0"/>
            <w:vAlign w:val="center"/>
          </w:tcPr>
          <w:p>
            <w:pPr>
              <w:spacing w:line="360" w:lineRule="auto"/>
              <w:jc w:val="center"/>
              <w:rPr>
                <w:rFonts w:hint="default" w:eastAsia="宋体"/>
                <w:szCs w:val="28"/>
                <w:lang w:val="en-US" w:eastAsia="zh-CN"/>
              </w:rPr>
            </w:pPr>
            <w:r>
              <w:rPr>
                <w:rFonts w:hint="eastAsia"/>
                <w:szCs w:val="28"/>
                <w:lang w:val="en-US" w:eastAsia="zh-CN"/>
              </w:rPr>
              <w:t>台</w:t>
            </w:r>
          </w:p>
        </w:tc>
        <w:tc>
          <w:tcPr>
            <w:tcW w:w="1635" w:type="dxa"/>
            <w:noWrap w:val="0"/>
            <w:vAlign w:val="center"/>
          </w:tcPr>
          <w:p>
            <w:pPr>
              <w:spacing w:line="360" w:lineRule="auto"/>
              <w:jc w:val="center"/>
              <w:rPr>
                <w:rFonts w:hint="default"/>
                <w:szCs w:val="28"/>
                <w:lang w:val="en-US" w:eastAsia="zh-CN"/>
              </w:rPr>
            </w:pPr>
            <w:r>
              <w:rPr>
                <w:rFonts w:hint="eastAsia"/>
                <w:szCs w:val="28"/>
                <w:lang w:val="en-US" w:eastAsia="zh-CN"/>
              </w:rPr>
              <w:t>19800</w:t>
            </w:r>
          </w:p>
        </w:tc>
        <w:tc>
          <w:tcPr>
            <w:tcW w:w="1170" w:type="dxa"/>
            <w:noWrap w:val="0"/>
            <w:vAlign w:val="center"/>
          </w:tcPr>
          <w:p>
            <w:pPr>
              <w:spacing w:line="360" w:lineRule="auto"/>
              <w:jc w:val="center"/>
              <w:rPr>
                <w:rFonts w:hint="default" w:eastAsia="宋体"/>
                <w:szCs w:val="28"/>
                <w:lang w:val="en-US" w:eastAsia="zh-CN"/>
              </w:rPr>
            </w:pPr>
            <w:r>
              <w:rPr>
                <w:rFonts w:hint="eastAsia"/>
                <w:szCs w:val="28"/>
                <w:lang w:val="en-US" w:eastAsia="zh-CN"/>
              </w:rPr>
              <w:t>59400</w:t>
            </w:r>
          </w:p>
        </w:tc>
        <w:tc>
          <w:tcPr>
            <w:tcW w:w="1598" w:type="dxa"/>
            <w:vMerge w:val="continue"/>
            <w:noWrap w:val="0"/>
            <w:vAlign w:val="center"/>
          </w:tcPr>
          <w:p>
            <w:pPr>
              <w:spacing w:line="360" w:lineRule="auto"/>
              <w:rPr>
                <w:rFonts w:hint="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noWrap w:val="0"/>
            <w:vAlign w:val="center"/>
          </w:tcPr>
          <w:p>
            <w:pPr>
              <w:spacing w:line="360" w:lineRule="auto"/>
              <w:rPr>
                <w:rFonts w:hint="default" w:eastAsia="宋体"/>
                <w:szCs w:val="28"/>
                <w:lang w:val="en-US" w:eastAsia="zh-CN"/>
              </w:rPr>
            </w:pPr>
            <w:r>
              <w:rPr>
                <w:rFonts w:hint="eastAsia"/>
                <w:szCs w:val="28"/>
                <w:lang w:val="en-US" w:eastAsia="zh-CN"/>
              </w:rPr>
              <w:t>控制总价（元）</w:t>
            </w:r>
          </w:p>
        </w:tc>
        <w:tc>
          <w:tcPr>
            <w:tcW w:w="6240" w:type="dxa"/>
            <w:gridSpan w:val="5"/>
            <w:noWrap w:val="0"/>
            <w:vAlign w:val="center"/>
          </w:tcPr>
          <w:p>
            <w:pPr>
              <w:spacing w:line="360" w:lineRule="auto"/>
              <w:ind w:left="1314" w:hanging="438"/>
              <w:jc w:val="center"/>
              <w:rPr>
                <w:rFonts w:hint="default" w:eastAsia="宋体"/>
                <w:szCs w:val="28"/>
                <w:lang w:val="en-US" w:eastAsia="zh-CN"/>
              </w:rPr>
            </w:pPr>
            <w:r>
              <w:rPr>
                <w:rFonts w:hint="eastAsia"/>
                <w:szCs w:val="28"/>
                <w:lang w:val="en-US" w:eastAsia="zh-CN"/>
              </w:rPr>
              <w:t>90600</w:t>
            </w:r>
          </w:p>
        </w:tc>
        <w:tc>
          <w:tcPr>
            <w:tcW w:w="1598" w:type="dxa"/>
            <w:noWrap w:val="0"/>
            <w:vAlign w:val="center"/>
          </w:tcPr>
          <w:p>
            <w:pPr>
              <w:spacing w:line="360" w:lineRule="auto"/>
              <w:ind w:left="1314" w:hanging="438"/>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1" w:type="dxa"/>
            <w:gridSpan w:val="7"/>
            <w:noWrap w:val="0"/>
            <w:vAlign w:val="center"/>
          </w:tcPr>
          <w:p>
            <w:pPr>
              <w:spacing w:line="360" w:lineRule="auto"/>
              <w:rPr>
                <w:rFonts w:hint="eastAsia"/>
                <w:szCs w:val="28"/>
              </w:rPr>
            </w:pPr>
            <w:r>
              <w:rPr>
                <w:rFonts w:hint="eastAsia"/>
                <w:szCs w:val="28"/>
                <w:highlight w:val="none"/>
              </w:rPr>
              <w:t>备注：</w:t>
            </w:r>
            <w:r>
              <w:rPr>
                <w:rFonts w:hint="eastAsia"/>
                <w:szCs w:val="28"/>
                <w:highlight w:val="none"/>
                <w:lang w:val="en-US" w:eastAsia="zh-CN"/>
              </w:rPr>
              <w:t>1、</w:t>
            </w:r>
            <w:r>
              <w:rPr>
                <w:rFonts w:hint="eastAsia"/>
                <w:szCs w:val="28"/>
                <w:highlight w:val="none"/>
              </w:rPr>
              <w:t>报价为含税金额，须提供增值税</w:t>
            </w:r>
            <w:r>
              <w:rPr>
                <w:rFonts w:hint="eastAsia"/>
                <w:szCs w:val="28"/>
                <w:highlight w:val="none"/>
                <w:lang w:val="en-US" w:eastAsia="zh-CN"/>
              </w:rPr>
              <w:t>普通</w:t>
            </w:r>
            <w:r>
              <w:rPr>
                <w:rFonts w:hint="eastAsia"/>
                <w:szCs w:val="28"/>
                <w:highlight w:val="none"/>
              </w:rPr>
              <w:t>全额发票（按合同具体要求）；</w:t>
            </w:r>
            <w:r>
              <w:rPr>
                <w:rFonts w:hint="eastAsia"/>
                <w:szCs w:val="28"/>
                <w:highlight w:val="none"/>
                <w:lang w:val="en-US" w:eastAsia="zh-CN"/>
              </w:rPr>
              <w:t>2、日常维护</w:t>
            </w:r>
            <w:r>
              <w:rPr>
                <w:rFonts w:hint="eastAsia"/>
                <w:szCs w:val="28"/>
                <w:highlight w:val="none"/>
              </w:rPr>
              <w:t>包括所有消耗品、易损件</w:t>
            </w:r>
            <w:r>
              <w:rPr>
                <w:rFonts w:hint="eastAsia"/>
                <w:szCs w:val="28"/>
                <w:highlight w:val="none"/>
                <w:lang w:eastAsia="zh-CN"/>
              </w:rPr>
              <w:t>、</w:t>
            </w:r>
            <w:r>
              <w:rPr>
                <w:rFonts w:hint="eastAsia"/>
                <w:szCs w:val="28"/>
                <w:highlight w:val="none"/>
              </w:rPr>
              <w:t>配件</w:t>
            </w:r>
            <w:r>
              <w:rPr>
                <w:rFonts w:hint="eastAsia"/>
                <w:szCs w:val="28"/>
                <w:highlight w:val="none"/>
                <w:lang w:eastAsia="zh-CN"/>
              </w:rPr>
              <w:t>、</w:t>
            </w:r>
            <w:r>
              <w:rPr>
                <w:rFonts w:hint="eastAsia"/>
                <w:szCs w:val="28"/>
                <w:highlight w:val="none"/>
                <w:lang w:val="en-US" w:eastAsia="zh-CN"/>
              </w:rPr>
              <w:t>备用机</w:t>
            </w:r>
            <w:r>
              <w:rPr>
                <w:rFonts w:hint="eastAsia"/>
                <w:szCs w:val="28"/>
                <w:highlight w:val="none"/>
              </w:rPr>
              <w:t>；人员工资、保险</w:t>
            </w:r>
            <w:r>
              <w:rPr>
                <w:rFonts w:hint="eastAsia"/>
                <w:szCs w:val="28"/>
                <w:highlight w:val="none"/>
                <w:lang w:eastAsia="zh-CN"/>
              </w:rPr>
              <w:t>、</w:t>
            </w:r>
            <w:r>
              <w:rPr>
                <w:rFonts w:hint="eastAsia"/>
                <w:szCs w:val="28"/>
                <w:highlight w:val="none"/>
                <w:lang w:val="en-US" w:eastAsia="zh-CN"/>
              </w:rPr>
              <w:t>管理费</w:t>
            </w:r>
            <w:r>
              <w:rPr>
                <w:rFonts w:hint="eastAsia"/>
                <w:szCs w:val="28"/>
                <w:highlight w:val="none"/>
              </w:rPr>
              <w:t>等；车辆保险、保养、折旧、油费等；</w:t>
            </w:r>
            <w:r>
              <w:rPr>
                <w:rFonts w:hint="eastAsia"/>
                <w:szCs w:val="28"/>
                <w:highlight w:val="none"/>
                <w:lang w:val="en-US" w:eastAsia="zh-CN"/>
              </w:rPr>
              <w:t>3、</w:t>
            </w:r>
            <w:r>
              <w:rPr>
                <w:rFonts w:hint="eastAsia"/>
                <w:szCs w:val="28"/>
                <w:highlight w:val="none"/>
              </w:rPr>
              <w:t>每月委托第三方对在线设备进行比对，并出具检测报告；</w:t>
            </w:r>
            <w:r>
              <w:rPr>
                <w:rFonts w:hint="eastAsia"/>
                <w:szCs w:val="28"/>
                <w:highlight w:val="none"/>
                <w:lang w:val="en-US" w:eastAsia="zh-CN"/>
              </w:rPr>
              <w:t>4、</w:t>
            </w:r>
            <w:r>
              <w:rPr>
                <w:rFonts w:hint="eastAsia"/>
                <w:szCs w:val="28"/>
                <w:highlight w:val="none"/>
              </w:rPr>
              <w:t>在线设备频次每1小时监测一次。</w:t>
            </w:r>
            <w:r>
              <w:rPr>
                <w:rFonts w:hint="eastAsia"/>
                <w:szCs w:val="28"/>
                <w:highlight w:val="none"/>
                <w:lang w:val="en-US" w:eastAsia="zh-CN"/>
              </w:rPr>
              <w:t>5、</w:t>
            </w:r>
            <w:r>
              <w:rPr>
                <w:rFonts w:hint="eastAsia"/>
                <w:szCs w:val="28"/>
                <w:highlight w:val="none"/>
              </w:rPr>
              <w:t>每年委托第三方对在线设备进行量值溯源，并出具满足生态环境局要求的检定证书。</w:t>
            </w:r>
          </w:p>
        </w:tc>
      </w:tr>
    </w:tbl>
    <w:p>
      <w:pPr>
        <w:rPr>
          <w:rFonts w:hint="eastAsia"/>
          <w:lang w:val="en-US" w:eastAsia="zh-CN"/>
        </w:rPr>
      </w:pPr>
    </w:p>
    <w:p>
      <w:pPr>
        <w:pStyle w:val="5"/>
        <w:spacing w:before="480" w:after="260" w:line="500" w:lineRule="exact"/>
        <w:rPr>
          <w:rFonts w:hint="eastAsia" w:hAnsi="宋体"/>
          <w:color w:val="000000"/>
          <w:highlight w:val="none"/>
          <w:lang w:val="en-US" w:eastAsia="zh-CN"/>
        </w:rPr>
      </w:pPr>
    </w:p>
    <w:p>
      <w:pPr>
        <w:rPr>
          <w:rFonts w:hint="eastAsia" w:hAnsi="宋体"/>
          <w:color w:val="000000"/>
          <w:highlight w:val="none"/>
          <w:lang w:val="en-US" w:eastAsia="zh-CN"/>
        </w:rPr>
      </w:pPr>
    </w:p>
    <w:p>
      <w:pPr>
        <w:pStyle w:val="2"/>
        <w:rPr>
          <w:rFonts w:hint="eastAsia" w:hAnsi="宋体"/>
          <w:color w:val="000000"/>
          <w:highlight w:val="none"/>
          <w:lang w:val="en-US" w:eastAsia="zh-CN"/>
        </w:rPr>
      </w:pPr>
    </w:p>
    <w:p>
      <w:pPr>
        <w:rPr>
          <w:rFonts w:hint="eastAsia" w:hAnsi="宋体"/>
          <w:color w:val="000000"/>
          <w:highlight w:val="none"/>
          <w:lang w:val="en-US" w:eastAsia="zh-CN"/>
        </w:rPr>
      </w:pPr>
    </w:p>
    <w:p>
      <w:pPr>
        <w:pStyle w:val="2"/>
        <w:rPr>
          <w:rFonts w:hint="eastAsia" w:hAnsi="宋体"/>
          <w:color w:val="000000"/>
          <w:highlight w:val="none"/>
          <w:lang w:val="en-US" w:eastAsia="zh-CN"/>
        </w:rPr>
      </w:pPr>
    </w:p>
    <w:p>
      <w:pPr>
        <w:rPr>
          <w:rFonts w:hint="eastAsia" w:hAnsi="宋体"/>
          <w:color w:val="000000"/>
          <w:highlight w:val="none"/>
          <w:lang w:val="en-US" w:eastAsia="zh-CN"/>
        </w:rPr>
      </w:pPr>
    </w:p>
    <w:p>
      <w:pPr>
        <w:pStyle w:val="2"/>
        <w:rPr>
          <w:rFonts w:hint="eastAsia"/>
          <w:lang w:val="en-US" w:eastAsia="zh-CN"/>
        </w:rPr>
      </w:pPr>
    </w:p>
    <w:p>
      <w:pPr>
        <w:pStyle w:val="5"/>
        <w:spacing w:before="480" w:after="260" w:line="500" w:lineRule="exact"/>
        <w:rPr>
          <w:rFonts w:hint="eastAsia" w:hAnsi="宋体"/>
          <w:color w:val="000000"/>
          <w:highlight w:val="none"/>
          <w:lang w:val="en-US" w:eastAsia="zh-CN"/>
        </w:rPr>
      </w:pPr>
    </w:p>
    <w:p>
      <w:pPr>
        <w:pStyle w:val="5"/>
        <w:spacing w:before="480" w:after="260" w:line="500" w:lineRule="exact"/>
        <w:rPr>
          <w:rFonts w:hAnsi="宋体"/>
          <w:b w:val="0"/>
          <w:bCs w:val="0"/>
          <w:color w:val="000000"/>
          <w:highlight w:val="none"/>
        </w:rPr>
      </w:pPr>
      <w:r>
        <w:rPr>
          <w:rFonts w:hint="eastAsia" w:hAnsi="宋体"/>
          <w:color w:val="000000"/>
          <w:highlight w:val="none"/>
          <w:lang w:val="en-US" w:eastAsia="zh-CN"/>
        </w:rPr>
        <w:t>六</w:t>
      </w:r>
      <w:r>
        <w:rPr>
          <w:rFonts w:hint="eastAsia" w:hAnsi="宋体"/>
          <w:color w:val="000000"/>
          <w:highlight w:val="none"/>
        </w:rPr>
        <w:t>、响应文件格式</w:t>
      </w:r>
      <w:bookmarkEnd w:id="53"/>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156" w:afterLines="50"/>
        <w:jc w:val="center"/>
        <w:rPr>
          <w:rFonts w:hAnsi="宋体"/>
          <w:b/>
          <w:color w:val="000000"/>
          <w:sz w:val="72"/>
          <w:szCs w:val="24"/>
          <w:highlight w:val="none"/>
        </w:rPr>
      </w:pPr>
    </w:p>
    <w:p>
      <w:pPr>
        <w:spacing w:after="156" w:afterLines="50" w:line="500" w:lineRule="exact"/>
        <w:jc w:val="center"/>
        <w:rPr>
          <w:rFonts w:hAnsi="宋体"/>
          <w:b/>
          <w:color w:val="000000"/>
          <w:sz w:val="72"/>
          <w:szCs w:val="24"/>
          <w:highlight w:val="none"/>
        </w:rPr>
      </w:pPr>
    </w:p>
    <w:p>
      <w:pPr>
        <w:spacing w:after="156" w:afterLines="50" w:line="500" w:lineRule="exact"/>
        <w:jc w:val="center"/>
        <w:rPr>
          <w:rFonts w:hAnsi="宋体"/>
          <w:b/>
          <w:color w:val="000000"/>
          <w:sz w:val="72"/>
          <w:szCs w:val="24"/>
          <w:highlight w:val="none"/>
        </w:rPr>
      </w:pPr>
    </w:p>
    <w:p>
      <w:pPr>
        <w:spacing w:after="156"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156"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194" w:name="_Toc438648618"/>
      <w:r>
        <w:rPr>
          <w:rFonts w:hint="eastAsia" w:hAnsi="宋体" w:cs="宋体"/>
          <w:b/>
          <w:color w:val="000000"/>
          <w:szCs w:val="24"/>
          <w:highlight w:val="none"/>
        </w:rPr>
        <w:t>响应文件资料清单</w:t>
      </w:r>
    </w:p>
    <w:tbl>
      <w:tblPr>
        <w:tblStyle w:val="6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6"/>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195" w:name="_Toc461053086"/>
      <w:bookmarkStart w:id="196" w:name="_Toc461056631"/>
      <w:bookmarkStart w:id="197" w:name="_Toc2774249"/>
      <w:r>
        <w:rPr>
          <w:rFonts w:hint="eastAsia" w:ascii="宋体" w:hAnsi="宋体" w:eastAsia="宋体"/>
          <w:bCs w:val="0"/>
          <w:color w:val="000000"/>
          <w:sz w:val="24"/>
          <w:szCs w:val="24"/>
          <w:highlight w:val="none"/>
        </w:rPr>
        <w:t>附件一</w:t>
      </w:r>
      <w:bookmarkEnd w:id="195"/>
      <w:bookmarkEnd w:id="196"/>
      <w:bookmarkEnd w:id="197"/>
    </w:p>
    <w:p>
      <w:pPr>
        <w:spacing w:before="156" w:beforeLines="50" w:after="156"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156" w:beforeLines="50" w:after="156"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156"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ind w:firstLine="1971" w:firstLineChars="900"/>
              <w:rPr>
                <w:rFonts w:hAnsi="宋体"/>
                <w:bCs/>
                <w:color w:val="000000"/>
                <w:highlight w:val="none"/>
              </w:rPr>
            </w:pPr>
            <w:r>
              <w:rPr>
                <w:rFonts w:hAnsi="宋体"/>
                <w:b/>
                <w:color w:val="000000"/>
                <w:highlight w:val="yellow"/>
              </w:rPr>
              <w:t>（需附报价清单）</w:t>
            </w:r>
            <w:r>
              <w:rPr>
                <w:rFonts w:hAnsi="宋体"/>
                <w:bCs/>
                <w:color w:val="000000"/>
                <w:highlight w:val="yellow"/>
              </w:rPr>
              <w:t xml:space="preserve"> </w:t>
            </w:r>
            <w:r>
              <w:rPr>
                <w:rFonts w:hAnsi="宋体"/>
                <w:bCs/>
                <w:color w:val="000000"/>
                <w:highlight w:val="none"/>
              </w:rPr>
              <w:t xml:space="preserve">               </w:t>
            </w:r>
          </w:p>
          <w:p>
            <w:pPr>
              <w:snapToGrid w:val="0"/>
              <w:spacing w:line="360" w:lineRule="auto"/>
              <w:ind w:firstLine="1617" w:firstLineChars="738"/>
              <w:rPr>
                <w:rFonts w:hAnsi="宋体"/>
                <w:b/>
                <w:color w:val="000000"/>
                <w:highlight w:val="none"/>
              </w:rPr>
            </w:pPr>
            <w:r>
              <w:rPr>
                <w:rFonts w:hint="eastAsia" w:hAnsi="宋体"/>
                <w:bCs/>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int="default" w:hAnsi="宋体" w:eastAsia="宋体"/>
                <w:b/>
                <w:color w:val="000000"/>
                <w:highlight w:val="none"/>
                <w:lang w:val="en-US" w:eastAsia="zh-CN"/>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bookmarkEnd w:id="194"/>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jc w:val="center"/>
        <w:rPr>
          <w:rFonts w:hint="eastAsia"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198" w:name="_Toc438648620"/>
      <w:r>
        <w:rPr>
          <w:rFonts w:hint="eastAsia" w:hAnsi="宋体" w:cs="宋体"/>
          <w:b/>
          <w:color w:val="000000"/>
          <w:szCs w:val="24"/>
          <w:highlight w:val="none"/>
        </w:rPr>
        <w:br w:type="page"/>
      </w:r>
      <w:bookmarkEnd w:id="198"/>
      <w:r>
        <w:rPr>
          <w:rFonts w:hint="eastAsia" w:hAnsi="宋体" w:cs="宋体"/>
          <w:b/>
          <w:color w:val="000000"/>
          <w:szCs w:val="24"/>
          <w:highlight w:val="none"/>
        </w:rPr>
        <w:t>三</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62" w:beforeLines="20" w:after="62" w:afterLines="20" w:line="540" w:lineRule="exact"/>
        <w:ind w:firstLine="610"/>
        <w:rPr>
          <w:rFonts w:hAnsi="宋体" w:cs="宋体"/>
          <w:color w:val="000000"/>
          <w:szCs w:val="24"/>
          <w:highlight w:val="none"/>
        </w:rPr>
      </w:pPr>
    </w:p>
    <w:p>
      <w:pPr>
        <w:pStyle w:val="3"/>
        <w:spacing w:before="62" w:beforeLines="20" w:after="62"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161" w:firstLineChars="1900"/>
        <w:rPr>
          <w:rFonts w:hAnsi="宋体" w:cs="宋体"/>
          <w:color w:val="000000"/>
          <w:szCs w:val="24"/>
          <w:highlight w:val="none"/>
        </w:rPr>
      </w:pPr>
    </w:p>
    <w:p>
      <w:pPr>
        <w:tabs>
          <w:tab w:val="left" w:pos="720"/>
          <w:tab w:val="left" w:pos="900"/>
        </w:tabs>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62" w:beforeLines="20" w:after="62"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199" w:name="_Toc438648622"/>
      <w:r>
        <w:rPr>
          <w:rFonts w:hint="eastAsia" w:hAnsi="宋体" w:cs="宋体"/>
          <w:b/>
          <w:color w:val="000000"/>
          <w:szCs w:val="24"/>
          <w:highlight w:val="none"/>
        </w:rPr>
        <w:t>五</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6"/>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6"/>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highlight w:val="none"/>
        </w:rPr>
      </w:pPr>
    </w:p>
    <w:p>
      <w:pPr>
        <w:pStyle w:val="36"/>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6"/>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6"/>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199"/>
      <w:bookmarkStart w:id="200" w:name="_Toc438648630"/>
      <w:bookmarkStart w:id="201"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200"/>
    <w:bookmarkEnd w:id="201"/>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int="eastAsia"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jc w:val="center"/>
        <w:rPr>
          <w:rFonts w:hAnsi="宋体" w:cs="宋体"/>
          <w:b/>
          <w:color w:val="000000"/>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10609000101010101"/>
    <w:charset w:val="88"/>
    <w:family w:val="modern"/>
    <w:pitch w:val="default"/>
    <w:sig w:usb0="00000000" w:usb1="00000000" w:usb2="00000010" w:usb3="00000000" w:csb0="00100000" w:csb1="00000000"/>
  </w:font>
  <w:font w:name="DotumChe">
    <w:altName w:val="Malgun Gothic"/>
    <w:panose1 w:val="00000000000000000000"/>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41"/>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41"/>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合肥经济技术开发区公用事业</w:t>
    </w:r>
    <w:r>
      <w:rPr>
        <w:rFonts w:hint="eastAsia"/>
      </w:rPr>
      <w:t>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3CB8D"/>
    <w:multiLevelType w:val="singleLevel"/>
    <w:tmpl w:val="4B13CB8D"/>
    <w:lvl w:ilvl="0" w:tentative="0">
      <w:start w:val="1"/>
      <w:numFmt w:val="decimal"/>
      <w:pStyle w:val="16"/>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386D"/>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3938"/>
    <w:rsid w:val="00053B6A"/>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352"/>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B66CB"/>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71EF"/>
    <w:rsid w:val="00222CCE"/>
    <w:rsid w:val="00227496"/>
    <w:rsid w:val="00231921"/>
    <w:rsid w:val="00231A42"/>
    <w:rsid w:val="00231F95"/>
    <w:rsid w:val="00236A99"/>
    <w:rsid w:val="00244EF5"/>
    <w:rsid w:val="0024637C"/>
    <w:rsid w:val="0024664B"/>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3EB5"/>
    <w:rsid w:val="0037525A"/>
    <w:rsid w:val="00375D9F"/>
    <w:rsid w:val="00377820"/>
    <w:rsid w:val="0038255F"/>
    <w:rsid w:val="00382BC7"/>
    <w:rsid w:val="00390CDF"/>
    <w:rsid w:val="003920AE"/>
    <w:rsid w:val="0039352F"/>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95F"/>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79B"/>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2708C"/>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8AB"/>
    <w:rsid w:val="005709B4"/>
    <w:rsid w:val="005712EE"/>
    <w:rsid w:val="00572D3F"/>
    <w:rsid w:val="00574CF9"/>
    <w:rsid w:val="00575D0E"/>
    <w:rsid w:val="00575D8B"/>
    <w:rsid w:val="00575DBC"/>
    <w:rsid w:val="00576CEB"/>
    <w:rsid w:val="00580FE0"/>
    <w:rsid w:val="005837F8"/>
    <w:rsid w:val="00584268"/>
    <w:rsid w:val="005926F6"/>
    <w:rsid w:val="00592CB4"/>
    <w:rsid w:val="00593A21"/>
    <w:rsid w:val="00593EC9"/>
    <w:rsid w:val="0059531D"/>
    <w:rsid w:val="005A206C"/>
    <w:rsid w:val="005A461C"/>
    <w:rsid w:val="005A59E0"/>
    <w:rsid w:val="005B0ADB"/>
    <w:rsid w:val="005B15E2"/>
    <w:rsid w:val="005B356E"/>
    <w:rsid w:val="005B4384"/>
    <w:rsid w:val="005B5429"/>
    <w:rsid w:val="005B63B9"/>
    <w:rsid w:val="005B69F1"/>
    <w:rsid w:val="005B7902"/>
    <w:rsid w:val="005C0C1D"/>
    <w:rsid w:val="005C102E"/>
    <w:rsid w:val="005C1803"/>
    <w:rsid w:val="005C319B"/>
    <w:rsid w:val="005C36AB"/>
    <w:rsid w:val="005C5B53"/>
    <w:rsid w:val="005C5E16"/>
    <w:rsid w:val="005C7218"/>
    <w:rsid w:val="005D1197"/>
    <w:rsid w:val="005E0924"/>
    <w:rsid w:val="005E195F"/>
    <w:rsid w:val="005E2AB2"/>
    <w:rsid w:val="005E492B"/>
    <w:rsid w:val="005E4ED1"/>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6B0"/>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49F4"/>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2EF4"/>
    <w:rsid w:val="0068398F"/>
    <w:rsid w:val="00684C67"/>
    <w:rsid w:val="00684D37"/>
    <w:rsid w:val="006858C3"/>
    <w:rsid w:val="00685AEE"/>
    <w:rsid w:val="0068648B"/>
    <w:rsid w:val="0068795D"/>
    <w:rsid w:val="006902B7"/>
    <w:rsid w:val="0069127D"/>
    <w:rsid w:val="00693DC7"/>
    <w:rsid w:val="0069723F"/>
    <w:rsid w:val="006A176E"/>
    <w:rsid w:val="006A540E"/>
    <w:rsid w:val="006A7B5A"/>
    <w:rsid w:val="006B1395"/>
    <w:rsid w:val="006B3AE6"/>
    <w:rsid w:val="006B6704"/>
    <w:rsid w:val="006C6FD0"/>
    <w:rsid w:val="006D47A3"/>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166B"/>
    <w:rsid w:val="006F2B6D"/>
    <w:rsid w:val="006F3C99"/>
    <w:rsid w:val="00700F8C"/>
    <w:rsid w:val="0070282D"/>
    <w:rsid w:val="00705094"/>
    <w:rsid w:val="007062C3"/>
    <w:rsid w:val="00721695"/>
    <w:rsid w:val="00722324"/>
    <w:rsid w:val="007233BB"/>
    <w:rsid w:val="00723629"/>
    <w:rsid w:val="0072409D"/>
    <w:rsid w:val="00724BE4"/>
    <w:rsid w:val="007263EC"/>
    <w:rsid w:val="00726672"/>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2FCC"/>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6F4B"/>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55B1F"/>
    <w:rsid w:val="008629D2"/>
    <w:rsid w:val="00867382"/>
    <w:rsid w:val="008714BD"/>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2FE2"/>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C0E65"/>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26AE"/>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75D21"/>
    <w:rsid w:val="00977BCF"/>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069"/>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9E2"/>
    <w:rsid w:val="00A914D9"/>
    <w:rsid w:val="00A91D54"/>
    <w:rsid w:val="00A94841"/>
    <w:rsid w:val="00A955DC"/>
    <w:rsid w:val="00A95BD8"/>
    <w:rsid w:val="00AA4644"/>
    <w:rsid w:val="00AA70C2"/>
    <w:rsid w:val="00AA71A1"/>
    <w:rsid w:val="00AB154C"/>
    <w:rsid w:val="00AB5D62"/>
    <w:rsid w:val="00AB6D75"/>
    <w:rsid w:val="00AC47ED"/>
    <w:rsid w:val="00AC4C84"/>
    <w:rsid w:val="00AC5549"/>
    <w:rsid w:val="00AD061B"/>
    <w:rsid w:val="00AD0C55"/>
    <w:rsid w:val="00AD18DF"/>
    <w:rsid w:val="00AD33DF"/>
    <w:rsid w:val="00AD5D04"/>
    <w:rsid w:val="00AD64CD"/>
    <w:rsid w:val="00AE2A89"/>
    <w:rsid w:val="00AE3398"/>
    <w:rsid w:val="00AE588F"/>
    <w:rsid w:val="00AE71F8"/>
    <w:rsid w:val="00AF0433"/>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467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2BD"/>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5A7E"/>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55F"/>
    <w:rsid w:val="00C861DA"/>
    <w:rsid w:val="00C902A3"/>
    <w:rsid w:val="00C92766"/>
    <w:rsid w:val="00CA0E8B"/>
    <w:rsid w:val="00CA630A"/>
    <w:rsid w:val="00CA6E2A"/>
    <w:rsid w:val="00CA7C97"/>
    <w:rsid w:val="00CB08EF"/>
    <w:rsid w:val="00CB2FDF"/>
    <w:rsid w:val="00CB3102"/>
    <w:rsid w:val="00CB5085"/>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5DB3"/>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67334"/>
    <w:rsid w:val="00D71E6C"/>
    <w:rsid w:val="00D7404C"/>
    <w:rsid w:val="00D7476E"/>
    <w:rsid w:val="00D8098B"/>
    <w:rsid w:val="00D83AEA"/>
    <w:rsid w:val="00D86D74"/>
    <w:rsid w:val="00D87042"/>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B7205"/>
    <w:rsid w:val="00DB7706"/>
    <w:rsid w:val="00DC1C51"/>
    <w:rsid w:val="00DC315B"/>
    <w:rsid w:val="00DC484E"/>
    <w:rsid w:val="00DC70FD"/>
    <w:rsid w:val="00DC7CC2"/>
    <w:rsid w:val="00DD126C"/>
    <w:rsid w:val="00DD3714"/>
    <w:rsid w:val="00DD59E7"/>
    <w:rsid w:val="00DD7CD0"/>
    <w:rsid w:val="00DE5689"/>
    <w:rsid w:val="00DE5FBD"/>
    <w:rsid w:val="00DF1B99"/>
    <w:rsid w:val="00DF4B83"/>
    <w:rsid w:val="00DF75A2"/>
    <w:rsid w:val="00DF7C0F"/>
    <w:rsid w:val="00E00928"/>
    <w:rsid w:val="00E00A6E"/>
    <w:rsid w:val="00E032F3"/>
    <w:rsid w:val="00E05588"/>
    <w:rsid w:val="00E07EA5"/>
    <w:rsid w:val="00E10B66"/>
    <w:rsid w:val="00E12270"/>
    <w:rsid w:val="00E127C8"/>
    <w:rsid w:val="00E12BC5"/>
    <w:rsid w:val="00E1488C"/>
    <w:rsid w:val="00E153ED"/>
    <w:rsid w:val="00E15994"/>
    <w:rsid w:val="00E15AE5"/>
    <w:rsid w:val="00E15BB6"/>
    <w:rsid w:val="00E17EE2"/>
    <w:rsid w:val="00E23676"/>
    <w:rsid w:val="00E2393F"/>
    <w:rsid w:val="00E258AE"/>
    <w:rsid w:val="00E2696A"/>
    <w:rsid w:val="00E33F82"/>
    <w:rsid w:val="00E35FD1"/>
    <w:rsid w:val="00E40749"/>
    <w:rsid w:val="00E40D9A"/>
    <w:rsid w:val="00E42332"/>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6898"/>
    <w:rsid w:val="00E77972"/>
    <w:rsid w:val="00E800E1"/>
    <w:rsid w:val="00E8025B"/>
    <w:rsid w:val="00E81C40"/>
    <w:rsid w:val="00E81E85"/>
    <w:rsid w:val="00E81EB8"/>
    <w:rsid w:val="00E82342"/>
    <w:rsid w:val="00E84CFB"/>
    <w:rsid w:val="00E8527D"/>
    <w:rsid w:val="00E87E8C"/>
    <w:rsid w:val="00E900B2"/>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D50E9"/>
    <w:rsid w:val="00EE157D"/>
    <w:rsid w:val="00EE251B"/>
    <w:rsid w:val="00EE315F"/>
    <w:rsid w:val="00EE3C3D"/>
    <w:rsid w:val="00EF0A61"/>
    <w:rsid w:val="00EF0E54"/>
    <w:rsid w:val="00EF0EC3"/>
    <w:rsid w:val="00EF590A"/>
    <w:rsid w:val="00F000AE"/>
    <w:rsid w:val="00F00105"/>
    <w:rsid w:val="00F02DBD"/>
    <w:rsid w:val="00F0667A"/>
    <w:rsid w:val="00F068FE"/>
    <w:rsid w:val="00F06B30"/>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25F5"/>
    <w:rsid w:val="00F63CC4"/>
    <w:rsid w:val="00F64771"/>
    <w:rsid w:val="00F67ECF"/>
    <w:rsid w:val="00F7020B"/>
    <w:rsid w:val="00F747D1"/>
    <w:rsid w:val="00F76257"/>
    <w:rsid w:val="00F83EE0"/>
    <w:rsid w:val="00F86C8B"/>
    <w:rsid w:val="00F87BF5"/>
    <w:rsid w:val="00F919D7"/>
    <w:rsid w:val="00F922DA"/>
    <w:rsid w:val="00F93FB4"/>
    <w:rsid w:val="00F959B0"/>
    <w:rsid w:val="00F963E8"/>
    <w:rsid w:val="00F966A2"/>
    <w:rsid w:val="00F9746D"/>
    <w:rsid w:val="00FA0B39"/>
    <w:rsid w:val="00FA2C82"/>
    <w:rsid w:val="00FA32C1"/>
    <w:rsid w:val="00FA45EB"/>
    <w:rsid w:val="00FA5F47"/>
    <w:rsid w:val="00FA6D55"/>
    <w:rsid w:val="00FA75BA"/>
    <w:rsid w:val="00FB1274"/>
    <w:rsid w:val="00FB1F84"/>
    <w:rsid w:val="00FB35B5"/>
    <w:rsid w:val="00FB40D5"/>
    <w:rsid w:val="00FB607D"/>
    <w:rsid w:val="00FB7A5F"/>
    <w:rsid w:val="00FC1279"/>
    <w:rsid w:val="00FC73E2"/>
    <w:rsid w:val="00FC7F5E"/>
    <w:rsid w:val="00FD1F36"/>
    <w:rsid w:val="00FD2D8F"/>
    <w:rsid w:val="00FD5283"/>
    <w:rsid w:val="00FD5E32"/>
    <w:rsid w:val="00FD7355"/>
    <w:rsid w:val="00FE19B0"/>
    <w:rsid w:val="00FE6930"/>
    <w:rsid w:val="00FE76F2"/>
    <w:rsid w:val="00FE7E5D"/>
    <w:rsid w:val="00FF2375"/>
    <w:rsid w:val="00FF5791"/>
    <w:rsid w:val="00FF6572"/>
    <w:rsid w:val="01551588"/>
    <w:rsid w:val="02486FA3"/>
    <w:rsid w:val="03BF5149"/>
    <w:rsid w:val="041E18D4"/>
    <w:rsid w:val="04E01777"/>
    <w:rsid w:val="055167AC"/>
    <w:rsid w:val="05665D07"/>
    <w:rsid w:val="05905DF7"/>
    <w:rsid w:val="05A63A8C"/>
    <w:rsid w:val="073308E6"/>
    <w:rsid w:val="087B06FB"/>
    <w:rsid w:val="08B86E03"/>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467B6E"/>
    <w:rsid w:val="11E85BC4"/>
    <w:rsid w:val="12495806"/>
    <w:rsid w:val="128727B8"/>
    <w:rsid w:val="13B0220C"/>
    <w:rsid w:val="14420D88"/>
    <w:rsid w:val="15B12C0B"/>
    <w:rsid w:val="15CC6AEE"/>
    <w:rsid w:val="167A7DAC"/>
    <w:rsid w:val="17726828"/>
    <w:rsid w:val="184247A3"/>
    <w:rsid w:val="18465535"/>
    <w:rsid w:val="198B5630"/>
    <w:rsid w:val="19EC6CCB"/>
    <w:rsid w:val="1AEC4059"/>
    <w:rsid w:val="1B023953"/>
    <w:rsid w:val="1CCE4908"/>
    <w:rsid w:val="1E212D2C"/>
    <w:rsid w:val="1FAF6052"/>
    <w:rsid w:val="220F56F1"/>
    <w:rsid w:val="247C01A4"/>
    <w:rsid w:val="24F075EF"/>
    <w:rsid w:val="25235D17"/>
    <w:rsid w:val="257D4325"/>
    <w:rsid w:val="25863B04"/>
    <w:rsid w:val="267F7783"/>
    <w:rsid w:val="26D0546D"/>
    <w:rsid w:val="26E95C38"/>
    <w:rsid w:val="26F8146C"/>
    <w:rsid w:val="286363C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232C77"/>
    <w:rsid w:val="31892A9F"/>
    <w:rsid w:val="31CD41A8"/>
    <w:rsid w:val="32AC4DF2"/>
    <w:rsid w:val="32CC4C19"/>
    <w:rsid w:val="32DF6E6C"/>
    <w:rsid w:val="32EA53D2"/>
    <w:rsid w:val="333D17B4"/>
    <w:rsid w:val="33610BC3"/>
    <w:rsid w:val="33D07626"/>
    <w:rsid w:val="3426478E"/>
    <w:rsid w:val="34FB0156"/>
    <w:rsid w:val="350A2D03"/>
    <w:rsid w:val="3740068C"/>
    <w:rsid w:val="37870D15"/>
    <w:rsid w:val="37A46854"/>
    <w:rsid w:val="381F7139"/>
    <w:rsid w:val="3A064448"/>
    <w:rsid w:val="3ADB63A2"/>
    <w:rsid w:val="3B461731"/>
    <w:rsid w:val="3B607653"/>
    <w:rsid w:val="3BA537DF"/>
    <w:rsid w:val="3D1B1DE9"/>
    <w:rsid w:val="3E0C652E"/>
    <w:rsid w:val="3E503843"/>
    <w:rsid w:val="3ED23298"/>
    <w:rsid w:val="3F4F1107"/>
    <w:rsid w:val="40466FDB"/>
    <w:rsid w:val="40773F96"/>
    <w:rsid w:val="408C373D"/>
    <w:rsid w:val="40C50DE9"/>
    <w:rsid w:val="411D29D5"/>
    <w:rsid w:val="41E62125"/>
    <w:rsid w:val="42441329"/>
    <w:rsid w:val="42827FAD"/>
    <w:rsid w:val="435F0738"/>
    <w:rsid w:val="43D65DBF"/>
    <w:rsid w:val="441377A8"/>
    <w:rsid w:val="45D13C93"/>
    <w:rsid w:val="45F5412F"/>
    <w:rsid w:val="465042E3"/>
    <w:rsid w:val="473138EC"/>
    <w:rsid w:val="4755784C"/>
    <w:rsid w:val="47771AC7"/>
    <w:rsid w:val="48AF480F"/>
    <w:rsid w:val="49100CD7"/>
    <w:rsid w:val="4A9B6FBB"/>
    <w:rsid w:val="4B7904A6"/>
    <w:rsid w:val="4BBB11F2"/>
    <w:rsid w:val="4CFD02CC"/>
    <w:rsid w:val="4E5A0389"/>
    <w:rsid w:val="4E867B2E"/>
    <w:rsid w:val="4F9E443B"/>
    <w:rsid w:val="503D1CD1"/>
    <w:rsid w:val="50595446"/>
    <w:rsid w:val="50EB7180"/>
    <w:rsid w:val="51075C5A"/>
    <w:rsid w:val="51076E80"/>
    <w:rsid w:val="525F1ECA"/>
    <w:rsid w:val="52F12FDC"/>
    <w:rsid w:val="52F77142"/>
    <w:rsid w:val="53112AB6"/>
    <w:rsid w:val="537D5B1F"/>
    <w:rsid w:val="53885680"/>
    <w:rsid w:val="57A82F18"/>
    <w:rsid w:val="59163527"/>
    <w:rsid w:val="59503A2E"/>
    <w:rsid w:val="59771907"/>
    <w:rsid w:val="599F2EC1"/>
    <w:rsid w:val="59E5547D"/>
    <w:rsid w:val="5A246F8E"/>
    <w:rsid w:val="5B4D74F0"/>
    <w:rsid w:val="5E661FE6"/>
    <w:rsid w:val="5EA96802"/>
    <w:rsid w:val="5ED72AC2"/>
    <w:rsid w:val="5EDA1941"/>
    <w:rsid w:val="5F9C06A7"/>
    <w:rsid w:val="612A4F36"/>
    <w:rsid w:val="616B2A6A"/>
    <w:rsid w:val="62A819D0"/>
    <w:rsid w:val="62C124BF"/>
    <w:rsid w:val="62EC7940"/>
    <w:rsid w:val="638C1840"/>
    <w:rsid w:val="643F2933"/>
    <w:rsid w:val="648C501F"/>
    <w:rsid w:val="64D65719"/>
    <w:rsid w:val="677102A6"/>
    <w:rsid w:val="6A462692"/>
    <w:rsid w:val="6A6E367C"/>
    <w:rsid w:val="6C0C505C"/>
    <w:rsid w:val="6CAB69A8"/>
    <w:rsid w:val="6CBE1293"/>
    <w:rsid w:val="6D0464DC"/>
    <w:rsid w:val="6D102A04"/>
    <w:rsid w:val="6E146DCC"/>
    <w:rsid w:val="6E252855"/>
    <w:rsid w:val="6E2D073C"/>
    <w:rsid w:val="6F45735D"/>
    <w:rsid w:val="72A6388B"/>
    <w:rsid w:val="7525795F"/>
    <w:rsid w:val="76CB2405"/>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68"/>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1"/>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3"/>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2"/>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70"/>
    <w:qFormat/>
    <w:uiPriority w:val="0"/>
    <w:pPr>
      <w:keepNext/>
      <w:outlineLvl w:val="4"/>
    </w:pPr>
    <w:rPr>
      <w:rFonts w:hAnsi="Arial"/>
      <w:bCs/>
      <w:kern w:val="2"/>
      <w:sz w:val="28"/>
    </w:rPr>
  </w:style>
  <w:style w:type="paragraph" w:styleId="10">
    <w:name w:val="heading 6"/>
    <w:basedOn w:val="1"/>
    <w:next w:val="1"/>
    <w:link w:val="125"/>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2"/>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27"/>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4"/>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7">
    <w:name w:val="Default Paragraph Font"/>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4"/>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List Number 2"/>
    <w:basedOn w:val="1"/>
    <w:semiHidden/>
    <w:unhideWhenUsed/>
    <w:qFormat/>
    <w:uiPriority w:val="99"/>
    <w:pPr>
      <w:numPr>
        <w:ilvl w:val="0"/>
        <w:numId w:val="1"/>
      </w:numPr>
    </w:pPr>
  </w:style>
  <w:style w:type="paragraph" w:styleId="17">
    <w:name w:val="table of authorities"/>
    <w:basedOn w:val="1"/>
    <w:next w:val="1"/>
    <w:qFormat/>
    <w:uiPriority w:val="0"/>
    <w:pPr>
      <w:ind w:left="420" w:leftChars="200"/>
    </w:pPr>
  </w:style>
  <w:style w:type="paragraph" w:styleId="18">
    <w:name w:val="index 8"/>
    <w:basedOn w:val="1"/>
    <w:next w:val="1"/>
    <w:qFormat/>
    <w:uiPriority w:val="0"/>
    <w:pPr>
      <w:ind w:left="1400" w:leftChars="1400"/>
    </w:pPr>
  </w:style>
  <w:style w:type="paragraph" w:styleId="19">
    <w:name w:val="Normal Indent"/>
    <w:basedOn w:val="1"/>
    <w:qFormat/>
    <w:uiPriority w:val="0"/>
    <w:pPr>
      <w:ind w:firstLine="420" w:firstLineChars="200"/>
    </w:pPr>
    <w:rPr>
      <w:szCs w:val="24"/>
    </w:rPr>
  </w:style>
  <w:style w:type="paragraph" w:styleId="20">
    <w:name w:val="caption"/>
    <w:basedOn w:val="1"/>
    <w:next w:val="1"/>
    <w:qFormat/>
    <w:uiPriority w:val="0"/>
    <w:pPr>
      <w:spacing w:before="152" w:after="160"/>
    </w:pPr>
    <w:rPr>
      <w:rFonts w:ascii="Arial" w:hAnsi="Arial" w:eastAsia="黑体" w:cs="Arial"/>
      <w:kern w:val="2"/>
      <w:sz w:val="20"/>
    </w:rPr>
  </w:style>
  <w:style w:type="paragraph" w:styleId="21">
    <w:name w:val="index 5"/>
    <w:basedOn w:val="1"/>
    <w:next w:val="1"/>
    <w:qFormat/>
    <w:uiPriority w:val="0"/>
    <w:pPr>
      <w:ind w:left="800" w:leftChars="800"/>
    </w:pPr>
  </w:style>
  <w:style w:type="paragraph" w:styleId="22">
    <w:name w:val="Document Map"/>
    <w:basedOn w:val="1"/>
    <w:link w:val="121"/>
    <w:qFormat/>
    <w:uiPriority w:val="0"/>
    <w:pPr>
      <w:shd w:val="clear" w:color="auto" w:fill="000080"/>
    </w:pPr>
    <w:rPr>
      <w:rFonts w:ascii="Times New Roman"/>
      <w:kern w:val="2"/>
      <w:sz w:val="21"/>
    </w:rPr>
  </w:style>
  <w:style w:type="paragraph" w:styleId="23">
    <w:name w:val="toa heading"/>
    <w:basedOn w:val="1"/>
    <w:next w:val="1"/>
    <w:qFormat/>
    <w:uiPriority w:val="0"/>
    <w:pPr>
      <w:spacing w:before="120"/>
    </w:pPr>
    <w:rPr>
      <w:rFonts w:ascii="Arial" w:hAnsi="Arial"/>
      <w:b/>
      <w:bCs/>
      <w:szCs w:val="24"/>
    </w:rPr>
  </w:style>
  <w:style w:type="paragraph" w:styleId="24">
    <w:name w:val="annotation text"/>
    <w:basedOn w:val="1"/>
    <w:link w:val="129"/>
    <w:qFormat/>
    <w:uiPriority w:val="99"/>
    <w:pPr>
      <w:jc w:val="left"/>
    </w:pPr>
    <w:rPr>
      <w:rFonts w:ascii="Times New Roman"/>
      <w:kern w:val="2"/>
      <w:sz w:val="21"/>
    </w:rPr>
  </w:style>
  <w:style w:type="paragraph" w:styleId="25">
    <w:name w:val="index 6"/>
    <w:basedOn w:val="1"/>
    <w:next w:val="1"/>
    <w:qFormat/>
    <w:uiPriority w:val="0"/>
    <w:pPr>
      <w:ind w:left="1000" w:leftChars="1000"/>
    </w:pPr>
  </w:style>
  <w:style w:type="paragraph" w:styleId="26">
    <w:name w:val="Salutation"/>
    <w:basedOn w:val="1"/>
    <w:next w:val="1"/>
    <w:link w:val="123"/>
    <w:qFormat/>
    <w:uiPriority w:val="0"/>
    <w:rPr>
      <w:rFonts w:ascii="仿宋_GB2312" w:eastAsia="仿宋_GB2312"/>
      <w:sz w:val="28"/>
    </w:rPr>
  </w:style>
  <w:style w:type="paragraph" w:styleId="27">
    <w:name w:val="Body Text 3"/>
    <w:basedOn w:val="1"/>
    <w:link w:val="128"/>
    <w:qFormat/>
    <w:uiPriority w:val="0"/>
    <w:rPr>
      <w:rFonts w:ascii="黑体" w:hAnsi="Arial" w:eastAsia="黑体"/>
      <w:b/>
      <w:sz w:val="28"/>
    </w:rPr>
  </w:style>
  <w:style w:type="paragraph" w:styleId="28">
    <w:name w:val="Body Text"/>
    <w:basedOn w:val="1"/>
    <w:next w:val="29"/>
    <w:link w:val="173"/>
    <w:qFormat/>
    <w:uiPriority w:val="0"/>
    <w:rPr>
      <w:rFonts w:hAnsi="Arial"/>
      <w:kern w:val="2"/>
      <w:sz w:val="28"/>
    </w:rPr>
  </w:style>
  <w:style w:type="paragraph" w:styleId="29">
    <w:name w:val="Date"/>
    <w:basedOn w:val="1"/>
    <w:next w:val="1"/>
    <w:link w:val="92"/>
    <w:qFormat/>
    <w:uiPriority w:val="0"/>
    <w:rPr>
      <w:rFonts w:ascii="Times New Roman"/>
      <w:b/>
      <w:kern w:val="2"/>
      <w:sz w:val="28"/>
    </w:rPr>
  </w:style>
  <w:style w:type="paragraph" w:styleId="30">
    <w:name w:val="List 2"/>
    <w:basedOn w:val="1"/>
    <w:qFormat/>
    <w:uiPriority w:val="0"/>
    <w:pPr>
      <w:ind w:left="100" w:leftChars="200" w:hanging="200" w:hangingChars="200"/>
    </w:pPr>
    <w:rPr>
      <w:szCs w:val="24"/>
    </w:rPr>
  </w:style>
  <w:style w:type="paragraph" w:styleId="31">
    <w:name w:val="List Continue"/>
    <w:basedOn w:val="1"/>
    <w:qFormat/>
    <w:uiPriority w:val="0"/>
    <w:pPr>
      <w:spacing w:after="120"/>
      <w:ind w:left="420" w:leftChars="200"/>
    </w:pPr>
    <w:rPr>
      <w:szCs w:val="24"/>
    </w:rPr>
  </w:style>
  <w:style w:type="paragraph" w:styleId="32">
    <w:name w:val="Block Text"/>
    <w:basedOn w:val="1"/>
    <w:qFormat/>
    <w:uiPriority w:val="0"/>
    <w:pPr>
      <w:spacing w:after="120"/>
      <w:ind w:left="1440" w:leftChars="700" w:right="1440" w:rightChars="700"/>
    </w:pPr>
    <w:rPr>
      <w:szCs w:val="24"/>
    </w:rPr>
  </w:style>
  <w:style w:type="paragraph" w:styleId="33">
    <w:name w:val="index 4"/>
    <w:basedOn w:val="1"/>
    <w:next w:val="1"/>
    <w:qFormat/>
    <w:uiPriority w:val="0"/>
    <w:pPr>
      <w:ind w:left="600" w:leftChars="600"/>
    </w:pPr>
  </w:style>
  <w:style w:type="paragraph" w:styleId="34">
    <w:name w:val="toc 5"/>
    <w:basedOn w:val="1"/>
    <w:next w:val="1"/>
    <w:qFormat/>
    <w:uiPriority w:val="39"/>
    <w:pPr>
      <w:ind w:left="840"/>
      <w:jc w:val="left"/>
    </w:pPr>
    <w:rPr>
      <w:szCs w:val="21"/>
    </w:rPr>
  </w:style>
  <w:style w:type="paragraph" w:styleId="35">
    <w:name w:val="toc 3"/>
    <w:basedOn w:val="1"/>
    <w:next w:val="1"/>
    <w:qFormat/>
    <w:uiPriority w:val="39"/>
    <w:pPr>
      <w:ind w:left="420"/>
      <w:jc w:val="left"/>
    </w:pPr>
    <w:rPr>
      <w:i/>
      <w:iCs/>
      <w:szCs w:val="24"/>
    </w:rPr>
  </w:style>
  <w:style w:type="paragraph" w:styleId="36">
    <w:name w:val="Plain Text"/>
    <w:basedOn w:val="1"/>
    <w:link w:val="160"/>
    <w:qFormat/>
    <w:uiPriority w:val="0"/>
    <w:rPr>
      <w:rFonts w:hAnsi="Courier New"/>
      <w:kern w:val="2"/>
      <w:sz w:val="21"/>
    </w:rPr>
  </w:style>
  <w:style w:type="paragraph" w:styleId="37">
    <w:name w:val="toc 8"/>
    <w:basedOn w:val="1"/>
    <w:next w:val="1"/>
    <w:qFormat/>
    <w:uiPriority w:val="39"/>
    <w:pPr>
      <w:ind w:left="1470"/>
      <w:jc w:val="left"/>
    </w:pPr>
    <w:rPr>
      <w:szCs w:val="21"/>
    </w:rPr>
  </w:style>
  <w:style w:type="paragraph" w:styleId="38">
    <w:name w:val="index 3"/>
    <w:basedOn w:val="1"/>
    <w:next w:val="1"/>
    <w:qFormat/>
    <w:uiPriority w:val="0"/>
    <w:pPr>
      <w:ind w:left="400" w:leftChars="400"/>
    </w:pPr>
  </w:style>
  <w:style w:type="paragraph" w:styleId="39">
    <w:name w:val="Body Text Indent 2"/>
    <w:basedOn w:val="1"/>
    <w:link w:val="176"/>
    <w:qFormat/>
    <w:uiPriority w:val="0"/>
    <w:pPr>
      <w:ind w:left="630" w:firstLine="645"/>
    </w:pPr>
    <w:rPr>
      <w:rFonts w:ascii="Arial" w:hAnsi="Arial" w:eastAsia="仿宋_GB2312"/>
      <w:sz w:val="32"/>
    </w:rPr>
  </w:style>
  <w:style w:type="paragraph" w:styleId="40">
    <w:name w:val="Balloon Text"/>
    <w:basedOn w:val="1"/>
    <w:link w:val="85"/>
    <w:qFormat/>
    <w:uiPriority w:val="99"/>
    <w:rPr>
      <w:sz w:val="18"/>
      <w:szCs w:val="18"/>
    </w:rPr>
  </w:style>
  <w:style w:type="paragraph" w:styleId="41">
    <w:name w:val="footer"/>
    <w:basedOn w:val="1"/>
    <w:link w:val="182"/>
    <w:qFormat/>
    <w:uiPriority w:val="99"/>
    <w:pPr>
      <w:tabs>
        <w:tab w:val="center" w:pos="4153"/>
        <w:tab w:val="right" w:pos="8306"/>
      </w:tabs>
      <w:snapToGrid w:val="0"/>
      <w:jc w:val="left"/>
    </w:pPr>
    <w:rPr>
      <w:rFonts w:ascii="Times New Roman"/>
      <w:kern w:val="2"/>
      <w:sz w:val="18"/>
    </w:rPr>
  </w:style>
  <w:style w:type="paragraph" w:styleId="42">
    <w:name w:val="header"/>
    <w:basedOn w:val="1"/>
    <w:link w:val="102"/>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3">
    <w:name w:val="toc 1"/>
    <w:basedOn w:val="1"/>
    <w:next w:val="1"/>
    <w:qFormat/>
    <w:uiPriority w:val="39"/>
    <w:pPr>
      <w:spacing w:before="120" w:after="120"/>
      <w:jc w:val="left"/>
    </w:pPr>
    <w:rPr>
      <w:caps/>
      <w:szCs w:val="24"/>
    </w:rPr>
  </w:style>
  <w:style w:type="paragraph" w:styleId="44">
    <w:name w:val="List Continue 4"/>
    <w:basedOn w:val="1"/>
    <w:qFormat/>
    <w:uiPriority w:val="0"/>
    <w:pPr>
      <w:spacing w:after="120"/>
      <w:ind w:left="1680" w:leftChars="800"/>
    </w:pPr>
    <w:rPr>
      <w:rFonts w:ascii="Calibri" w:hAnsi="Calibri"/>
      <w:kern w:val="2"/>
      <w:sz w:val="21"/>
      <w:szCs w:val="22"/>
    </w:rPr>
  </w:style>
  <w:style w:type="paragraph" w:styleId="45">
    <w:name w:val="toc 4"/>
    <w:basedOn w:val="1"/>
    <w:next w:val="1"/>
    <w:qFormat/>
    <w:uiPriority w:val="39"/>
    <w:pPr>
      <w:ind w:left="630"/>
      <w:jc w:val="left"/>
    </w:pPr>
    <w:rPr>
      <w:szCs w:val="21"/>
    </w:rPr>
  </w:style>
  <w:style w:type="paragraph" w:styleId="46">
    <w:name w:val="index heading"/>
    <w:basedOn w:val="1"/>
    <w:next w:val="47"/>
    <w:qFormat/>
    <w:uiPriority w:val="0"/>
  </w:style>
  <w:style w:type="paragraph" w:styleId="47">
    <w:name w:val="index 1"/>
    <w:basedOn w:val="1"/>
    <w:next w:val="1"/>
    <w:qFormat/>
    <w:uiPriority w:val="0"/>
    <w:pPr>
      <w:spacing w:line="300" w:lineRule="exact"/>
    </w:pPr>
    <w:rPr>
      <w:rFonts w:hAnsi="宋体"/>
      <w:b/>
      <w:bCs/>
      <w:szCs w:val="21"/>
    </w:rPr>
  </w:style>
  <w:style w:type="paragraph" w:styleId="48">
    <w:name w:val="Subtitle"/>
    <w:basedOn w:val="1"/>
    <w:link w:val="75"/>
    <w:qFormat/>
    <w:uiPriority w:val="0"/>
    <w:pPr>
      <w:spacing w:before="240" w:after="60" w:line="312" w:lineRule="auto"/>
      <w:jc w:val="center"/>
      <w:outlineLvl w:val="1"/>
    </w:pPr>
    <w:rPr>
      <w:rFonts w:ascii="Arial" w:hAnsi="Arial" w:cs="Arial"/>
      <w:b/>
      <w:bCs/>
      <w:kern w:val="28"/>
      <w:sz w:val="32"/>
      <w:szCs w:val="32"/>
    </w:rPr>
  </w:style>
  <w:style w:type="paragraph" w:styleId="49">
    <w:name w:val="List"/>
    <w:basedOn w:val="1"/>
    <w:qFormat/>
    <w:uiPriority w:val="0"/>
    <w:pPr>
      <w:ind w:left="200" w:hanging="200" w:hangingChars="200"/>
    </w:pPr>
    <w:rPr>
      <w:szCs w:val="24"/>
    </w:rPr>
  </w:style>
  <w:style w:type="paragraph" w:styleId="50">
    <w:name w:val="footnote text"/>
    <w:basedOn w:val="1"/>
    <w:link w:val="167"/>
    <w:qFormat/>
    <w:uiPriority w:val="0"/>
    <w:pPr>
      <w:adjustRightInd w:val="0"/>
      <w:snapToGrid w:val="0"/>
      <w:spacing w:line="420" w:lineRule="atLeast"/>
      <w:ind w:firstLine="454"/>
      <w:jc w:val="left"/>
      <w:textAlignment w:val="baseline"/>
    </w:pPr>
    <w:rPr>
      <w:rFonts w:ascii="Calibri" w:hAnsi="Calibri"/>
      <w:bCs/>
      <w:sz w:val="18"/>
    </w:rPr>
  </w:style>
  <w:style w:type="paragraph" w:styleId="51">
    <w:name w:val="toc 6"/>
    <w:basedOn w:val="1"/>
    <w:next w:val="1"/>
    <w:qFormat/>
    <w:uiPriority w:val="39"/>
    <w:pPr>
      <w:ind w:left="1050"/>
      <w:jc w:val="left"/>
    </w:pPr>
    <w:rPr>
      <w:szCs w:val="21"/>
    </w:rPr>
  </w:style>
  <w:style w:type="paragraph" w:styleId="52">
    <w:name w:val="Body Text Indent 3"/>
    <w:basedOn w:val="1"/>
    <w:link w:val="156"/>
    <w:qFormat/>
    <w:uiPriority w:val="0"/>
    <w:pPr>
      <w:ind w:firstLine="645"/>
    </w:pPr>
    <w:rPr>
      <w:rFonts w:ascii="仿宋_GB2312" w:hAnsi="Arial" w:eastAsia="仿宋_GB2312"/>
      <w:color w:val="000000"/>
      <w:sz w:val="30"/>
    </w:rPr>
  </w:style>
  <w:style w:type="paragraph" w:styleId="53">
    <w:name w:val="index 7"/>
    <w:basedOn w:val="1"/>
    <w:next w:val="1"/>
    <w:qFormat/>
    <w:uiPriority w:val="0"/>
    <w:pPr>
      <w:ind w:left="1200" w:leftChars="1200"/>
    </w:pPr>
  </w:style>
  <w:style w:type="paragraph" w:styleId="54">
    <w:name w:val="index 9"/>
    <w:basedOn w:val="1"/>
    <w:next w:val="1"/>
    <w:qFormat/>
    <w:uiPriority w:val="0"/>
    <w:pPr>
      <w:ind w:left="1600" w:leftChars="1600"/>
    </w:pPr>
  </w:style>
  <w:style w:type="paragraph" w:styleId="55">
    <w:name w:val="toc 2"/>
    <w:basedOn w:val="1"/>
    <w:next w:val="1"/>
    <w:qFormat/>
    <w:uiPriority w:val="39"/>
    <w:pPr>
      <w:ind w:left="210"/>
      <w:jc w:val="left"/>
    </w:pPr>
    <w:rPr>
      <w:smallCaps/>
      <w:sz w:val="28"/>
      <w:szCs w:val="24"/>
    </w:rPr>
  </w:style>
  <w:style w:type="paragraph" w:styleId="56">
    <w:name w:val="toc 9"/>
    <w:basedOn w:val="1"/>
    <w:next w:val="1"/>
    <w:qFormat/>
    <w:uiPriority w:val="39"/>
    <w:pPr>
      <w:ind w:left="1680"/>
      <w:jc w:val="left"/>
    </w:pPr>
    <w:rPr>
      <w:szCs w:val="21"/>
    </w:rPr>
  </w:style>
  <w:style w:type="paragraph" w:styleId="57">
    <w:name w:val="Body Text 2"/>
    <w:basedOn w:val="1"/>
    <w:link w:val="138"/>
    <w:qFormat/>
    <w:uiPriority w:val="0"/>
    <w:rPr>
      <w:rFonts w:ascii="仿宋_GB2312" w:eastAsia="仿宋_GB2312"/>
      <w:b/>
    </w:rPr>
  </w:style>
  <w:style w:type="paragraph" w:styleId="58">
    <w:name w:val="List 4"/>
    <w:basedOn w:val="1"/>
    <w:qFormat/>
    <w:uiPriority w:val="0"/>
    <w:pPr>
      <w:ind w:left="100" w:leftChars="600" w:hanging="200" w:hangingChars="200"/>
    </w:pPr>
    <w:rPr>
      <w:rFonts w:ascii="Calibri" w:hAnsi="Calibri"/>
      <w:kern w:val="2"/>
      <w:sz w:val="21"/>
      <w:szCs w:val="22"/>
    </w:rPr>
  </w:style>
  <w:style w:type="paragraph" w:styleId="59">
    <w:name w:val="List Continue 2"/>
    <w:basedOn w:val="1"/>
    <w:qFormat/>
    <w:uiPriority w:val="0"/>
    <w:pPr>
      <w:spacing w:after="120"/>
      <w:ind w:left="840" w:leftChars="400"/>
    </w:pPr>
    <w:rPr>
      <w:rFonts w:ascii="Calibri" w:hAnsi="Calibri"/>
      <w:kern w:val="2"/>
      <w:sz w:val="21"/>
      <w:szCs w:val="22"/>
    </w:rPr>
  </w:style>
  <w:style w:type="paragraph" w:styleId="60">
    <w:name w:val="Normal (Web)"/>
    <w:basedOn w:val="1"/>
    <w:qFormat/>
    <w:uiPriority w:val="0"/>
    <w:pPr>
      <w:widowControl/>
      <w:spacing w:before="100" w:beforeAutospacing="1" w:after="100" w:afterAutospacing="1"/>
      <w:jc w:val="left"/>
    </w:pPr>
    <w:rPr>
      <w:rFonts w:hAnsi="宋体"/>
      <w:szCs w:val="24"/>
    </w:rPr>
  </w:style>
  <w:style w:type="paragraph" w:styleId="61">
    <w:name w:val="index 2"/>
    <w:basedOn w:val="1"/>
    <w:next w:val="1"/>
    <w:qFormat/>
    <w:uiPriority w:val="0"/>
    <w:pPr>
      <w:ind w:left="200" w:leftChars="200"/>
    </w:pPr>
  </w:style>
  <w:style w:type="paragraph" w:styleId="62">
    <w:name w:val="Title"/>
    <w:basedOn w:val="1"/>
    <w:next w:val="1"/>
    <w:link w:val="166"/>
    <w:qFormat/>
    <w:uiPriority w:val="0"/>
    <w:pPr>
      <w:spacing w:before="240" w:after="60"/>
      <w:jc w:val="center"/>
      <w:outlineLvl w:val="0"/>
    </w:pPr>
    <w:rPr>
      <w:rFonts w:ascii="Cambria" w:hAnsi="Cambria"/>
      <w:b/>
      <w:bCs/>
      <w:kern w:val="2"/>
      <w:sz w:val="32"/>
      <w:szCs w:val="32"/>
    </w:rPr>
  </w:style>
  <w:style w:type="paragraph" w:styleId="63">
    <w:name w:val="annotation subject"/>
    <w:basedOn w:val="24"/>
    <w:next w:val="24"/>
    <w:link w:val="180"/>
    <w:qFormat/>
    <w:uiPriority w:val="0"/>
    <w:rPr>
      <w:rFonts w:ascii="宋体"/>
      <w:b/>
      <w:bCs/>
      <w:kern w:val="0"/>
      <w:sz w:val="28"/>
    </w:rPr>
  </w:style>
  <w:style w:type="paragraph" w:styleId="64">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b/>
      <w:bCs/>
    </w:rPr>
  </w:style>
  <w:style w:type="character" w:styleId="69">
    <w:name w:val="page number"/>
    <w:basedOn w:val="67"/>
    <w:qFormat/>
    <w:uiPriority w:val="0"/>
  </w:style>
  <w:style w:type="character" w:styleId="70">
    <w:name w:val="FollowedHyperlink"/>
    <w:qFormat/>
    <w:uiPriority w:val="99"/>
    <w:rPr>
      <w:color w:val="800080"/>
      <w:u w:val="single"/>
    </w:rPr>
  </w:style>
  <w:style w:type="character" w:styleId="71">
    <w:name w:val="Emphasis"/>
    <w:qFormat/>
    <w:uiPriority w:val="0"/>
    <w:rPr>
      <w:color w:val="CC0033"/>
    </w:rPr>
  </w:style>
  <w:style w:type="character" w:styleId="72">
    <w:name w:val="Hyperlink"/>
    <w:qFormat/>
    <w:uiPriority w:val="99"/>
    <w:rPr>
      <w:color w:val="0000FF"/>
      <w:u w:val="single"/>
    </w:rPr>
  </w:style>
  <w:style w:type="character" w:styleId="73">
    <w:name w:val="annotation reference"/>
    <w:unhideWhenUsed/>
    <w:qFormat/>
    <w:uiPriority w:val="99"/>
    <w:rPr>
      <w:sz w:val="21"/>
      <w:szCs w:val="21"/>
    </w:rPr>
  </w:style>
  <w:style w:type="character" w:customStyle="1" w:styleId="74">
    <w:name w:val="正文文本缩进 字符"/>
    <w:link w:val="3"/>
    <w:qFormat/>
    <w:uiPriority w:val="0"/>
    <w:rPr>
      <w:rFonts w:ascii="楷体_GB2312" w:eastAsia="楷体_GB2312"/>
      <w:kern w:val="2"/>
      <w:sz w:val="32"/>
    </w:rPr>
  </w:style>
  <w:style w:type="character" w:customStyle="1" w:styleId="75">
    <w:name w:val="副标题 字符"/>
    <w:link w:val="48"/>
    <w:qFormat/>
    <w:uiPriority w:val="0"/>
    <w:rPr>
      <w:rFonts w:ascii="Arial" w:hAnsi="Arial" w:eastAsia="宋体" w:cs="Arial"/>
      <w:b/>
      <w:bCs/>
      <w:kern w:val="28"/>
      <w:sz w:val="32"/>
      <w:szCs w:val="32"/>
      <w:lang w:val="en-US" w:eastAsia="zh-CN" w:bidi="ar-SA"/>
    </w:rPr>
  </w:style>
  <w:style w:type="character" w:customStyle="1" w:styleId="76">
    <w:name w:val="标题 6 Char1"/>
    <w:semiHidden/>
    <w:qFormat/>
    <w:uiPriority w:val="0"/>
    <w:rPr>
      <w:rFonts w:ascii="Cambria" w:hAnsi="Cambria" w:eastAsia="宋体"/>
      <w:b/>
      <w:kern w:val="2"/>
      <w:sz w:val="24"/>
      <w:szCs w:val="24"/>
    </w:rPr>
  </w:style>
  <w:style w:type="character" w:customStyle="1" w:styleId="77">
    <w:name w:val="脚注文本 Char_0"/>
    <w:link w:val="78"/>
    <w:qFormat/>
    <w:uiPriority w:val="0"/>
    <w:rPr>
      <w:sz w:val="18"/>
    </w:rPr>
  </w:style>
  <w:style w:type="paragraph" w:customStyle="1" w:styleId="78">
    <w:name w:val="脚注文本_0"/>
    <w:basedOn w:val="79"/>
    <w:link w:val="77"/>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9">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
    <w:name w:val="标题 Char1"/>
    <w:qFormat/>
    <w:uiPriority w:val="10"/>
    <w:rPr>
      <w:rFonts w:ascii="Calibri Light" w:hAnsi="Calibri Light" w:cs="Times New Roman"/>
      <w:b/>
      <w:bCs/>
      <w:kern w:val="2"/>
      <w:sz w:val="32"/>
      <w:szCs w:val="32"/>
    </w:rPr>
  </w:style>
  <w:style w:type="character" w:customStyle="1" w:styleId="81">
    <w:name w:val="Blockquote Char"/>
    <w:link w:val="82"/>
    <w:qFormat/>
    <w:uiPriority w:val="0"/>
    <w:rPr>
      <w:rFonts w:ascii="宋体"/>
      <w:sz w:val="24"/>
    </w:rPr>
  </w:style>
  <w:style w:type="paragraph" w:customStyle="1" w:styleId="82">
    <w:name w:val="Blockquote"/>
    <w:basedOn w:val="1"/>
    <w:link w:val="81"/>
    <w:qFormat/>
    <w:uiPriority w:val="0"/>
    <w:pPr>
      <w:autoSpaceDE w:val="0"/>
      <w:autoSpaceDN w:val="0"/>
      <w:adjustRightInd w:val="0"/>
      <w:spacing w:before="100" w:after="100"/>
      <w:ind w:left="360" w:right="360"/>
      <w:jc w:val="left"/>
    </w:pPr>
  </w:style>
  <w:style w:type="character" w:customStyle="1" w:styleId="83">
    <w:name w:val="脚注文本 Char1"/>
    <w:qFormat/>
    <w:uiPriority w:val="0"/>
    <w:rPr>
      <w:kern w:val="2"/>
      <w:sz w:val="18"/>
      <w:szCs w:val="18"/>
    </w:rPr>
  </w:style>
  <w:style w:type="character" w:customStyle="1" w:styleId="84">
    <w:name w:val="标题 3 Char2"/>
    <w:qFormat/>
    <w:uiPriority w:val="0"/>
    <w:rPr>
      <w:rFonts w:ascii="Calibri" w:hAnsi="Calibri" w:eastAsia="黑体"/>
      <w:b/>
      <w:bCs/>
      <w:kern w:val="2"/>
      <w:sz w:val="32"/>
      <w:szCs w:val="32"/>
    </w:rPr>
  </w:style>
  <w:style w:type="character" w:customStyle="1" w:styleId="85">
    <w:name w:val="批注框文本 字符"/>
    <w:link w:val="40"/>
    <w:qFormat/>
    <w:uiPriority w:val="99"/>
    <w:rPr>
      <w:rFonts w:ascii="宋体"/>
      <w:sz w:val="18"/>
      <w:szCs w:val="18"/>
    </w:rPr>
  </w:style>
  <w:style w:type="character" w:customStyle="1" w:styleId="86">
    <w:name w:val="标题5 Char Char"/>
    <w:link w:val="87"/>
    <w:qFormat/>
    <w:uiPriority w:val="0"/>
    <w:rPr>
      <w:rFonts w:ascii="Arial" w:hAnsi="Arial"/>
      <w:b/>
      <w:bCs/>
      <w:sz w:val="24"/>
      <w:szCs w:val="32"/>
      <w:lang w:bidi="ar-SA"/>
    </w:rPr>
  </w:style>
  <w:style w:type="paragraph" w:customStyle="1" w:styleId="87">
    <w:name w:val="标题5"/>
    <w:basedOn w:val="7"/>
    <w:link w:val="86"/>
    <w:qFormat/>
    <w:uiPriority w:val="0"/>
    <w:pPr>
      <w:spacing w:line="413" w:lineRule="auto"/>
      <w:jc w:val="both"/>
    </w:pPr>
    <w:rPr>
      <w:rFonts w:ascii="Arial" w:hAnsi="Arial"/>
      <w:kern w:val="0"/>
      <w:sz w:val="24"/>
    </w:rPr>
  </w:style>
  <w:style w:type="character" w:customStyle="1" w:styleId="88">
    <w:name w:val="页脚 字符"/>
    <w:qFormat/>
    <w:uiPriority w:val="99"/>
    <w:rPr>
      <w:kern w:val="2"/>
      <w:sz w:val="18"/>
    </w:rPr>
  </w:style>
  <w:style w:type="character" w:customStyle="1" w:styleId="89">
    <w:name w:val="纯文本 Char1_1"/>
    <w:link w:val="90"/>
    <w:qFormat/>
    <w:uiPriority w:val="0"/>
    <w:rPr>
      <w:rFonts w:ascii="宋体" w:hAnsi="Courier New"/>
      <w:kern w:val="2"/>
      <w:sz w:val="21"/>
      <w:szCs w:val="21"/>
    </w:rPr>
  </w:style>
  <w:style w:type="paragraph" w:customStyle="1" w:styleId="90">
    <w:name w:val="纯文本_2"/>
    <w:basedOn w:val="91"/>
    <w:link w:val="89"/>
    <w:qFormat/>
    <w:uiPriority w:val="0"/>
    <w:rPr>
      <w:rFonts w:ascii="宋体" w:hAnsi="Courier New"/>
      <w:szCs w:val="21"/>
    </w:rPr>
  </w:style>
  <w:style w:type="paragraph" w:customStyle="1" w:styleId="91">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日期 字符1"/>
    <w:link w:val="29"/>
    <w:qFormat/>
    <w:uiPriority w:val="0"/>
    <w:rPr>
      <w:rFonts w:eastAsia="宋体"/>
      <w:b/>
      <w:kern w:val="2"/>
      <w:sz w:val="28"/>
      <w:lang w:val="en-US" w:eastAsia="zh-CN" w:bidi="ar-SA"/>
    </w:rPr>
  </w:style>
  <w:style w:type="character" w:customStyle="1" w:styleId="93">
    <w:name w:val="标题 6 Char_0"/>
    <w:link w:val="94"/>
    <w:qFormat/>
    <w:uiPriority w:val="0"/>
    <w:rPr>
      <w:rFonts w:ascii="Arial" w:hAnsi="Arial" w:eastAsia="黑体"/>
      <w:b/>
      <w:bCs/>
      <w:sz w:val="24"/>
      <w:szCs w:val="24"/>
    </w:rPr>
  </w:style>
  <w:style w:type="paragraph" w:customStyle="1" w:styleId="94">
    <w:name w:val="标题 6_0"/>
    <w:basedOn w:val="91"/>
    <w:next w:val="91"/>
    <w:link w:val="93"/>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5">
    <w:name w:val="Blockquote Char_0_1"/>
    <w:link w:val="96"/>
    <w:qFormat/>
    <w:locked/>
    <w:uiPriority w:val="0"/>
    <w:rPr>
      <w:sz w:val="24"/>
    </w:rPr>
  </w:style>
  <w:style w:type="paragraph" w:customStyle="1" w:styleId="96">
    <w:name w:val="Blockquote_0_1"/>
    <w:basedOn w:val="97"/>
    <w:link w:val="95"/>
    <w:qFormat/>
    <w:uiPriority w:val="0"/>
    <w:pPr>
      <w:autoSpaceDE w:val="0"/>
      <w:autoSpaceDN w:val="0"/>
      <w:adjustRightInd w:val="0"/>
      <w:spacing w:before="100" w:after="100"/>
      <w:ind w:left="360" w:right="360"/>
      <w:jc w:val="left"/>
    </w:pPr>
    <w:rPr>
      <w:kern w:val="0"/>
      <w:sz w:val="24"/>
      <w:szCs w:val="20"/>
    </w:rPr>
  </w:style>
  <w:style w:type="paragraph" w:customStyle="1" w:styleId="97">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标题 7 Char_0"/>
    <w:link w:val="99"/>
    <w:qFormat/>
    <w:uiPriority w:val="0"/>
    <w:rPr>
      <w:b/>
      <w:bCs/>
      <w:sz w:val="24"/>
      <w:szCs w:val="24"/>
    </w:rPr>
  </w:style>
  <w:style w:type="paragraph" w:customStyle="1" w:styleId="99">
    <w:name w:val="标题 7_0"/>
    <w:basedOn w:val="91"/>
    <w:next w:val="91"/>
    <w:link w:val="98"/>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0">
    <w:name w:val="tdrownotice1"/>
    <w:qFormat/>
    <w:uiPriority w:val="0"/>
    <w:rPr>
      <w:sz w:val="22"/>
    </w:rPr>
  </w:style>
  <w:style w:type="character" w:customStyle="1" w:styleId="101">
    <w:name w:val="font01"/>
    <w:qFormat/>
    <w:uiPriority w:val="0"/>
    <w:rPr>
      <w:rFonts w:ascii="font-weight : 400" w:hAnsi="font-weight : 400" w:eastAsia="font-weight : 400" w:cs="font-weight : 400"/>
      <w:color w:val="000000"/>
      <w:sz w:val="22"/>
      <w:szCs w:val="22"/>
      <w:u w:val="none"/>
    </w:rPr>
  </w:style>
  <w:style w:type="character" w:customStyle="1" w:styleId="102">
    <w:name w:val="页眉 字符1"/>
    <w:link w:val="42"/>
    <w:qFormat/>
    <w:uiPriority w:val="99"/>
    <w:rPr>
      <w:rFonts w:eastAsia="宋体"/>
      <w:kern w:val="2"/>
      <w:sz w:val="18"/>
      <w:lang w:val="en-US" w:eastAsia="zh-CN" w:bidi="ar-SA"/>
    </w:rPr>
  </w:style>
  <w:style w:type="character" w:customStyle="1" w:styleId="103">
    <w:name w:val="引用 字符"/>
    <w:link w:val="104"/>
    <w:qFormat/>
    <w:uiPriority w:val="0"/>
    <w:rPr>
      <w:i/>
      <w:iCs/>
      <w:color w:val="000000"/>
      <w:kern w:val="2"/>
      <w:sz w:val="21"/>
      <w:szCs w:val="22"/>
      <w:lang w:bidi="ar-SA"/>
    </w:rPr>
  </w:style>
  <w:style w:type="paragraph" w:styleId="104">
    <w:name w:val="Quote"/>
    <w:basedOn w:val="1"/>
    <w:next w:val="1"/>
    <w:link w:val="103"/>
    <w:qFormat/>
    <w:uiPriority w:val="0"/>
    <w:rPr>
      <w:rFonts w:ascii="Times New Roman"/>
      <w:i/>
      <w:iCs/>
      <w:color w:val="000000"/>
      <w:kern w:val="2"/>
      <w:sz w:val="21"/>
      <w:szCs w:val="22"/>
    </w:rPr>
  </w:style>
  <w:style w:type="character" w:customStyle="1" w:styleId="105">
    <w:name w:val="Texte Char1"/>
    <w:link w:val="106"/>
    <w:qFormat/>
    <w:uiPriority w:val="99"/>
    <w:rPr>
      <w:rFonts w:ascii="宋体" w:hAnsi="Courier New"/>
      <w:kern w:val="2"/>
      <w:sz w:val="21"/>
      <w:szCs w:val="21"/>
      <w:lang w:val="en-US" w:eastAsia="zh-CN"/>
    </w:rPr>
  </w:style>
  <w:style w:type="paragraph" w:customStyle="1" w:styleId="106">
    <w:name w:val="纯文本_0"/>
    <w:basedOn w:val="107"/>
    <w:link w:val="105"/>
    <w:qFormat/>
    <w:uiPriority w:val="99"/>
    <w:rPr>
      <w:rFonts w:ascii="宋体" w:hAnsi="Courier New" w:cs="Times New Roman"/>
      <w:szCs w:val="21"/>
    </w:rPr>
  </w:style>
  <w:style w:type="paragraph" w:customStyle="1" w:styleId="107">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8">
    <w:name w:val="标题 3 Char_0"/>
    <w:link w:val="109"/>
    <w:qFormat/>
    <w:uiPriority w:val="0"/>
    <w:rPr>
      <w:b/>
      <w:sz w:val="32"/>
    </w:rPr>
  </w:style>
  <w:style w:type="paragraph" w:customStyle="1" w:styleId="109">
    <w:name w:val="标题 3_0"/>
    <w:basedOn w:val="91"/>
    <w:next w:val="110"/>
    <w:link w:val="108"/>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0">
    <w:name w:val="正文缩进_0"/>
    <w:basedOn w:val="91"/>
    <w:unhideWhenUsed/>
    <w:qFormat/>
    <w:uiPriority w:val="0"/>
    <w:pPr>
      <w:ind w:firstLine="420" w:firstLineChars="200"/>
    </w:pPr>
    <w:rPr>
      <w:rFonts w:ascii="Calibri" w:hAnsi="Calibri"/>
      <w:bCs/>
      <w:szCs w:val="32"/>
    </w:rPr>
  </w:style>
  <w:style w:type="character" w:customStyle="1" w:styleId="111">
    <w:name w:val="标题 2 字符"/>
    <w:link w:val="6"/>
    <w:qFormat/>
    <w:uiPriority w:val="9"/>
    <w:rPr>
      <w:rFonts w:ascii="Arial" w:hAnsi="Arial" w:eastAsia="黑体"/>
      <w:b/>
      <w:bCs/>
      <w:kern w:val="2"/>
      <w:sz w:val="32"/>
      <w:szCs w:val="32"/>
      <w:lang w:val="en-US" w:eastAsia="zh-CN" w:bidi="ar-SA"/>
    </w:rPr>
  </w:style>
  <w:style w:type="character" w:customStyle="1" w:styleId="112">
    <w:name w:val="标题 1 Char1"/>
    <w:qFormat/>
    <w:uiPriority w:val="0"/>
    <w:rPr>
      <w:rFonts w:ascii="Calibri" w:hAnsi="Calibri" w:eastAsia="宋体"/>
      <w:b/>
      <w:kern w:val="44"/>
      <w:sz w:val="44"/>
      <w:szCs w:val="44"/>
    </w:rPr>
  </w:style>
  <w:style w:type="character" w:customStyle="1" w:styleId="113">
    <w:name w:val="标题 7 Char1"/>
    <w:semiHidden/>
    <w:qFormat/>
    <w:uiPriority w:val="0"/>
    <w:rPr>
      <w:rFonts w:ascii="Calibri" w:hAnsi="Calibri" w:eastAsia="宋体"/>
      <w:b/>
      <w:kern w:val="2"/>
      <w:sz w:val="24"/>
      <w:szCs w:val="24"/>
    </w:rPr>
  </w:style>
  <w:style w:type="character" w:customStyle="1" w:styleId="114">
    <w:name w:val="Blockquote Char_0"/>
    <w:link w:val="115"/>
    <w:qFormat/>
    <w:locked/>
    <w:uiPriority w:val="0"/>
    <w:rPr>
      <w:sz w:val="24"/>
    </w:rPr>
  </w:style>
  <w:style w:type="paragraph" w:customStyle="1" w:styleId="115">
    <w:name w:val="Blockquote_0"/>
    <w:basedOn w:val="91"/>
    <w:link w:val="114"/>
    <w:qFormat/>
    <w:uiPriority w:val="0"/>
    <w:pPr>
      <w:autoSpaceDE w:val="0"/>
      <w:autoSpaceDN w:val="0"/>
      <w:adjustRightInd w:val="0"/>
      <w:spacing w:before="100" w:after="100"/>
      <w:ind w:left="360" w:right="360"/>
      <w:jc w:val="left"/>
    </w:pPr>
    <w:rPr>
      <w:kern w:val="0"/>
      <w:sz w:val="24"/>
      <w:szCs w:val="20"/>
    </w:rPr>
  </w:style>
  <w:style w:type="character" w:customStyle="1" w:styleId="116">
    <w:name w:val="封面日期 Char Char"/>
    <w:qFormat/>
    <w:uiPriority w:val="0"/>
    <w:rPr>
      <w:rFonts w:ascii="Times New Roman" w:hAnsi="Times New Roman" w:eastAsia="宋体" w:cs="Times New Roman"/>
      <w:b/>
      <w:sz w:val="28"/>
      <w:szCs w:val="20"/>
    </w:rPr>
  </w:style>
  <w:style w:type="character" w:customStyle="1" w:styleId="117">
    <w:name w:val="称呼 Char1"/>
    <w:qFormat/>
    <w:uiPriority w:val="0"/>
    <w:rPr>
      <w:kern w:val="2"/>
      <w:sz w:val="21"/>
      <w:szCs w:val="24"/>
    </w:rPr>
  </w:style>
  <w:style w:type="character" w:customStyle="1" w:styleId="118">
    <w:name w:val="纯文本 Char1_0"/>
    <w:link w:val="119"/>
    <w:qFormat/>
    <w:uiPriority w:val="0"/>
    <w:rPr>
      <w:rFonts w:ascii="宋体" w:hAnsi="Courier New"/>
      <w:kern w:val="2"/>
      <w:sz w:val="21"/>
      <w:szCs w:val="21"/>
    </w:rPr>
  </w:style>
  <w:style w:type="paragraph" w:customStyle="1" w:styleId="119">
    <w:name w:val="纯文本_1"/>
    <w:basedOn w:val="120"/>
    <w:link w:val="118"/>
    <w:qFormat/>
    <w:uiPriority w:val="0"/>
    <w:rPr>
      <w:rFonts w:ascii="宋体" w:hAnsi="Courier New"/>
      <w:szCs w:val="21"/>
    </w:rPr>
  </w:style>
  <w:style w:type="paragraph" w:customStyle="1" w:styleId="12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1">
    <w:name w:val="文档结构图 字符"/>
    <w:link w:val="22"/>
    <w:qFormat/>
    <w:uiPriority w:val="0"/>
    <w:rPr>
      <w:rFonts w:eastAsia="宋体"/>
      <w:kern w:val="2"/>
      <w:sz w:val="21"/>
      <w:lang w:val="en-US" w:eastAsia="zh-CN" w:bidi="ar-SA"/>
    </w:rPr>
  </w:style>
  <w:style w:type="character" w:customStyle="1" w:styleId="122">
    <w:name w:val="纯文本 Char1"/>
    <w:qFormat/>
    <w:uiPriority w:val="99"/>
    <w:rPr>
      <w:rFonts w:ascii="宋体" w:hAnsi="Courier New" w:eastAsia="宋体" w:cs="Courier New"/>
      <w:kern w:val="2"/>
      <w:sz w:val="21"/>
      <w:szCs w:val="21"/>
      <w:lang w:val="en-US" w:eastAsia="zh-CN" w:bidi="ar-SA"/>
    </w:rPr>
  </w:style>
  <w:style w:type="character" w:customStyle="1" w:styleId="123">
    <w:name w:val="称呼 字符"/>
    <w:link w:val="26"/>
    <w:qFormat/>
    <w:uiPriority w:val="0"/>
    <w:rPr>
      <w:rFonts w:ascii="仿宋_GB2312" w:eastAsia="仿宋_GB2312"/>
      <w:sz w:val="28"/>
    </w:rPr>
  </w:style>
  <w:style w:type="character" w:customStyle="1" w:styleId="124">
    <w:name w:val="t_tag"/>
    <w:qFormat/>
    <w:uiPriority w:val="0"/>
  </w:style>
  <w:style w:type="character" w:customStyle="1" w:styleId="125">
    <w:name w:val="标题 6 字符"/>
    <w:link w:val="10"/>
    <w:qFormat/>
    <w:uiPriority w:val="0"/>
    <w:rPr>
      <w:rFonts w:ascii="宋体" w:hAnsi="宋体" w:eastAsia="宋体"/>
      <w:sz w:val="28"/>
      <w:lang w:val="en-US" w:eastAsia="zh-CN" w:bidi="ar-SA"/>
    </w:rPr>
  </w:style>
  <w:style w:type="character" w:customStyle="1" w:styleId="126">
    <w:name w:val="Char Char3"/>
    <w:qFormat/>
    <w:uiPriority w:val="0"/>
    <w:rPr>
      <w:rFonts w:eastAsia="宋体"/>
      <w:kern w:val="2"/>
      <w:sz w:val="21"/>
      <w:lang w:val="en-US" w:eastAsia="zh-CN" w:bidi="ar-SA"/>
    </w:rPr>
  </w:style>
  <w:style w:type="character" w:customStyle="1" w:styleId="127">
    <w:name w:val="标题 8 字符"/>
    <w:link w:val="12"/>
    <w:qFormat/>
    <w:uiPriority w:val="0"/>
    <w:rPr>
      <w:rFonts w:ascii="Arial" w:hAnsi="Arial" w:eastAsia="黑体"/>
      <w:sz w:val="24"/>
      <w:szCs w:val="24"/>
      <w:lang w:val="en-US" w:eastAsia="zh-CN" w:bidi="ar-SA"/>
    </w:rPr>
  </w:style>
  <w:style w:type="character" w:customStyle="1" w:styleId="128">
    <w:name w:val="正文文本 3 字符"/>
    <w:link w:val="27"/>
    <w:qFormat/>
    <w:uiPriority w:val="0"/>
    <w:rPr>
      <w:rFonts w:ascii="黑体" w:hAnsi="Arial" w:eastAsia="黑体"/>
      <w:b/>
      <w:sz w:val="28"/>
    </w:rPr>
  </w:style>
  <w:style w:type="character" w:customStyle="1" w:styleId="129">
    <w:name w:val="批注文字 字符"/>
    <w:link w:val="24"/>
    <w:qFormat/>
    <w:uiPriority w:val="99"/>
    <w:rPr>
      <w:rFonts w:eastAsia="宋体"/>
      <w:kern w:val="2"/>
      <w:sz w:val="21"/>
      <w:lang w:val="en-US" w:eastAsia="zh-CN" w:bidi="ar-SA"/>
    </w:rPr>
  </w:style>
  <w:style w:type="character" w:customStyle="1" w:styleId="130">
    <w:name w:val="引用 Char2"/>
    <w:qFormat/>
    <w:uiPriority w:val="29"/>
    <w:rPr>
      <w:i/>
      <w:iCs/>
      <w:color w:val="000000"/>
      <w:kern w:val="2"/>
      <w:sz w:val="21"/>
      <w:szCs w:val="24"/>
    </w:rPr>
  </w:style>
  <w:style w:type="character" w:customStyle="1" w:styleId="131">
    <w:name w:val="标题 4 Char_0"/>
    <w:link w:val="132"/>
    <w:qFormat/>
    <w:uiPriority w:val="0"/>
    <w:rPr>
      <w:rFonts w:ascii="Arial" w:hAnsi="Arial" w:eastAsia="黑体"/>
      <w:sz w:val="28"/>
    </w:rPr>
  </w:style>
  <w:style w:type="paragraph" w:customStyle="1" w:styleId="132">
    <w:name w:val="标题 4_0"/>
    <w:basedOn w:val="91"/>
    <w:next w:val="91"/>
    <w:link w:val="13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3">
    <w:name w:val="标题 9 Char_0"/>
    <w:link w:val="134"/>
    <w:qFormat/>
    <w:uiPriority w:val="0"/>
    <w:rPr>
      <w:rFonts w:ascii="Arial" w:hAnsi="Arial" w:eastAsia="黑体"/>
      <w:sz w:val="21"/>
      <w:szCs w:val="21"/>
    </w:rPr>
  </w:style>
  <w:style w:type="paragraph" w:customStyle="1" w:styleId="134">
    <w:name w:val="标题 9_0"/>
    <w:basedOn w:val="91"/>
    <w:next w:val="91"/>
    <w:link w:val="133"/>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5">
    <w:name w:val="标题 2 Char_0"/>
    <w:link w:val="136"/>
    <w:qFormat/>
    <w:uiPriority w:val="0"/>
    <w:rPr>
      <w:rFonts w:ascii="黑体" w:hAnsi="宋体" w:eastAsia="黑体"/>
      <w:b/>
      <w:smallCaps/>
      <w:sz w:val="36"/>
      <w:szCs w:val="24"/>
    </w:rPr>
  </w:style>
  <w:style w:type="paragraph" w:customStyle="1" w:styleId="136">
    <w:name w:val="标题 2_0"/>
    <w:basedOn w:val="137"/>
    <w:next w:val="107"/>
    <w:link w:val="135"/>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8">
    <w:name w:val="正文文本 2 字符"/>
    <w:link w:val="57"/>
    <w:qFormat/>
    <w:uiPriority w:val="0"/>
    <w:rPr>
      <w:rFonts w:ascii="仿宋_GB2312" w:eastAsia="仿宋_GB2312"/>
      <w:b/>
      <w:sz w:val="24"/>
    </w:rPr>
  </w:style>
  <w:style w:type="character" w:customStyle="1" w:styleId="139">
    <w:name w:val="批注文字 Char1"/>
    <w:semiHidden/>
    <w:qFormat/>
    <w:uiPriority w:val="99"/>
  </w:style>
  <w:style w:type="character" w:customStyle="1" w:styleId="140">
    <w:name w:val="明显引用 Char1"/>
    <w:qFormat/>
    <w:uiPriority w:val="30"/>
    <w:rPr>
      <w:b/>
      <w:bCs/>
      <w:i/>
      <w:iCs/>
      <w:color w:val="4F81BD"/>
      <w:kern w:val="2"/>
      <w:sz w:val="21"/>
      <w:szCs w:val="24"/>
    </w:rPr>
  </w:style>
  <w:style w:type="character" w:customStyle="1" w:styleId="141">
    <w:name w:val="标题 8 Char1"/>
    <w:semiHidden/>
    <w:qFormat/>
    <w:uiPriority w:val="0"/>
    <w:rPr>
      <w:rFonts w:ascii="Cambria" w:hAnsi="Cambria" w:eastAsia="宋体"/>
      <w:kern w:val="2"/>
      <w:sz w:val="24"/>
      <w:szCs w:val="24"/>
    </w:rPr>
  </w:style>
  <w:style w:type="character" w:customStyle="1" w:styleId="142">
    <w:name w:val="font31"/>
    <w:qFormat/>
    <w:uiPriority w:val="0"/>
    <w:rPr>
      <w:rFonts w:hint="eastAsia" w:ascii="宋体" w:hAnsi="宋体" w:eastAsia="宋体" w:cs="宋体"/>
      <w:color w:val="FF0000"/>
      <w:sz w:val="24"/>
      <w:szCs w:val="24"/>
      <w:u w:val="none"/>
    </w:rPr>
  </w:style>
  <w:style w:type="character" w:customStyle="1" w:styleId="143">
    <w:name w:val="标题 3 字符"/>
    <w:link w:val="7"/>
    <w:qFormat/>
    <w:uiPriority w:val="0"/>
    <w:rPr>
      <w:rFonts w:ascii="宋体" w:eastAsia="宋体"/>
      <w:b/>
      <w:bCs/>
      <w:kern w:val="2"/>
      <w:sz w:val="32"/>
      <w:szCs w:val="32"/>
      <w:lang w:val="en-US" w:eastAsia="zh-CN" w:bidi="ar-SA"/>
    </w:rPr>
  </w:style>
  <w:style w:type="character" w:customStyle="1" w:styleId="144">
    <w:name w:val="标题 9 字符"/>
    <w:link w:val="13"/>
    <w:qFormat/>
    <w:uiPriority w:val="0"/>
    <w:rPr>
      <w:rFonts w:ascii="Arial" w:hAnsi="Arial" w:eastAsia="黑体"/>
      <w:sz w:val="21"/>
      <w:szCs w:val="21"/>
      <w:lang w:val="en-US" w:eastAsia="zh-CN" w:bidi="ar-SA"/>
    </w:rPr>
  </w:style>
  <w:style w:type="character" w:customStyle="1" w:styleId="145">
    <w:name w:val="批注框文本 Char1"/>
    <w:semiHidden/>
    <w:qFormat/>
    <w:uiPriority w:val="99"/>
    <w:rPr>
      <w:sz w:val="18"/>
      <w:szCs w:val="18"/>
    </w:rPr>
  </w:style>
  <w:style w:type="character" w:customStyle="1" w:styleId="146">
    <w:name w:val="批注主题 Char1"/>
    <w:qFormat/>
    <w:uiPriority w:val="99"/>
    <w:rPr>
      <w:rFonts w:eastAsia="宋体"/>
      <w:b/>
      <w:bCs/>
      <w:kern w:val="2"/>
      <w:sz w:val="21"/>
      <w:szCs w:val="24"/>
      <w:lang w:val="en-US" w:eastAsia="zh-CN" w:bidi="ar-SA"/>
    </w:rPr>
  </w:style>
  <w:style w:type="character" w:customStyle="1" w:styleId="147">
    <w:name w:val="标题 8 Char_0"/>
    <w:link w:val="148"/>
    <w:qFormat/>
    <w:uiPriority w:val="0"/>
    <w:rPr>
      <w:rFonts w:ascii="Arial" w:hAnsi="Arial" w:eastAsia="黑体"/>
      <w:sz w:val="24"/>
      <w:szCs w:val="24"/>
    </w:rPr>
  </w:style>
  <w:style w:type="paragraph" w:customStyle="1" w:styleId="148">
    <w:name w:val="标题 8_0"/>
    <w:basedOn w:val="91"/>
    <w:next w:val="91"/>
    <w:link w:val="147"/>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9">
    <w:name w:val="标题 9 Char1"/>
    <w:semiHidden/>
    <w:qFormat/>
    <w:uiPriority w:val="0"/>
    <w:rPr>
      <w:rFonts w:ascii="Cambria" w:hAnsi="Cambria" w:eastAsia="宋体"/>
      <w:kern w:val="2"/>
      <w:sz w:val="21"/>
      <w:szCs w:val="21"/>
    </w:rPr>
  </w:style>
  <w:style w:type="character" w:customStyle="1" w:styleId="150">
    <w:name w:val="标题 1 Char_0"/>
    <w:link w:val="151"/>
    <w:qFormat/>
    <w:uiPriority w:val="0"/>
    <w:rPr>
      <w:rFonts w:ascii="黑体" w:eastAsia="黑体"/>
      <w:sz w:val="52"/>
    </w:rPr>
  </w:style>
  <w:style w:type="paragraph" w:customStyle="1" w:styleId="151">
    <w:name w:val="标题 1_0"/>
    <w:basedOn w:val="91"/>
    <w:next w:val="91"/>
    <w:link w:val="150"/>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2">
    <w:name w:val="标题 4 字符"/>
    <w:link w:val="8"/>
    <w:qFormat/>
    <w:uiPriority w:val="0"/>
    <w:rPr>
      <w:rFonts w:ascii="Arial" w:hAnsi="Arial" w:eastAsia="黑体"/>
      <w:b/>
      <w:bCs/>
      <w:kern w:val="2"/>
      <w:sz w:val="28"/>
      <w:szCs w:val="28"/>
      <w:lang w:val="en-US" w:eastAsia="zh-CN" w:bidi="ar-SA"/>
    </w:rPr>
  </w:style>
  <w:style w:type="character" w:customStyle="1" w:styleId="153">
    <w:name w:val="引用 Char1"/>
    <w:qFormat/>
    <w:uiPriority w:val="29"/>
    <w:rPr>
      <w:i/>
      <w:iCs/>
      <w:color w:val="000000"/>
      <w:kern w:val="2"/>
      <w:sz w:val="21"/>
      <w:szCs w:val="24"/>
    </w:rPr>
  </w:style>
  <w:style w:type="character" w:customStyle="1" w:styleId="154">
    <w:name w:val="apple-converted-space"/>
    <w:qFormat/>
    <w:uiPriority w:val="0"/>
  </w:style>
  <w:style w:type="character" w:customStyle="1" w:styleId="155">
    <w:name w:val="ask-title2"/>
    <w:qFormat/>
    <w:uiPriority w:val="0"/>
  </w:style>
  <w:style w:type="character" w:customStyle="1" w:styleId="156">
    <w:name w:val="正文文本缩进 3 字符"/>
    <w:link w:val="52"/>
    <w:qFormat/>
    <w:uiPriority w:val="0"/>
    <w:rPr>
      <w:rFonts w:ascii="仿宋_GB2312" w:hAnsi="Arial" w:eastAsia="仿宋_GB2312"/>
      <w:color w:val="000000"/>
      <w:sz w:val="30"/>
    </w:rPr>
  </w:style>
  <w:style w:type="character" w:customStyle="1" w:styleId="157">
    <w:name w:val="标题4 Char Char"/>
    <w:link w:val="158"/>
    <w:qFormat/>
    <w:uiPriority w:val="0"/>
    <w:rPr>
      <w:rFonts w:ascii="Arial" w:hAnsi="Arial"/>
      <w:b/>
      <w:bCs/>
      <w:sz w:val="24"/>
      <w:szCs w:val="32"/>
      <w:lang w:bidi="ar-SA"/>
    </w:rPr>
  </w:style>
  <w:style w:type="paragraph" w:customStyle="1" w:styleId="158">
    <w:name w:val="标题4"/>
    <w:basedOn w:val="6"/>
    <w:next w:val="33"/>
    <w:link w:val="157"/>
    <w:qFormat/>
    <w:uiPriority w:val="0"/>
    <w:pPr>
      <w:spacing w:line="413" w:lineRule="auto"/>
      <w:ind w:firstLine="0"/>
      <w:jc w:val="both"/>
    </w:pPr>
    <w:rPr>
      <w:rFonts w:eastAsia="宋体"/>
      <w:kern w:val="0"/>
      <w:sz w:val="24"/>
    </w:rPr>
  </w:style>
  <w:style w:type="character" w:customStyle="1" w:styleId="159">
    <w:name w:val="标题 4 Char1"/>
    <w:semiHidden/>
    <w:qFormat/>
    <w:uiPriority w:val="0"/>
    <w:rPr>
      <w:rFonts w:ascii="Cambria" w:hAnsi="Cambria" w:eastAsia="宋体"/>
      <w:b/>
      <w:kern w:val="2"/>
      <w:sz w:val="28"/>
      <w:szCs w:val="28"/>
    </w:rPr>
  </w:style>
  <w:style w:type="character" w:customStyle="1" w:styleId="160">
    <w:name w:val="纯文本 字符"/>
    <w:link w:val="36"/>
    <w:qFormat/>
    <w:uiPriority w:val="0"/>
    <w:rPr>
      <w:rFonts w:ascii="宋体" w:hAnsi="Courier New" w:eastAsia="宋体"/>
      <w:kern w:val="2"/>
      <w:sz w:val="21"/>
      <w:lang w:val="en-US" w:eastAsia="zh-CN" w:bidi="ar-SA"/>
    </w:rPr>
  </w:style>
  <w:style w:type="character" w:customStyle="1" w:styleId="161">
    <w:name w:val="明显引用 字符"/>
    <w:link w:val="162"/>
    <w:qFormat/>
    <w:uiPriority w:val="0"/>
    <w:rPr>
      <w:b/>
      <w:bCs/>
      <w:i/>
      <w:iCs/>
      <w:color w:val="4F81BD"/>
      <w:kern w:val="2"/>
      <w:sz w:val="21"/>
      <w:szCs w:val="22"/>
      <w:lang w:bidi="ar-SA"/>
    </w:rPr>
  </w:style>
  <w:style w:type="paragraph" w:styleId="162">
    <w:name w:val="Intense Quote"/>
    <w:basedOn w:val="1"/>
    <w:next w:val="1"/>
    <w:link w:val="161"/>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3">
    <w:name w:val="批注主题 Char2"/>
    <w:qFormat/>
    <w:uiPriority w:val="0"/>
    <w:rPr>
      <w:rFonts w:eastAsia="宋体"/>
      <w:b/>
      <w:bCs/>
      <w:kern w:val="2"/>
      <w:sz w:val="21"/>
      <w:szCs w:val="24"/>
      <w:lang w:val="en-US" w:eastAsia="zh-CN" w:bidi="ar-SA"/>
    </w:rPr>
  </w:style>
  <w:style w:type="character" w:customStyle="1" w:styleId="164">
    <w:name w:val="标题 5 Char1"/>
    <w:semiHidden/>
    <w:qFormat/>
    <w:uiPriority w:val="0"/>
    <w:rPr>
      <w:rFonts w:ascii="Calibri" w:hAnsi="Calibri" w:eastAsia="宋体"/>
      <w:b/>
      <w:kern w:val="2"/>
      <w:sz w:val="28"/>
      <w:szCs w:val="28"/>
    </w:rPr>
  </w:style>
  <w:style w:type="character" w:customStyle="1" w:styleId="165">
    <w:name w:val="日期 Char1"/>
    <w:qFormat/>
    <w:uiPriority w:val="0"/>
    <w:rPr>
      <w:rFonts w:eastAsia="宋体"/>
      <w:kern w:val="2"/>
      <w:sz w:val="21"/>
      <w:szCs w:val="24"/>
      <w:lang w:val="en-US" w:eastAsia="zh-CN" w:bidi="ar-SA"/>
    </w:rPr>
  </w:style>
  <w:style w:type="character" w:customStyle="1" w:styleId="166">
    <w:name w:val="标题 字符"/>
    <w:link w:val="62"/>
    <w:qFormat/>
    <w:uiPriority w:val="0"/>
    <w:rPr>
      <w:rFonts w:ascii="Cambria" w:hAnsi="Cambria"/>
      <w:b/>
      <w:bCs/>
      <w:kern w:val="2"/>
      <w:sz w:val="32"/>
      <w:szCs w:val="32"/>
      <w:lang w:bidi="ar-SA"/>
    </w:rPr>
  </w:style>
  <w:style w:type="character" w:customStyle="1" w:styleId="167">
    <w:name w:val="脚注文本 字符"/>
    <w:link w:val="50"/>
    <w:qFormat/>
    <w:uiPriority w:val="0"/>
    <w:rPr>
      <w:rFonts w:ascii="Calibri" w:hAnsi="Calibri"/>
      <w:bCs/>
      <w:sz w:val="18"/>
    </w:rPr>
  </w:style>
  <w:style w:type="character" w:customStyle="1" w:styleId="168">
    <w:name w:val="标题 1 字符"/>
    <w:link w:val="5"/>
    <w:qFormat/>
    <w:uiPriority w:val="0"/>
    <w:rPr>
      <w:rFonts w:eastAsia="宋体"/>
      <w:b/>
      <w:bCs/>
      <w:kern w:val="44"/>
      <w:sz w:val="30"/>
      <w:szCs w:val="44"/>
      <w:lang w:val="en-US" w:eastAsia="zh-CN" w:bidi="ar-SA"/>
    </w:rPr>
  </w:style>
  <w:style w:type="character" w:customStyle="1" w:styleId="169">
    <w:name w:val="font11"/>
    <w:qFormat/>
    <w:uiPriority w:val="0"/>
    <w:rPr>
      <w:rFonts w:hint="eastAsia" w:ascii="宋体" w:hAnsi="宋体" w:eastAsia="宋体" w:cs="宋体"/>
      <w:color w:val="000000"/>
      <w:sz w:val="24"/>
      <w:szCs w:val="24"/>
      <w:u w:val="none"/>
    </w:rPr>
  </w:style>
  <w:style w:type="character" w:customStyle="1" w:styleId="170">
    <w:name w:val="标题 5 字符"/>
    <w:link w:val="9"/>
    <w:qFormat/>
    <w:uiPriority w:val="0"/>
    <w:rPr>
      <w:rFonts w:ascii="宋体" w:hAnsi="Arial" w:eastAsia="宋体"/>
      <w:bCs/>
      <w:kern w:val="2"/>
      <w:sz w:val="28"/>
      <w:lang w:val="en-US" w:eastAsia="zh-CN" w:bidi="ar-SA"/>
    </w:rPr>
  </w:style>
  <w:style w:type="character" w:customStyle="1" w:styleId="171">
    <w:name w:val="font21"/>
    <w:qFormat/>
    <w:uiPriority w:val="0"/>
    <w:rPr>
      <w:rFonts w:hint="eastAsia" w:ascii="仿宋" w:hAnsi="仿宋" w:eastAsia="仿宋" w:cs="仿宋"/>
      <w:color w:val="000000"/>
      <w:sz w:val="24"/>
      <w:szCs w:val="24"/>
      <w:u w:val="none"/>
    </w:rPr>
  </w:style>
  <w:style w:type="character" w:customStyle="1" w:styleId="172">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3">
    <w:name w:val="正文文本 字符"/>
    <w:link w:val="28"/>
    <w:qFormat/>
    <w:uiPriority w:val="0"/>
    <w:rPr>
      <w:rFonts w:ascii="宋体" w:hAnsi="Arial" w:eastAsia="宋体"/>
      <w:kern w:val="2"/>
      <w:sz w:val="28"/>
      <w:lang w:val="en-US" w:eastAsia="zh-CN" w:bidi="ar-SA"/>
    </w:rPr>
  </w:style>
  <w:style w:type="character" w:customStyle="1" w:styleId="174">
    <w:name w:val="Char Char"/>
    <w:qFormat/>
    <w:uiPriority w:val="0"/>
    <w:rPr>
      <w:rFonts w:ascii="宋体" w:hAnsi="Courier New" w:eastAsia="宋体" w:cs="Courier New"/>
      <w:kern w:val="2"/>
      <w:sz w:val="21"/>
      <w:szCs w:val="21"/>
      <w:lang w:val="en-US" w:eastAsia="zh-CN" w:bidi="ar-SA"/>
    </w:rPr>
  </w:style>
  <w:style w:type="character" w:customStyle="1" w:styleId="175">
    <w:name w:val="副标题 Char1"/>
    <w:qFormat/>
    <w:uiPriority w:val="0"/>
    <w:rPr>
      <w:rFonts w:ascii="Cambria" w:hAnsi="Cambria" w:cs="Times New Roman"/>
      <w:b/>
      <w:bCs/>
      <w:kern w:val="28"/>
      <w:sz w:val="32"/>
      <w:szCs w:val="32"/>
    </w:rPr>
  </w:style>
  <w:style w:type="character" w:customStyle="1" w:styleId="176">
    <w:name w:val="正文文本缩进 2 字符"/>
    <w:link w:val="39"/>
    <w:qFormat/>
    <w:uiPriority w:val="0"/>
    <w:rPr>
      <w:rFonts w:ascii="Arial" w:hAnsi="Arial" w:eastAsia="仿宋_GB2312"/>
      <w:sz w:val="32"/>
    </w:rPr>
  </w:style>
  <w:style w:type="character" w:customStyle="1" w:styleId="177">
    <w:name w:val="标题 3 Char1"/>
    <w:semiHidden/>
    <w:qFormat/>
    <w:uiPriority w:val="0"/>
    <w:rPr>
      <w:rFonts w:ascii="Calibri" w:hAnsi="Calibri" w:eastAsia="宋体"/>
      <w:b/>
      <w:kern w:val="2"/>
      <w:sz w:val="32"/>
    </w:rPr>
  </w:style>
  <w:style w:type="character" w:customStyle="1" w:styleId="178">
    <w:name w:val="正文文本 Char_0"/>
    <w:link w:val="179"/>
    <w:qFormat/>
    <w:uiPriority w:val="0"/>
    <w:rPr>
      <w:kern w:val="2"/>
      <w:sz w:val="21"/>
      <w:szCs w:val="24"/>
    </w:rPr>
  </w:style>
  <w:style w:type="paragraph" w:customStyle="1" w:styleId="179">
    <w:name w:val="正文文本_0"/>
    <w:basedOn w:val="91"/>
    <w:link w:val="178"/>
    <w:qFormat/>
    <w:uiPriority w:val="0"/>
    <w:pPr>
      <w:spacing w:after="120"/>
    </w:pPr>
  </w:style>
  <w:style w:type="character" w:customStyle="1" w:styleId="180">
    <w:name w:val="批注主题 字符"/>
    <w:link w:val="63"/>
    <w:qFormat/>
    <w:uiPriority w:val="0"/>
    <w:rPr>
      <w:rFonts w:ascii="宋体"/>
      <w:b/>
      <w:bCs/>
      <w:sz w:val="28"/>
      <w:lang w:bidi="ar-SA"/>
    </w:rPr>
  </w:style>
  <w:style w:type="character" w:customStyle="1" w:styleId="181">
    <w:name w:val="明显引用 Char2"/>
    <w:qFormat/>
    <w:uiPriority w:val="30"/>
    <w:rPr>
      <w:b/>
      <w:bCs/>
      <w:i/>
      <w:iCs/>
      <w:color w:val="4F81BD"/>
      <w:kern w:val="2"/>
      <w:sz w:val="21"/>
      <w:szCs w:val="24"/>
    </w:rPr>
  </w:style>
  <w:style w:type="character" w:customStyle="1" w:styleId="182">
    <w:name w:val="页脚 字符1"/>
    <w:link w:val="41"/>
    <w:qFormat/>
    <w:uiPriority w:val="99"/>
    <w:rPr>
      <w:rFonts w:eastAsia="宋体"/>
      <w:kern w:val="2"/>
      <w:sz w:val="18"/>
      <w:lang w:val="en-US" w:eastAsia="zh-CN" w:bidi="ar-SA"/>
    </w:rPr>
  </w:style>
  <w:style w:type="character" w:customStyle="1" w:styleId="183">
    <w:name w:val="脚注文本 Char2"/>
    <w:semiHidden/>
    <w:qFormat/>
    <w:uiPriority w:val="99"/>
    <w:rPr>
      <w:rFonts w:ascii="宋体"/>
      <w:sz w:val="18"/>
      <w:szCs w:val="18"/>
    </w:rPr>
  </w:style>
  <w:style w:type="paragraph" w:customStyle="1" w:styleId="184">
    <w:name w:val="Normal_0"/>
    <w:qFormat/>
    <w:uiPriority w:val="0"/>
    <w:rPr>
      <w:rFonts w:ascii="Times New Roman" w:hAnsi="Times New Roman" w:eastAsia="宋体" w:cs="Times New Roman"/>
      <w:sz w:val="24"/>
      <w:szCs w:val="24"/>
      <w:lang w:val="en-US" w:eastAsia="zh-CN" w:bidi="ar-SA"/>
    </w:rPr>
  </w:style>
  <w:style w:type="paragraph" w:customStyle="1" w:styleId="185">
    <w:name w:val="列出段落1"/>
    <w:basedOn w:val="1"/>
    <w:unhideWhenUsed/>
    <w:qFormat/>
    <w:uiPriority w:val="99"/>
    <w:pPr>
      <w:ind w:firstLine="420" w:firstLineChars="200"/>
    </w:pPr>
    <w:rPr>
      <w:rFonts w:ascii="Calibri" w:hAnsi="Calibri"/>
      <w:kern w:val="2"/>
      <w:sz w:val="21"/>
      <w:szCs w:val="22"/>
    </w:rPr>
  </w:style>
  <w:style w:type="paragraph" w:customStyle="1" w:styleId="186">
    <w:name w:val="Char"/>
    <w:basedOn w:val="1"/>
    <w:qFormat/>
    <w:uiPriority w:val="0"/>
    <w:rPr>
      <w:rFonts w:ascii="Tahoma" w:hAnsi="Tahoma"/>
    </w:rPr>
  </w:style>
  <w:style w:type="paragraph" w:customStyle="1" w:styleId="187">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8">
    <w:name w:val="样式 宋体 五号 行距: 单倍行距"/>
    <w:basedOn w:val="1"/>
    <w:qFormat/>
    <w:uiPriority w:val="0"/>
    <w:pPr>
      <w:adjustRightInd w:val="0"/>
      <w:jc w:val="left"/>
      <w:textAlignment w:val="baseline"/>
    </w:pPr>
    <w:rPr>
      <w:rFonts w:hAnsi="宋体"/>
      <w:sz w:val="21"/>
    </w:rPr>
  </w:style>
  <w:style w:type="paragraph" w:customStyle="1" w:styleId="189">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0">
    <w:name w:val="列出段落2"/>
    <w:basedOn w:val="1"/>
    <w:qFormat/>
    <w:uiPriority w:val="0"/>
    <w:pPr>
      <w:ind w:firstLine="420" w:firstLineChars="200"/>
    </w:pPr>
    <w:rPr>
      <w:rFonts w:ascii="Calibri" w:hAnsi="Calibri"/>
      <w:kern w:val="2"/>
      <w:sz w:val="21"/>
      <w:szCs w:val="22"/>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2">
    <w:name w:val="Char Char2 Char"/>
    <w:basedOn w:val="1"/>
    <w:qFormat/>
    <w:uiPriority w:val="0"/>
    <w:rPr>
      <w:rFonts w:ascii="Tahoma" w:hAnsi="Tahoma"/>
      <w:kern w:val="2"/>
      <w:szCs w:val="24"/>
    </w:rPr>
  </w:style>
  <w:style w:type="paragraph" w:customStyle="1" w:styleId="193">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4">
    <w:name w:val="List Paragraph"/>
    <w:basedOn w:val="1"/>
    <w:qFormat/>
    <w:uiPriority w:val="0"/>
    <w:pPr>
      <w:ind w:firstLine="420" w:firstLineChars="200"/>
    </w:pPr>
    <w:rPr>
      <w:rFonts w:ascii="Calibri" w:hAnsi="Calibri"/>
      <w:szCs w:val="22"/>
    </w:rPr>
  </w:style>
  <w:style w:type="paragraph" w:customStyle="1" w:styleId="195">
    <w:name w:val="_Style 4"/>
    <w:basedOn w:val="1"/>
    <w:qFormat/>
    <w:uiPriority w:val="0"/>
    <w:rPr>
      <w:rFonts w:ascii="Times New Roman"/>
      <w:kern w:val="2"/>
      <w:sz w:val="21"/>
      <w:szCs w:val="24"/>
    </w:rPr>
  </w:style>
  <w:style w:type="paragraph" w:customStyle="1" w:styleId="19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8">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9">
    <w:name w:val="_Style 8"/>
    <w:basedOn w:val="1"/>
    <w:qFormat/>
    <w:uiPriority w:val="0"/>
  </w:style>
  <w:style w:type="paragraph" w:customStyle="1" w:styleId="200">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1">
    <w:name w:val="cjk"/>
    <w:basedOn w:val="1"/>
    <w:qFormat/>
    <w:uiPriority w:val="0"/>
    <w:pPr>
      <w:widowControl/>
      <w:spacing w:before="100" w:beforeAutospacing="1"/>
      <w:jc w:val="left"/>
    </w:pPr>
    <w:rPr>
      <w:rFonts w:hAnsi="宋体" w:cs="宋体"/>
      <w:color w:val="000000"/>
      <w:sz w:val="28"/>
      <w:szCs w:val="28"/>
    </w:rPr>
  </w:style>
  <w:style w:type="paragraph" w:customStyle="1" w:styleId="20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p0"/>
    <w:basedOn w:val="1"/>
    <w:qFormat/>
    <w:uiPriority w:val="0"/>
    <w:pPr>
      <w:widowControl/>
    </w:pPr>
    <w:rPr>
      <w:rFonts w:ascii="Times New Roman"/>
      <w:sz w:val="21"/>
      <w:szCs w:val="21"/>
    </w:rPr>
  </w:style>
  <w:style w:type="paragraph" w:customStyle="1" w:styleId="2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7">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8">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9">
    <w:name w:val="Char10 Char Char Char Char Char Char Char Char Char"/>
    <w:basedOn w:val="1"/>
    <w:next w:val="1"/>
    <w:qFormat/>
    <w:uiPriority w:val="0"/>
    <w:rPr>
      <w:rFonts w:ascii="Calibri" w:hAnsi="Calibri"/>
      <w:kern w:val="2"/>
      <w:sz w:val="21"/>
      <w:szCs w:val="22"/>
    </w:rPr>
  </w:style>
  <w:style w:type="paragraph" w:customStyle="1" w:styleId="210">
    <w:name w:val="Normal_2"/>
    <w:qFormat/>
    <w:uiPriority w:val="0"/>
    <w:rPr>
      <w:rFonts w:ascii="Times New Roman" w:hAnsi="Times New Roman" w:eastAsia="Times New Roman" w:cs="Times New Roman"/>
      <w:sz w:val="24"/>
      <w:szCs w:val="24"/>
      <w:lang w:val="en-US" w:eastAsia="zh-CN" w:bidi="ar-SA"/>
    </w:rPr>
  </w:style>
  <w:style w:type="paragraph" w:customStyle="1" w:styleId="211">
    <w:name w:val="列出段落3"/>
    <w:basedOn w:val="1"/>
    <w:unhideWhenUsed/>
    <w:qFormat/>
    <w:uiPriority w:val="99"/>
    <w:pPr>
      <w:ind w:firstLine="420" w:firstLineChars="200"/>
    </w:pPr>
    <w:rPr>
      <w:rFonts w:ascii="Calibri" w:hAnsi="Calibri"/>
      <w:kern w:val="2"/>
      <w:sz w:val="21"/>
      <w:szCs w:val="22"/>
    </w:rPr>
  </w:style>
  <w:style w:type="paragraph" w:customStyle="1" w:styleId="212">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4">
    <w:name w:val="普通(网站)_0"/>
    <w:basedOn w:val="91"/>
    <w:qFormat/>
    <w:uiPriority w:val="0"/>
    <w:pPr>
      <w:widowControl/>
      <w:spacing w:before="100" w:beforeAutospacing="1" w:after="100" w:afterAutospacing="1"/>
      <w:jc w:val="left"/>
    </w:pPr>
    <w:rPr>
      <w:rFonts w:ascii="宋体" w:hAnsi="宋体"/>
      <w:kern w:val="0"/>
      <w:sz w:val="24"/>
    </w:rPr>
  </w:style>
  <w:style w:type="paragraph" w:customStyle="1" w:styleId="215">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7">
    <w:name w:val="D&amp;L"/>
    <w:basedOn w:val="42"/>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9">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0">
    <w:name w:val="简单回函地址"/>
    <w:basedOn w:val="1"/>
    <w:qFormat/>
    <w:uiPriority w:val="0"/>
    <w:rPr>
      <w:rFonts w:ascii="Calibri" w:hAnsi="Calibri"/>
      <w:kern w:val="2"/>
      <w:sz w:val="21"/>
      <w:szCs w:val="22"/>
    </w:rPr>
  </w:style>
  <w:style w:type="paragraph" w:customStyle="1" w:styleId="22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2">
    <w:name w:val="Char Char Char Char Char Char Char1 Char"/>
    <w:basedOn w:val="1"/>
    <w:qFormat/>
    <w:uiPriority w:val="0"/>
    <w:rPr>
      <w:rFonts w:ascii="Tahoma" w:hAnsi="Tahoma"/>
    </w:rPr>
  </w:style>
  <w:style w:type="paragraph" w:customStyle="1" w:styleId="22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4">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5">
    <w:name w:val="Default Paragraph Char Char Char Char"/>
    <w:basedOn w:val="1"/>
    <w:next w:val="1"/>
    <w:qFormat/>
    <w:uiPriority w:val="0"/>
    <w:pPr>
      <w:widowControl/>
      <w:spacing w:line="360" w:lineRule="auto"/>
      <w:jc w:val="left"/>
    </w:pPr>
    <w:rPr>
      <w:lang w:eastAsia="en-US"/>
    </w:rPr>
  </w:style>
  <w:style w:type="paragraph" w:customStyle="1" w:styleId="226">
    <w:name w:val="Char Char Char Char Char Char"/>
    <w:basedOn w:val="1"/>
    <w:qFormat/>
    <w:uiPriority w:val="0"/>
    <w:rPr>
      <w:rFonts w:ascii="Tahoma" w:hAnsi="Tahoma"/>
      <w:kern w:val="2"/>
    </w:rPr>
  </w:style>
  <w:style w:type="paragraph" w:customStyle="1" w:styleId="2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9">
    <w:name w:val="Normal_1"/>
    <w:qFormat/>
    <w:uiPriority w:val="0"/>
    <w:rPr>
      <w:rFonts w:ascii="Times New Roman" w:hAnsi="Times New Roman" w:eastAsia="Times New Roman" w:cs="Times New Roman"/>
      <w:sz w:val="24"/>
      <w:szCs w:val="24"/>
      <w:lang w:val="en-US" w:eastAsia="zh-CN" w:bidi="ar-SA"/>
    </w:rPr>
  </w:style>
  <w:style w:type="paragraph" w:customStyle="1" w:styleId="230">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1">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3">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4">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5">
    <w:name w:val="Char Char Char Char Char"/>
    <w:basedOn w:val="1"/>
    <w:qFormat/>
    <w:uiPriority w:val="0"/>
    <w:rPr>
      <w:rFonts w:ascii="Tahoma" w:hAnsi="Tahoma"/>
      <w:kern w:val="2"/>
    </w:rPr>
  </w:style>
  <w:style w:type="paragraph" w:customStyle="1" w:styleId="236">
    <w:name w:val="二级标题"/>
    <w:basedOn w:val="1"/>
    <w:next w:val="237"/>
    <w:qFormat/>
    <w:uiPriority w:val="0"/>
    <w:pPr>
      <w:tabs>
        <w:tab w:val="left" w:pos="992"/>
      </w:tabs>
      <w:ind w:left="992" w:hanging="567"/>
      <w:outlineLvl w:val="1"/>
    </w:pPr>
    <w:rPr>
      <w:rFonts w:ascii="黑体" w:eastAsia="黑体"/>
      <w:sz w:val="28"/>
      <w:szCs w:val="24"/>
    </w:rPr>
  </w:style>
  <w:style w:type="paragraph" w:customStyle="1" w:styleId="237">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1">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2">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4">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5">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6">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7">
    <w:name w:val="正文无缩进"/>
    <w:basedOn w:val="1"/>
    <w:qFormat/>
    <w:uiPriority w:val="0"/>
    <w:pPr>
      <w:spacing w:line="600" w:lineRule="exact"/>
    </w:pPr>
    <w:rPr>
      <w:rFonts w:ascii="仿宋_GB2312" w:hAnsi="宋体" w:eastAsia="仿宋_GB2312"/>
      <w:kern w:val="2"/>
      <w:sz w:val="31"/>
      <w:szCs w:val="28"/>
    </w:rPr>
  </w:style>
  <w:style w:type="paragraph" w:customStyle="1" w:styleId="248">
    <w:name w:val="Char Char Char Char Char Char1"/>
    <w:basedOn w:val="1"/>
    <w:qFormat/>
    <w:uiPriority w:val="0"/>
    <w:rPr>
      <w:rFonts w:ascii="Tahoma" w:hAnsi="Tahoma"/>
      <w:kern w:val="2"/>
    </w:rPr>
  </w:style>
  <w:style w:type="paragraph" w:customStyle="1" w:styleId="249">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50">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1">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2">
    <w:name w:val="段落1 Char"/>
    <w:basedOn w:val="36"/>
    <w:qFormat/>
    <w:uiPriority w:val="0"/>
    <w:pPr>
      <w:spacing w:line="360" w:lineRule="auto"/>
    </w:pPr>
    <w:rPr>
      <w:rFonts w:ascii="Times New Roman" w:hAnsi="Times New Roman" w:cs="Courier New"/>
      <w:sz w:val="24"/>
      <w:szCs w:val="21"/>
    </w:rPr>
  </w:style>
  <w:style w:type="paragraph" w:customStyle="1" w:styleId="25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4">
    <w:name w:val="Char1"/>
    <w:basedOn w:val="1"/>
    <w:next w:val="1"/>
    <w:qFormat/>
    <w:uiPriority w:val="0"/>
    <w:pPr>
      <w:widowControl/>
      <w:spacing w:line="360" w:lineRule="auto"/>
      <w:jc w:val="left"/>
    </w:pPr>
    <w:rPr>
      <w:lang w:eastAsia="en-US"/>
    </w:rPr>
  </w:style>
  <w:style w:type="paragraph" w:customStyle="1" w:styleId="255">
    <w:name w:val="MsoNormal"/>
    <w:basedOn w:val="184"/>
    <w:qFormat/>
    <w:uiPriority w:val="0"/>
    <w:rPr>
      <w:rFonts w:ascii="Calibri" w:hAnsi="Calibri" w:eastAsia="Calibri"/>
      <w:sz w:val="21"/>
    </w:rPr>
  </w:style>
  <w:style w:type="paragraph" w:customStyle="1" w:styleId="256">
    <w:name w:val="Table Paragraph"/>
    <w:basedOn w:val="1"/>
    <w:qFormat/>
    <w:uiPriority w:val="1"/>
    <w:pPr>
      <w:jc w:val="left"/>
    </w:pPr>
    <w:rPr>
      <w:rFonts w:ascii="Calibri" w:hAnsi="Calibri"/>
      <w:sz w:val="22"/>
      <w:lang w:eastAsia="en-US"/>
    </w:rPr>
  </w:style>
  <w:style w:type="paragraph" w:customStyle="1" w:styleId="257">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8">
    <w:name w:val="首行缩进"/>
    <w:basedOn w:val="1"/>
    <w:qFormat/>
    <w:uiPriority w:val="99"/>
    <w:pPr>
      <w:ind w:firstLine="480" w:firstLineChars="200"/>
    </w:pPr>
    <w:rPr>
      <w:rFonts w:ascii="Calibri" w:hAnsi="Calibri" w:cs="Calibri"/>
      <w:kern w:val="2"/>
      <w:sz w:val="21"/>
      <w:szCs w:val="21"/>
      <w:lang w:val="zh-CN"/>
    </w:rPr>
  </w:style>
  <w:style w:type="paragraph" w:customStyle="1" w:styleId="2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基本文字 Char"/>
    <w:basedOn w:val="1"/>
    <w:qFormat/>
    <w:uiPriority w:val="0"/>
    <w:pPr>
      <w:spacing w:before="156" w:line="400" w:lineRule="atLeast"/>
      <w:ind w:firstLine="540" w:firstLineChars="225"/>
    </w:p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3">
    <w:name w:val="目录文字"/>
    <w:basedOn w:val="1"/>
    <w:qFormat/>
    <w:uiPriority w:val="0"/>
    <w:pPr>
      <w:widowControl/>
      <w:spacing w:line="480" w:lineRule="auto"/>
      <w:jc w:val="left"/>
    </w:pPr>
    <w:rPr>
      <w:rFonts w:hAnsi="宋体"/>
    </w:rPr>
  </w:style>
  <w:style w:type="paragraph" w:customStyle="1" w:styleId="264">
    <w:name w:val="普通 (Web)"/>
    <w:basedOn w:val="1"/>
    <w:qFormat/>
    <w:uiPriority w:val="0"/>
    <w:pPr>
      <w:widowControl/>
      <w:spacing w:before="100" w:beforeAutospacing="1" w:after="100" w:afterAutospacing="1"/>
      <w:jc w:val="left"/>
    </w:pPr>
    <w:rPr>
      <w:rFonts w:hAnsi="宋体"/>
      <w:szCs w:val="24"/>
    </w:rPr>
  </w:style>
  <w:style w:type="paragraph" w:customStyle="1" w:styleId="265">
    <w:name w:val="一级标题"/>
    <w:basedOn w:val="1"/>
    <w:next w:val="236"/>
    <w:qFormat/>
    <w:uiPriority w:val="0"/>
    <w:pPr>
      <w:tabs>
        <w:tab w:val="left" w:pos="425"/>
      </w:tabs>
      <w:spacing w:afterLines="100"/>
      <w:ind w:left="850" w:hanging="425"/>
      <w:outlineLvl w:val="0"/>
    </w:pPr>
    <w:rPr>
      <w:rFonts w:ascii="黑体" w:eastAsia="黑体"/>
      <w:sz w:val="30"/>
      <w:szCs w:val="28"/>
    </w:rPr>
  </w:style>
  <w:style w:type="paragraph" w:customStyle="1" w:styleId="266">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Char Char Char Char Char1"/>
    <w:basedOn w:val="1"/>
    <w:qFormat/>
    <w:uiPriority w:val="0"/>
    <w:rPr>
      <w:rFonts w:ascii="Tahoma" w:hAnsi="Tahoma"/>
    </w:rPr>
  </w:style>
  <w:style w:type="paragraph" w:customStyle="1" w:styleId="26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9">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0">
    <w:name w:val="Normal_3"/>
    <w:qFormat/>
    <w:uiPriority w:val="0"/>
    <w:rPr>
      <w:rFonts w:ascii="Times New Roman" w:hAnsi="Times New Roman" w:eastAsia="Times New Roman" w:cs="Times New Roman"/>
      <w:sz w:val="24"/>
      <w:szCs w:val="24"/>
      <w:lang w:val="en-US" w:eastAsia="zh-CN" w:bidi="ar-SA"/>
    </w:rPr>
  </w:style>
  <w:style w:type="paragraph" w:customStyle="1" w:styleId="271">
    <w:name w:val="样式1"/>
    <w:basedOn w:val="1"/>
    <w:qFormat/>
    <w:uiPriority w:val="0"/>
    <w:pPr>
      <w:tabs>
        <w:tab w:val="left" w:pos="709"/>
      </w:tabs>
      <w:adjustRightInd w:val="0"/>
      <w:ind w:left="709" w:hanging="709"/>
      <w:textAlignment w:val="baseline"/>
    </w:pPr>
    <w:rPr>
      <w:rFonts w:hAnsi="宋体"/>
    </w:rPr>
  </w:style>
  <w:style w:type="paragraph" w:customStyle="1" w:styleId="2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4">
    <w:name w:val="Char10 Char Char Char Char Char Char Char Char Char1"/>
    <w:basedOn w:val="1"/>
    <w:next w:val="1"/>
    <w:qFormat/>
    <w:uiPriority w:val="0"/>
    <w:rPr>
      <w:rFonts w:ascii="Calibri" w:hAnsi="Calibri"/>
      <w:kern w:val="2"/>
      <w:sz w:val="21"/>
      <w:szCs w:val="22"/>
    </w:rPr>
  </w:style>
  <w:style w:type="paragraph" w:customStyle="1" w:styleId="2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6">
    <w:name w:val="目录"/>
    <w:basedOn w:val="1"/>
    <w:qFormat/>
    <w:uiPriority w:val="0"/>
    <w:pPr>
      <w:widowControl/>
      <w:jc w:val="center"/>
    </w:pPr>
    <w:rPr>
      <w:b/>
      <w:sz w:val="36"/>
    </w:rPr>
  </w:style>
  <w:style w:type="paragraph" w:customStyle="1" w:styleId="277">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8">
    <w:name w:val="日期 字符"/>
    <w:qFormat/>
    <w:locked/>
    <w:uiPriority w:val="0"/>
    <w:rPr>
      <w:rFonts w:eastAsia="宋体"/>
      <w:b/>
      <w:kern w:val="2"/>
      <w:sz w:val="28"/>
      <w:lang w:val="en-US" w:eastAsia="zh-CN" w:bidi="ar-SA"/>
    </w:rPr>
  </w:style>
  <w:style w:type="character" w:customStyle="1" w:styleId="279">
    <w:name w:val="页眉 字符"/>
    <w:qFormat/>
    <w:uiPriority w:val="0"/>
    <w:rPr>
      <w:kern w:val="2"/>
      <w:sz w:val="18"/>
      <w:szCs w:val="18"/>
    </w:rPr>
  </w:style>
  <w:style w:type="character" w:customStyle="1" w:styleId="280">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1">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3">
    <w:name w:val="xl65"/>
    <w:basedOn w:val="1"/>
    <w:qFormat/>
    <w:uiPriority w:val="0"/>
    <w:pPr>
      <w:widowControl/>
      <w:spacing w:before="100" w:beforeAutospacing="1" w:after="100" w:afterAutospacing="1"/>
      <w:jc w:val="center"/>
    </w:pPr>
    <w:rPr>
      <w:rFonts w:hAnsi="宋体" w:cs="宋体"/>
      <w:szCs w:val="24"/>
    </w:rPr>
  </w:style>
  <w:style w:type="paragraph" w:customStyle="1" w:styleId="28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510CB-207B-47CE-9295-A558C7FDA0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21790</Words>
  <Characters>23076</Characters>
  <Lines>144</Lines>
  <Paragraphs>40</Paragraphs>
  <TotalTime>5</TotalTime>
  <ScaleCrop>false</ScaleCrop>
  <LinksUpToDate>false</LinksUpToDate>
  <CharactersWithSpaces>24649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2021-02-22T01:21:00Z</dcterms:created>
  <dc:creator>省直科</dc:creator>
  <cp:lastModifiedBy>Administrator</cp:lastModifiedBy>
  <cp:lastPrinted>2020-05-26T06:49:00Z</cp:lastPrinted>
  <dcterms:modified xsi:type="dcterms:W3CDTF">2023-08-22T02:54:19Z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E82811BAC73B460492FA5805AC713E34</vt:lpwstr>
  </property>
</Properties>
</file>